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CC169">
      <w:pPr>
        <w:adjustRightInd w:val="0"/>
        <w:snapToGrid w:val="0"/>
        <w:jc w:val="center"/>
        <w:rPr>
          <w:rFonts w:ascii="华文中宋" w:hAnsi="华文中宋" w:eastAsia="华文中宋"/>
          <w:b/>
          <w:bCs/>
          <w:sz w:val="50"/>
          <w:szCs w:val="44"/>
        </w:rPr>
      </w:pPr>
    </w:p>
    <w:p w14:paraId="5810EB72">
      <w:pPr>
        <w:adjustRightInd w:val="0"/>
        <w:snapToGrid w:val="0"/>
        <w:jc w:val="center"/>
        <w:rPr>
          <w:rFonts w:ascii="华文中宋" w:hAnsi="华文中宋" w:eastAsia="华文中宋"/>
          <w:b/>
          <w:bCs/>
          <w:sz w:val="50"/>
          <w:szCs w:val="44"/>
        </w:rPr>
      </w:pPr>
    </w:p>
    <w:p w14:paraId="5D040C98">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深圳市第一职业技术学校</w:t>
      </w:r>
    </w:p>
    <w:p w14:paraId="0FB0390C">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网络安全系统续保升级服务招标文件</w:t>
      </w:r>
    </w:p>
    <w:p w14:paraId="4957A25D">
      <w:pPr>
        <w:adjustRightInd w:val="0"/>
        <w:snapToGrid w:val="0"/>
        <w:spacing w:line="300" w:lineRule="auto"/>
        <w:jc w:val="center"/>
        <w:rPr>
          <w:rFonts w:ascii="华文中宋" w:hAnsi="Calibri" w:eastAsia="华文中宋"/>
          <w:b/>
          <w:bCs/>
          <w:sz w:val="28"/>
          <w:szCs w:val="22"/>
        </w:rPr>
      </w:pPr>
    </w:p>
    <w:p w14:paraId="41AC39BB">
      <w:pPr>
        <w:adjustRightInd w:val="0"/>
        <w:snapToGrid w:val="0"/>
        <w:spacing w:line="300" w:lineRule="auto"/>
        <w:jc w:val="center"/>
        <w:rPr>
          <w:rFonts w:ascii="华文中宋" w:hAnsi="Calibri" w:eastAsia="华文中宋"/>
          <w:b/>
          <w:bCs/>
          <w:sz w:val="28"/>
          <w:szCs w:val="22"/>
        </w:rPr>
      </w:pPr>
    </w:p>
    <w:p w14:paraId="284FEE74">
      <w:pPr>
        <w:adjustRightInd w:val="0"/>
        <w:snapToGrid w:val="0"/>
        <w:spacing w:line="300" w:lineRule="auto"/>
        <w:jc w:val="center"/>
        <w:rPr>
          <w:rFonts w:ascii="华文中宋" w:hAnsi="Calibri" w:eastAsia="华文中宋"/>
          <w:b/>
          <w:bCs/>
          <w:sz w:val="28"/>
          <w:szCs w:val="22"/>
        </w:rPr>
      </w:pPr>
    </w:p>
    <w:p w14:paraId="373CE298">
      <w:pPr>
        <w:adjustRightInd w:val="0"/>
        <w:snapToGrid w:val="0"/>
        <w:spacing w:line="300" w:lineRule="auto"/>
        <w:jc w:val="center"/>
        <w:rPr>
          <w:rFonts w:ascii="华文中宋" w:hAnsi="Calibri" w:eastAsia="华文中宋"/>
          <w:b/>
          <w:bCs/>
          <w:sz w:val="28"/>
          <w:szCs w:val="22"/>
        </w:rPr>
      </w:pPr>
    </w:p>
    <w:p w14:paraId="0A4858E0">
      <w:pPr>
        <w:adjustRightInd w:val="0"/>
        <w:snapToGrid w:val="0"/>
        <w:spacing w:line="300" w:lineRule="auto"/>
        <w:jc w:val="center"/>
        <w:rPr>
          <w:rFonts w:ascii="华文中宋" w:hAnsi="Calibri" w:eastAsia="华文中宋"/>
          <w:b/>
          <w:bCs/>
          <w:sz w:val="28"/>
          <w:szCs w:val="22"/>
        </w:rPr>
      </w:pPr>
    </w:p>
    <w:p w14:paraId="627EA7C4">
      <w:pPr>
        <w:adjustRightInd w:val="0"/>
        <w:snapToGrid w:val="0"/>
        <w:spacing w:line="300" w:lineRule="auto"/>
        <w:jc w:val="center"/>
        <w:rPr>
          <w:rFonts w:ascii="华文中宋" w:hAnsi="Calibri" w:eastAsia="华文中宋"/>
          <w:b/>
          <w:bCs/>
          <w:sz w:val="28"/>
          <w:szCs w:val="22"/>
        </w:rPr>
      </w:pPr>
    </w:p>
    <w:p w14:paraId="5EE30FF6">
      <w:pPr>
        <w:adjustRightInd w:val="0"/>
        <w:snapToGrid w:val="0"/>
        <w:spacing w:line="300" w:lineRule="auto"/>
        <w:jc w:val="center"/>
        <w:rPr>
          <w:rFonts w:ascii="华文中宋" w:hAnsi="Calibri" w:eastAsia="华文中宋"/>
          <w:b/>
          <w:bCs/>
          <w:sz w:val="28"/>
          <w:szCs w:val="22"/>
        </w:rPr>
      </w:pPr>
    </w:p>
    <w:p w14:paraId="1335A7C4">
      <w:pPr>
        <w:adjustRightInd w:val="0"/>
        <w:snapToGrid w:val="0"/>
        <w:spacing w:line="300" w:lineRule="auto"/>
        <w:jc w:val="center"/>
        <w:rPr>
          <w:rFonts w:ascii="华文中宋" w:hAnsi="Calibri" w:eastAsia="华文中宋"/>
          <w:b/>
          <w:bCs/>
          <w:sz w:val="28"/>
          <w:szCs w:val="22"/>
        </w:rPr>
      </w:pPr>
    </w:p>
    <w:p w14:paraId="3266634E">
      <w:pPr>
        <w:spacing w:after="156" w:afterLines="50" w:line="320" w:lineRule="exact"/>
        <w:jc w:val="center"/>
        <w:rPr>
          <w:rFonts w:ascii="宋体" w:hAnsi="宋体" w:cs="Arial"/>
          <w:b/>
          <w:sz w:val="24"/>
        </w:rPr>
      </w:pPr>
    </w:p>
    <w:p w14:paraId="0C2989B0">
      <w:pPr>
        <w:adjustRightInd w:val="0"/>
        <w:snapToGrid w:val="0"/>
        <w:spacing w:line="300" w:lineRule="auto"/>
        <w:jc w:val="center"/>
        <w:rPr>
          <w:rFonts w:ascii="华文中宋" w:hAnsi="Calibri" w:eastAsia="华文中宋"/>
          <w:b/>
          <w:bCs/>
          <w:sz w:val="28"/>
          <w:szCs w:val="22"/>
        </w:rPr>
      </w:pPr>
    </w:p>
    <w:p w14:paraId="1851D63F">
      <w:pPr>
        <w:adjustRightInd w:val="0"/>
        <w:snapToGrid w:val="0"/>
        <w:spacing w:line="300" w:lineRule="auto"/>
        <w:jc w:val="center"/>
        <w:rPr>
          <w:rFonts w:ascii="华文中宋" w:hAnsi="Calibri" w:eastAsia="华文中宋"/>
          <w:b/>
          <w:bCs/>
          <w:sz w:val="28"/>
          <w:szCs w:val="22"/>
        </w:rPr>
      </w:pPr>
    </w:p>
    <w:p w14:paraId="6F7D0EE6">
      <w:pPr>
        <w:adjustRightInd w:val="0"/>
        <w:snapToGrid w:val="0"/>
        <w:spacing w:line="300" w:lineRule="auto"/>
        <w:jc w:val="center"/>
        <w:rPr>
          <w:rFonts w:ascii="华文中宋" w:hAnsi="Calibri" w:eastAsia="华文中宋"/>
          <w:b/>
          <w:bCs/>
          <w:sz w:val="28"/>
          <w:szCs w:val="22"/>
        </w:rPr>
      </w:pPr>
    </w:p>
    <w:p w14:paraId="52EC7A11">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14:paraId="6C1D5016">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二五年</w:t>
      </w:r>
      <w:r>
        <w:rPr>
          <w:rFonts w:hint="eastAsia" w:ascii="黑体" w:hAnsi="华文中宋" w:eastAsia="黑体" w:cs="Arial"/>
          <w:sz w:val="32"/>
          <w:szCs w:val="32"/>
          <w:lang w:val="en-US" w:eastAsia="zh-CN"/>
        </w:rPr>
        <w:t>四</w:t>
      </w:r>
      <w:r>
        <w:rPr>
          <w:rFonts w:hint="eastAsia" w:ascii="黑体" w:hAnsi="华文中宋" w:eastAsia="黑体" w:cs="Arial"/>
          <w:sz w:val="32"/>
          <w:szCs w:val="32"/>
        </w:rPr>
        <w:t>月</w:t>
      </w:r>
      <w:r>
        <w:rPr>
          <w:rFonts w:hint="eastAsia" w:ascii="宋体" w:hAnsi="宋体" w:cs="宋体"/>
          <w:sz w:val="32"/>
          <w:szCs w:val="32"/>
        </w:rPr>
        <w:br w:type="page"/>
      </w:r>
    </w:p>
    <w:p w14:paraId="06269A50">
      <w:pPr>
        <w:pStyle w:val="2"/>
      </w:pPr>
      <w:r>
        <w:rPr>
          <w:rFonts w:hint="eastAsia"/>
        </w:rPr>
        <w:t>第一章  项目评审信息</w:t>
      </w:r>
    </w:p>
    <w:p w14:paraId="1CB51AE1">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深圳市第一职业技术学校网络安全系统续保升级服务 </w:t>
      </w:r>
    </w:p>
    <w:p w14:paraId="0F67499E">
      <w:pPr>
        <w:adjustRightInd w:val="0"/>
        <w:snapToGrid w:val="0"/>
        <w:spacing w:line="360" w:lineRule="auto"/>
        <w:rPr>
          <w:rFonts w:ascii="宋体" w:hAnsi="宋体" w:cs="宋体"/>
          <w:szCs w:val="21"/>
        </w:rPr>
      </w:pPr>
      <w:r>
        <w:rPr>
          <w:rFonts w:hint="eastAsia" w:ascii="宋体" w:hAnsi="宋体" w:cs="宋体"/>
          <w:szCs w:val="21"/>
        </w:rPr>
        <w:t xml:space="preserve">      项目类型：  </w:t>
      </w:r>
      <w:r>
        <w:rPr>
          <w:rFonts w:hint="eastAsia" w:ascii="宋体" w:hAnsi="宋体" w:cs="宋体"/>
          <w:szCs w:val="21"/>
          <w:lang w:val="en-US" w:eastAsia="zh-CN"/>
        </w:rPr>
        <w:t>服务</w:t>
      </w:r>
      <w:r>
        <w:rPr>
          <w:rFonts w:hint="eastAsia" w:ascii="宋体" w:hAnsi="宋体" w:cs="宋体"/>
          <w:szCs w:val="21"/>
        </w:rPr>
        <w:t>类</w:t>
      </w:r>
    </w:p>
    <w:p w14:paraId="148B690A">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14:paraId="4CA40929">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14:paraId="534369BF">
      <w:pPr>
        <w:pStyle w:val="4"/>
        <w:rPr>
          <w:rFonts w:cs="宋体"/>
          <w:szCs w:val="28"/>
        </w:rPr>
      </w:pPr>
      <w:r>
        <w:rPr>
          <w:rFonts w:hint="eastAsia" w:cs="宋体"/>
          <w:szCs w:val="28"/>
        </w:rPr>
        <w:t>投标文件初审表</w:t>
      </w:r>
    </w:p>
    <w:p w14:paraId="1C492343">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14:paraId="3C80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39D11AE2">
            <w:pPr>
              <w:rPr>
                <w:rFonts w:ascii="宋体" w:hAnsi="宋体" w:cs="宋体"/>
              </w:rPr>
            </w:pPr>
            <w:r>
              <w:rPr>
                <w:rFonts w:hint="eastAsia" w:ascii="宋体" w:hAnsi="宋体" w:cs="宋体"/>
              </w:rPr>
              <w:t>资格性检查表</w:t>
            </w:r>
          </w:p>
        </w:tc>
      </w:tr>
      <w:tr w14:paraId="0A39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49351ED">
            <w:pPr>
              <w:rPr>
                <w:rFonts w:ascii="宋体" w:hAnsi="宋体" w:cs="宋体"/>
              </w:rPr>
            </w:pPr>
            <w:r>
              <w:rPr>
                <w:rFonts w:hint="eastAsia" w:ascii="宋体" w:hAnsi="宋体" w:cs="宋体"/>
              </w:rPr>
              <w:t>1</w:t>
            </w:r>
          </w:p>
        </w:tc>
        <w:tc>
          <w:tcPr>
            <w:tcW w:w="7988" w:type="dxa"/>
            <w:vAlign w:val="center"/>
          </w:tcPr>
          <w:p w14:paraId="56D71ACD">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14:paraId="215C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1243B5D7">
            <w:pPr>
              <w:rPr>
                <w:rFonts w:ascii="宋体" w:hAnsi="宋体" w:cs="宋体"/>
              </w:rPr>
            </w:pPr>
            <w:r>
              <w:rPr>
                <w:rFonts w:hint="eastAsia" w:ascii="宋体" w:hAnsi="宋体" w:cs="宋体"/>
              </w:rPr>
              <w:t>符合性检查表</w:t>
            </w:r>
          </w:p>
        </w:tc>
      </w:tr>
      <w:tr w14:paraId="5645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04662021">
            <w:pPr>
              <w:rPr>
                <w:rFonts w:ascii="宋体" w:hAnsi="宋体" w:cs="宋体"/>
              </w:rPr>
            </w:pPr>
            <w:r>
              <w:rPr>
                <w:rFonts w:hint="eastAsia" w:ascii="宋体" w:hAnsi="宋体" w:cs="宋体"/>
              </w:rPr>
              <w:t>2</w:t>
            </w:r>
          </w:p>
        </w:tc>
        <w:tc>
          <w:tcPr>
            <w:tcW w:w="7988" w:type="dxa"/>
            <w:vAlign w:val="center"/>
          </w:tcPr>
          <w:p w14:paraId="41E421AF">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14:paraId="5BD0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670306A7">
            <w:pPr>
              <w:rPr>
                <w:rFonts w:ascii="宋体" w:hAnsi="宋体" w:cs="宋体"/>
              </w:rPr>
            </w:pPr>
            <w:r>
              <w:rPr>
                <w:rFonts w:hint="eastAsia" w:ascii="宋体" w:hAnsi="宋体" w:cs="宋体"/>
              </w:rPr>
              <w:t>3</w:t>
            </w:r>
          </w:p>
        </w:tc>
        <w:tc>
          <w:tcPr>
            <w:tcW w:w="7988" w:type="dxa"/>
            <w:vAlign w:val="center"/>
          </w:tcPr>
          <w:p w14:paraId="1A87848A">
            <w:pPr>
              <w:rPr>
                <w:rFonts w:ascii="宋体" w:hAnsi="宋体" w:cs="宋体"/>
              </w:rPr>
            </w:pPr>
            <w:r>
              <w:rPr>
                <w:rFonts w:hint="eastAsia" w:ascii="宋体" w:hAnsi="宋体" w:cs="宋体"/>
                <w:b/>
              </w:rPr>
              <w:t>《技术规格偏离表》或《商务需求偏离表》填写不全或不实</w:t>
            </w:r>
          </w:p>
        </w:tc>
      </w:tr>
      <w:tr w14:paraId="260C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68B4BD0A">
            <w:pPr>
              <w:rPr>
                <w:rFonts w:ascii="宋体" w:hAnsi="宋体" w:cs="宋体"/>
              </w:rPr>
            </w:pPr>
            <w:r>
              <w:rPr>
                <w:rFonts w:hint="eastAsia" w:ascii="宋体" w:hAnsi="宋体" w:cs="宋体"/>
              </w:rPr>
              <w:t>4</w:t>
            </w:r>
          </w:p>
        </w:tc>
        <w:tc>
          <w:tcPr>
            <w:tcW w:w="7988" w:type="dxa"/>
            <w:vAlign w:val="center"/>
          </w:tcPr>
          <w:p w14:paraId="1485D302">
            <w:pPr>
              <w:rPr>
                <w:rFonts w:ascii="宋体" w:hAnsi="宋体" w:cs="宋体"/>
              </w:rPr>
            </w:pPr>
            <w:r>
              <w:rPr>
                <w:rFonts w:hint="eastAsia" w:ascii="宋体" w:hAnsi="宋体" w:cs="宋体"/>
              </w:rPr>
              <w:t>投标总价高于预算限额的或报价低于其成本且不能做出合理说明</w:t>
            </w:r>
          </w:p>
        </w:tc>
      </w:tr>
      <w:tr w14:paraId="1878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37908BC1">
            <w:pPr>
              <w:rPr>
                <w:rFonts w:ascii="宋体" w:hAnsi="宋体" w:cs="宋体"/>
              </w:rPr>
            </w:pPr>
            <w:r>
              <w:rPr>
                <w:rFonts w:hint="eastAsia" w:ascii="宋体" w:hAnsi="宋体" w:cs="宋体"/>
              </w:rPr>
              <w:t>5</w:t>
            </w:r>
          </w:p>
        </w:tc>
        <w:tc>
          <w:tcPr>
            <w:tcW w:w="7988" w:type="dxa"/>
            <w:vAlign w:val="center"/>
          </w:tcPr>
          <w:p w14:paraId="6D14032E">
            <w:pPr>
              <w:rPr>
                <w:rFonts w:ascii="宋体" w:hAnsi="宋体" w:cs="宋体"/>
              </w:rPr>
            </w:pPr>
            <w:r>
              <w:rPr>
                <w:rFonts w:hint="eastAsia" w:ascii="宋体" w:hAnsi="宋体" w:cs="宋体"/>
              </w:rPr>
              <w:t>投标报价有严重缺漏项目</w:t>
            </w:r>
          </w:p>
        </w:tc>
      </w:tr>
      <w:tr w14:paraId="2B89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533DBE86">
            <w:pPr>
              <w:rPr>
                <w:rFonts w:ascii="宋体" w:hAnsi="宋体" w:cs="宋体"/>
              </w:rPr>
            </w:pPr>
            <w:r>
              <w:rPr>
                <w:rFonts w:hint="eastAsia" w:ascii="宋体" w:hAnsi="宋体" w:cs="宋体"/>
              </w:rPr>
              <w:t>6</w:t>
            </w:r>
          </w:p>
        </w:tc>
        <w:tc>
          <w:tcPr>
            <w:tcW w:w="7988" w:type="dxa"/>
            <w:vAlign w:val="center"/>
          </w:tcPr>
          <w:p w14:paraId="62E35965">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14:paraId="297B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44E2BF08">
            <w:pPr>
              <w:rPr>
                <w:rFonts w:ascii="宋体" w:hAnsi="宋体" w:cs="宋体"/>
              </w:rPr>
            </w:pPr>
            <w:r>
              <w:rPr>
                <w:rFonts w:hint="eastAsia" w:ascii="宋体" w:hAnsi="宋体" w:cs="宋体"/>
              </w:rPr>
              <w:t>7</w:t>
            </w:r>
          </w:p>
        </w:tc>
        <w:tc>
          <w:tcPr>
            <w:tcW w:w="7988" w:type="dxa"/>
            <w:vAlign w:val="center"/>
          </w:tcPr>
          <w:p w14:paraId="05824852">
            <w:pPr>
              <w:rPr>
                <w:rFonts w:ascii="宋体" w:hAnsi="宋体" w:cs="宋体"/>
              </w:rPr>
            </w:pPr>
            <w:r>
              <w:rPr>
                <w:rFonts w:hint="eastAsia" w:ascii="宋体" w:hAnsi="宋体" w:cs="宋体"/>
              </w:rPr>
              <w:t>所投产品、工程、服务在质量、技术、方案等方面没有实质性满足招标文件要求</w:t>
            </w:r>
          </w:p>
        </w:tc>
      </w:tr>
    </w:tbl>
    <w:p w14:paraId="467BDFF3">
      <w:pPr>
        <w:pStyle w:val="4"/>
        <w:rPr>
          <w:rFonts w:cs="宋体"/>
          <w:szCs w:val="28"/>
        </w:rPr>
      </w:pPr>
      <w:r>
        <w:rPr>
          <w:rFonts w:hint="eastAsia" w:cs="宋体"/>
          <w:szCs w:val="28"/>
        </w:rPr>
        <w:t>评标信息</w:t>
      </w:r>
    </w:p>
    <w:p w14:paraId="141DEC93">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14:paraId="2F257597">
      <w:pPr>
        <w:pStyle w:val="4"/>
        <w:jc w:val="both"/>
        <w:rPr>
          <w:rFonts w:cs="宋体"/>
        </w:rPr>
      </w:pPr>
      <w:r>
        <w:rPr>
          <w:rFonts w:hint="eastAsia" w:cs="宋体"/>
        </w:rPr>
        <w:t>评标方法</w:t>
      </w:r>
    </w:p>
    <w:tbl>
      <w:tblPr>
        <w:tblStyle w:val="18"/>
        <w:tblW w:w="9078" w:type="dxa"/>
        <w:jc w:val="center"/>
        <w:tblCellSpacing w:w="0" w:type="dxa"/>
        <w:tblLayout w:type="autofit"/>
        <w:tblCellMar>
          <w:top w:w="45" w:type="dxa"/>
          <w:left w:w="45" w:type="dxa"/>
          <w:bottom w:w="45" w:type="dxa"/>
          <w:right w:w="45" w:type="dxa"/>
        </w:tblCellMar>
      </w:tblPr>
      <w:tblGrid>
        <w:gridCol w:w="8685"/>
        <w:gridCol w:w="393"/>
      </w:tblGrid>
      <w:tr w14:paraId="14979044">
        <w:trPr>
          <w:tblCellSpacing w:w="0" w:type="dxa"/>
          <w:jc w:val="center"/>
        </w:trPr>
        <w:tc>
          <w:tcPr>
            <w:tcW w:w="0" w:type="auto"/>
            <w:shd w:val="clear" w:color="auto" w:fill="auto"/>
            <w:vAlign w:val="center"/>
          </w:tcPr>
          <w:p w14:paraId="4D97659A">
            <w:pPr>
              <w:widowControl/>
              <w:jc w:val="left"/>
              <w:rPr>
                <w:b/>
                <w:bCs/>
                <w:sz w:val="24"/>
              </w:rPr>
            </w:pPr>
            <w:r>
              <w:rPr>
                <w:b/>
                <w:bCs/>
              </w:rPr>
              <w:t>评标方法：综合评分法</w:t>
            </w:r>
          </w:p>
        </w:tc>
        <w:tc>
          <w:tcPr>
            <w:tcW w:w="0" w:type="auto"/>
            <w:shd w:val="clear" w:color="auto" w:fill="auto"/>
            <w:vAlign w:val="center"/>
          </w:tcPr>
          <w:p w14:paraId="35539674">
            <w:pPr>
              <w:jc w:val="right"/>
              <w:rPr>
                <w:rFonts w:ascii="宋体"/>
                <w:b/>
                <w:bCs/>
                <w:sz w:val="24"/>
              </w:rPr>
            </w:pPr>
          </w:p>
        </w:tc>
      </w:tr>
      <w:tr w14:paraId="5AF1041A">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14:paraId="4D9E0D83">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14:paraId="0758FF9E">
            <w:pPr>
              <w:ind w:firstLine="420"/>
              <w:rPr>
                <w:szCs w:val="21"/>
              </w:rPr>
            </w:pPr>
            <w:r>
              <w:rPr>
                <w:szCs w:val="21"/>
              </w:rPr>
              <w:t>价格分计算方法：</w:t>
            </w:r>
          </w:p>
          <w:p w14:paraId="7FF673F1">
            <w:pPr>
              <w:pStyle w:val="14"/>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14:paraId="36D35C9C">
            <w:pPr>
              <w:pStyle w:val="14"/>
              <w:widowControl/>
              <w:spacing w:line="324" w:lineRule="auto"/>
              <w:ind w:left="420"/>
              <w:rPr>
                <w:sz w:val="21"/>
                <w:szCs w:val="21"/>
              </w:rPr>
            </w:pPr>
            <w:r>
              <w:rPr>
                <w:sz w:val="21"/>
                <w:szCs w:val="21"/>
              </w:rPr>
              <w:t>投标报价得分=(评标基准价／投标报价)×100</w:t>
            </w:r>
          </w:p>
          <w:p w14:paraId="467EE684">
            <w:pPr>
              <w:pStyle w:val="14"/>
              <w:widowControl/>
              <w:spacing w:line="324" w:lineRule="auto"/>
              <w:ind w:left="420"/>
              <w:rPr>
                <w:sz w:val="21"/>
                <w:szCs w:val="21"/>
              </w:rPr>
            </w:pPr>
            <w:r>
              <w:rPr>
                <w:sz w:val="21"/>
                <w:szCs w:val="21"/>
              </w:rPr>
              <w:t xml:space="preserve">评标总得分＝F1×A1＋F2×A2＋……＋Fn×An </w:t>
            </w:r>
          </w:p>
          <w:p w14:paraId="3409E334">
            <w:pPr>
              <w:pStyle w:val="14"/>
              <w:widowControl/>
              <w:spacing w:line="324" w:lineRule="auto"/>
              <w:ind w:left="420"/>
              <w:rPr>
                <w:sz w:val="21"/>
                <w:szCs w:val="21"/>
              </w:rPr>
            </w:pPr>
            <w:r>
              <w:rPr>
                <w:sz w:val="21"/>
                <w:szCs w:val="21"/>
              </w:rPr>
              <w:t xml:space="preserve">F1、F2……Fn分别为各项评审因素的得分； </w:t>
            </w:r>
          </w:p>
          <w:p w14:paraId="663CD18C">
            <w:pPr>
              <w:pStyle w:val="14"/>
              <w:widowControl/>
              <w:spacing w:line="324" w:lineRule="auto"/>
              <w:ind w:left="420"/>
              <w:rPr>
                <w:sz w:val="21"/>
                <w:szCs w:val="21"/>
              </w:rPr>
            </w:pPr>
            <w:r>
              <w:rPr>
                <w:sz w:val="21"/>
                <w:szCs w:val="21"/>
              </w:rPr>
              <w:t xml:space="preserve">A1、A2、……An 分别为各项评审因素所占的权重(A1＋A2＋……＋An＝1)。 </w:t>
            </w:r>
          </w:p>
          <w:p w14:paraId="13691F50">
            <w:pPr>
              <w:pStyle w:val="14"/>
              <w:widowControl/>
              <w:spacing w:line="324" w:lineRule="auto"/>
              <w:ind w:left="420"/>
              <w:rPr>
                <w:sz w:val="21"/>
                <w:szCs w:val="21"/>
              </w:rPr>
            </w:pPr>
            <w:r>
              <w:rPr>
                <w:sz w:val="21"/>
                <w:szCs w:val="21"/>
              </w:rPr>
              <w:t xml:space="preserve">评标过程中，不得去掉报价中的最高报价和最低报价。 </w:t>
            </w:r>
          </w:p>
          <w:p w14:paraId="02916E46">
            <w:pPr>
              <w:pStyle w:val="14"/>
              <w:widowControl/>
              <w:spacing w:line="324" w:lineRule="auto"/>
              <w:ind w:left="420"/>
              <w:rPr>
                <w:sz w:val="21"/>
                <w:szCs w:val="21"/>
              </w:rPr>
            </w:pPr>
            <w:r>
              <w:rPr>
                <w:sz w:val="21"/>
                <w:szCs w:val="21"/>
              </w:rPr>
              <w:t>此方法适用于货物类、服务类、工程类项目。</w:t>
            </w:r>
          </w:p>
        </w:tc>
      </w:tr>
    </w:tbl>
    <w:p w14:paraId="204E1511"/>
    <w:p w14:paraId="1F6ECCA0">
      <w:pPr>
        <w:pStyle w:val="17"/>
      </w:pPr>
    </w:p>
    <w:tbl>
      <w:tblPr>
        <w:tblStyle w:val="18"/>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394"/>
        <w:gridCol w:w="39"/>
        <w:gridCol w:w="1420"/>
        <w:gridCol w:w="4678"/>
      </w:tblGrid>
      <w:tr w14:paraId="2F0D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14:paraId="7C7DD532">
            <w:pPr>
              <w:spacing w:line="240" w:lineRule="exact"/>
              <w:jc w:val="center"/>
              <w:rPr>
                <w:rFonts w:ascii="宋体" w:hAnsi="宋体" w:cs="宋体"/>
                <w:b/>
                <w:szCs w:val="21"/>
              </w:rPr>
            </w:pPr>
            <w:r>
              <w:rPr>
                <w:rFonts w:hint="eastAsia" w:ascii="宋体" w:hAnsi="宋体" w:cs="宋体"/>
                <w:b/>
                <w:szCs w:val="21"/>
              </w:rPr>
              <w:t>序号</w:t>
            </w:r>
          </w:p>
        </w:tc>
        <w:tc>
          <w:tcPr>
            <w:tcW w:w="3552" w:type="dxa"/>
            <w:gridSpan w:val="4"/>
            <w:vAlign w:val="center"/>
          </w:tcPr>
          <w:p w14:paraId="43549B7A">
            <w:pPr>
              <w:spacing w:line="240" w:lineRule="exact"/>
              <w:jc w:val="center"/>
              <w:rPr>
                <w:rFonts w:ascii="宋体" w:hAnsi="宋体" w:cs="宋体"/>
                <w:b/>
                <w:szCs w:val="21"/>
              </w:rPr>
            </w:pPr>
            <w:r>
              <w:rPr>
                <w:rFonts w:hint="eastAsia" w:ascii="宋体" w:hAnsi="宋体" w:cs="宋体"/>
                <w:b/>
                <w:szCs w:val="21"/>
              </w:rPr>
              <w:t>评分项</w:t>
            </w:r>
          </w:p>
        </w:tc>
        <w:tc>
          <w:tcPr>
            <w:tcW w:w="4678" w:type="dxa"/>
            <w:vAlign w:val="center"/>
          </w:tcPr>
          <w:p w14:paraId="5FF6E814">
            <w:pPr>
              <w:spacing w:line="240" w:lineRule="exact"/>
              <w:jc w:val="center"/>
              <w:rPr>
                <w:rFonts w:ascii="宋体" w:hAnsi="宋体" w:cs="宋体"/>
                <w:b/>
                <w:szCs w:val="21"/>
              </w:rPr>
            </w:pPr>
            <w:r>
              <w:rPr>
                <w:rFonts w:hint="eastAsia" w:ascii="宋体" w:hAnsi="宋体" w:cs="宋体"/>
                <w:b/>
                <w:szCs w:val="21"/>
              </w:rPr>
              <w:t>权重</w:t>
            </w:r>
          </w:p>
        </w:tc>
      </w:tr>
      <w:tr w14:paraId="6C55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14:paraId="094E7F8D">
            <w:pPr>
              <w:spacing w:line="240" w:lineRule="exact"/>
              <w:jc w:val="center"/>
              <w:rPr>
                <w:rFonts w:ascii="宋体" w:hAnsi="宋体" w:cs="宋体"/>
                <w:b/>
                <w:szCs w:val="21"/>
              </w:rPr>
            </w:pPr>
            <w:r>
              <w:rPr>
                <w:rFonts w:hint="eastAsia" w:ascii="宋体" w:hAnsi="宋体" w:cs="宋体"/>
                <w:b/>
                <w:szCs w:val="21"/>
              </w:rPr>
              <w:t>1</w:t>
            </w:r>
          </w:p>
        </w:tc>
        <w:tc>
          <w:tcPr>
            <w:tcW w:w="3552" w:type="dxa"/>
            <w:gridSpan w:val="4"/>
            <w:vAlign w:val="center"/>
          </w:tcPr>
          <w:p w14:paraId="4DC3ACC8">
            <w:pPr>
              <w:spacing w:line="24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14:paraId="044958EC">
            <w:pPr>
              <w:spacing w:line="240" w:lineRule="exact"/>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10</w:t>
            </w:r>
          </w:p>
        </w:tc>
      </w:tr>
      <w:tr w14:paraId="7BCE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14:paraId="0AFDA187">
            <w:pPr>
              <w:spacing w:line="240" w:lineRule="exact"/>
              <w:jc w:val="center"/>
              <w:rPr>
                <w:rFonts w:ascii="宋体" w:hAnsi="宋体" w:cs="宋体"/>
                <w:b/>
                <w:szCs w:val="21"/>
              </w:rPr>
            </w:pPr>
            <w:r>
              <w:rPr>
                <w:rFonts w:hint="eastAsia" w:ascii="宋体" w:hAnsi="宋体" w:cs="宋体"/>
                <w:b/>
                <w:szCs w:val="21"/>
              </w:rPr>
              <w:t>2</w:t>
            </w:r>
          </w:p>
        </w:tc>
        <w:tc>
          <w:tcPr>
            <w:tcW w:w="3552" w:type="dxa"/>
            <w:gridSpan w:val="4"/>
            <w:vAlign w:val="center"/>
          </w:tcPr>
          <w:p w14:paraId="3B8E0034">
            <w:pPr>
              <w:spacing w:line="24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14:paraId="6C493DC6">
            <w:pPr>
              <w:spacing w:line="240" w:lineRule="exact"/>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70</w:t>
            </w:r>
          </w:p>
        </w:tc>
      </w:tr>
      <w:tr w14:paraId="14EE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14:paraId="704F8271">
            <w:pPr>
              <w:jc w:val="center"/>
              <w:rPr>
                <w:rFonts w:ascii="宋体" w:hAnsi="宋体" w:cs="宋体"/>
                <w:szCs w:val="21"/>
              </w:rPr>
            </w:pPr>
          </w:p>
        </w:tc>
        <w:tc>
          <w:tcPr>
            <w:tcW w:w="699" w:type="dxa"/>
            <w:vAlign w:val="center"/>
          </w:tcPr>
          <w:p w14:paraId="6E297EFC">
            <w:pPr>
              <w:jc w:val="center"/>
              <w:rPr>
                <w:rFonts w:ascii="宋体" w:hAnsi="宋体" w:cs="宋体"/>
                <w:b/>
                <w:bCs/>
                <w:szCs w:val="21"/>
              </w:rPr>
            </w:pPr>
            <w:r>
              <w:rPr>
                <w:rFonts w:hint="eastAsia" w:ascii="宋体" w:hAnsi="宋体" w:cs="宋体"/>
                <w:b/>
                <w:bCs/>
                <w:szCs w:val="21"/>
              </w:rPr>
              <w:t>序号</w:t>
            </w:r>
          </w:p>
        </w:tc>
        <w:tc>
          <w:tcPr>
            <w:tcW w:w="1433" w:type="dxa"/>
            <w:gridSpan w:val="2"/>
            <w:vAlign w:val="center"/>
          </w:tcPr>
          <w:p w14:paraId="0FD0CB9D">
            <w:pPr>
              <w:jc w:val="center"/>
              <w:rPr>
                <w:rFonts w:ascii="宋体" w:hAnsi="宋体" w:cs="宋体"/>
                <w:b/>
                <w:bCs/>
                <w:szCs w:val="21"/>
              </w:rPr>
            </w:pPr>
            <w:r>
              <w:rPr>
                <w:rFonts w:hint="eastAsia" w:ascii="宋体" w:hAnsi="宋体" w:cs="宋体"/>
                <w:b/>
                <w:bCs/>
                <w:szCs w:val="21"/>
              </w:rPr>
              <w:t>评分因素</w:t>
            </w:r>
          </w:p>
        </w:tc>
        <w:tc>
          <w:tcPr>
            <w:tcW w:w="1420" w:type="dxa"/>
            <w:vAlign w:val="center"/>
          </w:tcPr>
          <w:p w14:paraId="35EBA41A">
            <w:pPr>
              <w:jc w:val="center"/>
              <w:rPr>
                <w:rFonts w:ascii="宋体" w:hAnsi="宋体" w:cs="宋体"/>
                <w:b/>
                <w:bCs/>
                <w:szCs w:val="21"/>
              </w:rPr>
            </w:pPr>
            <w:r>
              <w:rPr>
                <w:rFonts w:hint="eastAsia" w:ascii="宋体" w:hAnsi="宋体" w:cs="宋体"/>
                <w:b/>
                <w:bCs/>
                <w:szCs w:val="21"/>
              </w:rPr>
              <w:t>权重</w:t>
            </w:r>
          </w:p>
        </w:tc>
        <w:tc>
          <w:tcPr>
            <w:tcW w:w="4678" w:type="dxa"/>
            <w:vAlign w:val="center"/>
          </w:tcPr>
          <w:p w14:paraId="4B5C03AC">
            <w:pPr>
              <w:jc w:val="center"/>
              <w:rPr>
                <w:rFonts w:ascii="宋体" w:hAnsi="宋体" w:cs="宋体"/>
                <w:b/>
                <w:bCs/>
                <w:szCs w:val="21"/>
              </w:rPr>
            </w:pPr>
            <w:r>
              <w:rPr>
                <w:rFonts w:hint="eastAsia" w:ascii="宋体" w:hAnsi="宋体" w:cs="宋体"/>
                <w:b/>
                <w:bCs/>
                <w:szCs w:val="21"/>
              </w:rPr>
              <w:t>评分准则</w:t>
            </w:r>
          </w:p>
        </w:tc>
      </w:tr>
      <w:tr w14:paraId="69B8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14:paraId="317B0D0E">
            <w:pPr>
              <w:keepNext/>
              <w:keepLines/>
              <w:spacing w:before="340" w:after="330"/>
              <w:jc w:val="center"/>
              <w:outlineLvl w:val="0"/>
              <w:rPr>
                <w:rFonts w:ascii="宋体" w:hAnsi="宋体" w:cs="宋体"/>
                <w:szCs w:val="21"/>
              </w:rPr>
            </w:pPr>
          </w:p>
        </w:tc>
        <w:tc>
          <w:tcPr>
            <w:tcW w:w="699" w:type="dxa"/>
            <w:vAlign w:val="center"/>
          </w:tcPr>
          <w:p w14:paraId="40EF2647">
            <w:pPr>
              <w:jc w:val="center"/>
              <w:rPr>
                <w:rFonts w:ascii="宋体" w:hAnsi="宋体" w:cs="宋体"/>
                <w:szCs w:val="21"/>
              </w:rPr>
            </w:pPr>
            <w:r>
              <w:rPr>
                <w:rFonts w:hint="eastAsia" w:ascii="仿宋" w:hAnsi="仿宋" w:eastAsia="仿宋"/>
                <w:szCs w:val="21"/>
              </w:rPr>
              <w:t>1</w:t>
            </w:r>
          </w:p>
        </w:tc>
        <w:tc>
          <w:tcPr>
            <w:tcW w:w="1433" w:type="dxa"/>
            <w:gridSpan w:val="2"/>
            <w:vAlign w:val="center"/>
          </w:tcPr>
          <w:p w14:paraId="07976225">
            <w:pPr>
              <w:jc w:val="center"/>
              <w:rPr>
                <w:rFonts w:ascii="宋体" w:hAnsi="宋体" w:cs="宋体"/>
                <w:szCs w:val="21"/>
              </w:rPr>
            </w:pPr>
            <w:r>
              <w:rPr>
                <w:rFonts w:hint="eastAsia" w:ascii="仿宋" w:hAnsi="仿宋" w:eastAsia="仿宋" w:cs="宋体"/>
                <w:kern w:val="0"/>
                <w:szCs w:val="21"/>
              </w:rPr>
              <w:t>技术规格偏离情况</w:t>
            </w:r>
          </w:p>
        </w:tc>
        <w:tc>
          <w:tcPr>
            <w:tcW w:w="1420" w:type="dxa"/>
            <w:vAlign w:val="center"/>
          </w:tcPr>
          <w:p w14:paraId="4E740CE5">
            <w:pPr>
              <w:jc w:val="center"/>
              <w:rPr>
                <w:rFonts w:ascii="宋体" w:hAnsi="宋体" w:eastAsia="仿宋" w:cs="宋体"/>
                <w:szCs w:val="21"/>
              </w:rPr>
            </w:pPr>
            <w:r>
              <w:rPr>
                <w:rFonts w:hint="eastAsia" w:ascii="仿宋" w:hAnsi="仿宋" w:eastAsia="仿宋"/>
                <w:szCs w:val="21"/>
                <w:lang w:val="en-US" w:eastAsia="zh-CN"/>
              </w:rPr>
              <w:t>54</w:t>
            </w:r>
          </w:p>
        </w:tc>
        <w:tc>
          <w:tcPr>
            <w:tcW w:w="4678" w:type="dxa"/>
          </w:tcPr>
          <w:p w14:paraId="45D744E9">
            <w:pPr>
              <w:tabs>
                <w:tab w:val="left" w:pos="2869"/>
                <w:tab w:val="left" w:pos="3010"/>
              </w:tabs>
              <w:rPr>
                <w:rFonts w:ascii="仿宋" w:hAnsi="仿宋" w:eastAsia="仿宋"/>
                <w:b/>
                <w:szCs w:val="21"/>
              </w:rPr>
            </w:pPr>
            <w:r>
              <w:rPr>
                <w:rFonts w:hint="eastAsia" w:ascii="仿宋" w:hAnsi="仿宋" w:eastAsia="仿宋"/>
                <w:b/>
                <w:szCs w:val="21"/>
              </w:rPr>
              <w:t>（一）评审内容：</w:t>
            </w:r>
          </w:p>
          <w:p w14:paraId="683F6471">
            <w:pPr>
              <w:tabs>
                <w:tab w:val="left" w:pos="2869"/>
                <w:tab w:val="left" w:pos="3010"/>
              </w:tabs>
              <w:jc w:val="left"/>
              <w:rPr>
                <w:rFonts w:ascii="仿宋" w:hAnsi="仿宋" w:eastAsia="仿宋" w:cs="宋体"/>
                <w:szCs w:val="21"/>
              </w:rPr>
            </w:pPr>
            <w:r>
              <w:rPr>
                <w:rFonts w:hint="eastAsia" w:ascii="仿宋" w:hAnsi="仿宋" w:eastAsia="仿宋" w:cs="宋体"/>
                <w:szCs w:val="21"/>
              </w:rPr>
              <w:t>投标人应如实填写《技术规格偏离表》，</w:t>
            </w:r>
            <w:r>
              <w:rPr>
                <w:rFonts w:hint="eastAsia" w:ascii="仿宋" w:hAnsi="仿宋" w:eastAsia="仿宋"/>
                <w:szCs w:val="21"/>
              </w:rPr>
              <w:t>评审专家</w:t>
            </w:r>
            <w:r>
              <w:rPr>
                <w:rFonts w:hint="eastAsia" w:ascii="仿宋" w:hAnsi="仿宋" w:eastAsia="仿宋" w:cs="宋体"/>
                <w:szCs w:val="21"/>
              </w:rPr>
              <w:t>根据技术需求参数响应情况进行评审。</w:t>
            </w:r>
          </w:p>
          <w:p w14:paraId="1C1F47A4">
            <w:pPr>
              <w:tabs>
                <w:tab w:val="left" w:pos="2869"/>
                <w:tab w:val="left" w:pos="3010"/>
              </w:tabs>
              <w:jc w:val="left"/>
              <w:rPr>
                <w:rFonts w:ascii="仿宋" w:hAnsi="仿宋" w:eastAsia="仿宋"/>
                <w:b/>
                <w:szCs w:val="21"/>
              </w:rPr>
            </w:pPr>
            <w:r>
              <w:rPr>
                <w:rFonts w:hint="eastAsia" w:ascii="仿宋" w:hAnsi="仿宋" w:eastAsia="仿宋"/>
                <w:b/>
                <w:szCs w:val="21"/>
              </w:rPr>
              <w:t>（二）评分标准与依据：</w:t>
            </w:r>
            <w:r>
              <w:rPr>
                <w:rFonts w:hint="eastAsia" w:ascii="仿宋" w:hAnsi="仿宋" w:eastAsia="仿宋" w:cs="宋体"/>
                <w:szCs w:val="21"/>
              </w:rPr>
              <w:t xml:space="preserve"> </w:t>
            </w:r>
          </w:p>
          <w:p w14:paraId="4A2BA708">
            <w:pPr>
              <w:tabs>
                <w:tab w:val="left" w:pos="2869"/>
                <w:tab w:val="left" w:pos="3010"/>
              </w:tabs>
              <w:jc w:val="left"/>
              <w:rPr>
                <w:rFonts w:ascii="宋体" w:hAnsi="宋体" w:cs="宋体"/>
                <w:szCs w:val="21"/>
              </w:rPr>
            </w:pPr>
            <w:r>
              <w:rPr>
                <w:rFonts w:hint="eastAsia" w:ascii="仿宋" w:hAnsi="仿宋" w:eastAsia="仿宋" w:cs="宋体"/>
                <w:szCs w:val="21"/>
              </w:rPr>
              <w:t>完全满足招标文件要求的得</w:t>
            </w:r>
            <w:r>
              <w:rPr>
                <w:rFonts w:hint="eastAsia" w:ascii="仿宋" w:hAnsi="仿宋" w:eastAsia="仿宋" w:cs="宋体"/>
                <w:szCs w:val="21"/>
                <w:lang w:val="en-US" w:eastAsia="zh-CN"/>
              </w:rPr>
              <w:t>54</w:t>
            </w:r>
            <w:r>
              <w:rPr>
                <w:rFonts w:hint="eastAsia" w:ascii="仿宋" w:hAnsi="仿宋" w:eastAsia="仿宋" w:cs="宋体"/>
                <w:szCs w:val="21"/>
              </w:rPr>
              <w:t>分，标注“▲”条款，每负偏离一项扣</w:t>
            </w:r>
            <w:r>
              <w:rPr>
                <w:rFonts w:hint="eastAsia" w:ascii="仿宋" w:hAnsi="仿宋" w:eastAsia="仿宋" w:cs="宋体"/>
                <w:szCs w:val="21"/>
                <w:lang w:val="en-US" w:eastAsia="zh-CN"/>
              </w:rPr>
              <w:t>2</w:t>
            </w:r>
            <w:r>
              <w:rPr>
                <w:rFonts w:hint="eastAsia" w:ascii="仿宋" w:hAnsi="仿宋" w:eastAsia="仿宋" w:cs="宋体"/>
                <w:szCs w:val="21"/>
              </w:rPr>
              <w:t>分；未标注“▲”和“★”的为一般条款，每负偏离一项扣</w:t>
            </w:r>
            <w:r>
              <w:rPr>
                <w:rFonts w:hint="eastAsia" w:ascii="仿宋" w:hAnsi="仿宋" w:eastAsia="仿宋" w:cs="宋体"/>
                <w:szCs w:val="21"/>
                <w:lang w:val="en-US" w:eastAsia="zh-CN"/>
              </w:rPr>
              <w:t>0.2</w:t>
            </w:r>
            <w:r>
              <w:rPr>
                <w:rFonts w:hint="eastAsia" w:ascii="仿宋" w:hAnsi="仿宋" w:eastAsia="仿宋" w:cs="宋体"/>
                <w:szCs w:val="21"/>
              </w:rPr>
              <w:t>分</w:t>
            </w:r>
            <w:bookmarkStart w:id="10" w:name="_GoBack"/>
            <w:bookmarkEnd w:id="10"/>
            <w:r>
              <w:rPr>
                <w:rFonts w:hint="eastAsia" w:ascii="仿宋" w:hAnsi="仿宋" w:eastAsia="仿宋" w:cs="宋体"/>
                <w:szCs w:val="21"/>
              </w:rPr>
              <w:t>。扣完为止。</w:t>
            </w:r>
          </w:p>
        </w:tc>
      </w:tr>
      <w:tr w14:paraId="6C9F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1D193BD6">
            <w:pPr>
              <w:keepNext/>
              <w:keepLines/>
              <w:spacing w:before="340" w:after="330"/>
              <w:jc w:val="center"/>
              <w:outlineLvl w:val="0"/>
              <w:rPr>
                <w:rFonts w:ascii="宋体" w:hAnsi="宋体" w:cs="宋体"/>
                <w:szCs w:val="21"/>
              </w:rPr>
            </w:pPr>
          </w:p>
        </w:tc>
        <w:tc>
          <w:tcPr>
            <w:tcW w:w="699" w:type="dxa"/>
            <w:vAlign w:val="center"/>
          </w:tcPr>
          <w:p w14:paraId="7EF75892">
            <w:pPr>
              <w:jc w:val="center"/>
              <w:rPr>
                <w:rFonts w:ascii="宋体" w:hAnsi="宋体" w:cs="宋体"/>
                <w:szCs w:val="21"/>
              </w:rPr>
            </w:pPr>
            <w:r>
              <w:rPr>
                <w:rFonts w:hint="eastAsia" w:ascii="仿宋" w:hAnsi="仿宋" w:eastAsia="仿宋"/>
                <w:szCs w:val="21"/>
              </w:rPr>
              <w:t>2</w:t>
            </w:r>
          </w:p>
        </w:tc>
        <w:tc>
          <w:tcPr>
            <w:tcW w:w="1433" w:type="dxa"/>
            <w:gridSpan w:val="2"/>
            <w:vAlign w:val="center"/>
          </w:tcPr>
          <w:p w14:paraId="5CCDB275">
            <w:pPr>
              <w:jc w:val="center"/>
              <w:rPr>
                <w:rFonts w:ascii="宋体" w:hAnsi="宋体" w:cs="宋体"/>
                <w:kern w:val="0"/>
                <w:szCs w:val="21"/>
              </w:rPr>
            </w:pPr>
            <w:r>
              <w:rPr>
                <w:rFonts w:hint="eastAsia" w:ascii="仿宋" w:hAnsi="仿宋" w:eastAsia="仿宋"/>
                <w:szCs w:val="21"/>
              </w:rPr>
              <w:t>实施方案（工作措施、工作方法、工作手段、工作流程）</w:t>
            </w:r>
          </w:p>
        </w:tc>
        <w:tc>
          <w:tcPr>
            <w:tcW w:w="1420" w:type="dxa"/>
            <w:vAlign w:val="center"/>
          </w:tcPr>
          <w:p w14:paraId="6ED98E46">
            <w:pPr>
              <w:jc w:val="center"/>
              <w:rPr>
                <w:rFonts w:ascii="宋体" w:hAnsi="宋体" w:cs="宋体"/>
                <w:szCs w:val="21"/>
              </w:rPr>
            </w:pPr>
            <w:r>
              <w:rPr>
                <w:rFonts w:ascii="仿宋" w:hAnsi="仿宋" w:eastAsia="仿宋"/>
                <w:szCs w:val="21"/>
              </w:rPr>
              <w:t>1</w:t>
            </w:r>
            <w:r>
              <w:rPr>
                <w:rFonts w:hint="eastAsia" w:ascii="仿宋" w:hAnsi="仿宋" w:eastAsia="仿宋"/>
                <w:szCs w:val="21"/>
              </w:rPr>
              <w:t>0</w:t>
            </w:r>
          </w:p>
        </w:tc>
        <w:tc>
          <w:tcPr>
            <w:tcW w:w="4678" w:type="dxa"/>
          </w:tcPr>
          <w:p w14:paraId="7A9DAF26">
            <w:pPr>
              <w:tabs>
                <w:tab w:val="left" w:pos="2869"/>
                <w:tab w:val="left" w:pos="3010"/>
              </w:tabs>
              <w:rPr>
                <w:rFonts w:hint="eastAsia" w:ascii="仿宋" w:hAnsi="仿宋" w:eastAsia="仿宋"/>
                <w:b/>
                <w:szCs w:val="21"/>
              </w:rPr>
            </w:pPr>
            <w:r>
              <w:rPr>
                <w:rFonts w:hint="eastAsia" w:ascii="仿宋" w:hAnsi="仿宋" w:eastAsia="仿宋"/>
                <w:b/>
                <w:szCs w:val="21"/>
              </w:rPr>
              <w:t>（一）评审内容：</w:t>
            </w:r>
          </w:p>
          <w:p w14:paraId="534304F3">
            <w:pPr>
              <w:tabs>
                <w:tab w:val="left" w:pos="2869"/>
                <w:tab w:val="left" w:pos="3010"/>
              </w:tabs>
              <w:jc w:val="left"/>
              <w:rPr>
                <w:rFonts w:hint="eastAsia" w:ascii="仿宋" w:hAnsi="仿宋" w:eastAsia="仿宋"/>
                <w:szCs w:val="21"/>
                <w:lang w:val="en-US" w:eastAsia="zh-CN"/>
              </w:rPr>
            </w:pPr>
            <w:r>
              <w:rPr>
                <w:rFonts w:hint="eastAsia" w:ascii="仿宋" w:hAnsi="仿宋" w:eastAsia="仿宋"/>
                <w:szCs w:val="21"/>
              </w:rPr>
              <w:t>投标人提供实施方案</w:t>
            </w:r>
            <w:r>
              <w:rPr>
                <w:rFonts w:hint="eastAsia" w:ascii="仿宋" w:hAnsi="仿宋" w:eastAsia="仿宋"/>
                <w:szCs w:val="21"/>
                <w:lang w:val="en-US" w:eastAsia="zh-CN"/>
              </w:rPr>
              <w:t>包括但不限于：</w:t>
            </w:r>
          </w:p>
          <w:p w14:paraId="7BA97C40">
            <w:pPr>
              <w:tabs>
                <w:tab w:val="left" w:pos="2869"/>
                <w:tab w:val="left" w:pos="3010"/>
              </w:tabs>
              <w:jc w:val="left"/>
              <w:rPr>
                <w:rFonts w:hint="eastAsia" w:ascii="仿宋" w:hAnsi="仿宋" w:eastAsia="仿宋"/>
                <w:szCs w:val="21"/>
                <w:lang w:eastAsia="zh-CN"/>
              </w:rPr>
            </w:pPr>
            <w:r>
              <w:rPr>
                <w:rFonts w:hint="eastAsia" w:ascii="仿宋" w:hAnsi="仿宋" w:eastAsia="仿宋"/>
                <w:szCs w:val="21"/>
                <w:lang w:val="en-US" w:eastAsia="zh-CN"/>
              </w:rPr>
              <w:t>1.工作措施；2.工作方法；3.工作手段；工作流程</w:t>
            </w:r>
            <w:r>
              <w:rPr>
                <w:rFonts w:hint="eastAsia" w:ascii="仿宋" w:hAnsi="仿宋" w:eastAsia="仿宋"/>
                <w:szCs w:val="21"/>
              </w:rPr>
              <w:t>。评审专家根据</w:t>
            </w:r>
            <w:r>
              <w:rPr>
                <w:rFonts w:hint="eastAsia" w:ascii="仿宋" w:hAnsi="仿宋" w:eastAsia="仿宋" w:cs="宋体"/>
                <w:szCs w:val="21"/>
              </w:rPr>
              <w:t>投标人提供的项目实施技术保障方案进行综合评价</w:t>
            </w:r>
            <w:r>
              <w:rPr>
                <w:rFonts w:hint="eastAsia" w:ascii="仿宋" w:hAnsi="仿宋" w:eastAsia="仿宋" w:cs="宋体"/>
                <w:szCs w:val="21"/>
                <w:lang w:eastAsia="zh-CN"/>
              </w:rPr>
              <w:t>。</w:t>
            </w:r>
          </w:p>
          <w:p w14:paraId="43B6BB3D">
            <w:pPr>
              <w:numPr>
                <w:ilvl w:val="0"/>
                <w:numId w:val="0"/>
              </w:numPr>
              <w:tabs>
                <w:tab w:val="left" w:pos="2869"/>
                <w:tab w:val="left" w:pos="3010"/>
              </w:tabs>
              <w:jc w:val="left"/>
              <w:rPr>
                <w:rFonts w:hint="eastAsia" w:ascii="仿宋" w:hAnsi="仿宋" w:eastAsia="仿宋" w:cs="宋体"/>
                <w:szCs w:val="21"/>
              </w:rPr>
            </w:pPr>
            <w:r>
              <w:rPr>
                <w:rFonts w:hint="eastAsia" w:ascii="仿宋" w:hAnsi="仿宋" w:eastAsia="仿宋" w:cs="宋体"/>
                <w:b/>
                <w:bCs/>
                <w:kern w:val="2"/>
                <w:sz w:val="21"/>
                <w:szCs w:val="21"/>
                <w:lang w:val="en-US" w:eastAsia="zh-CN" w:bidi="ar-SA"/>
              </w:rPr>
              <w:t>（二）</w:t>
            </w:r>
            <w:r>
              <w:rPr>
                <w:rFonts w:hint="eastAsia" w:ascii="仿宋" w:hAnsi="仿宋" w:eastAsia="仿宋"/>
                <w:b/>
                <w:szCs w:val="21"/>
              </w:rPr>
              <w:t>评分标准与依据：</w:t>
            </w:r>
            <w:r>
              <w:rPr>
                <w:rFonts w:hint="eastAsia" w:ascii="仿宋" w:hAnsi="仿宋" w:eastAsia="仿宋" w:cs="宋体"/>
                <w:szCs w:val="21"/>
              </w:rPr>
              <w:t xml:space="preserve"> </w:t>
            </w:r>
          </w:p>
          <w:p w14:paraId="13C0F2B5">
            <w:pPr>
              <w:tabs>
                <w:tab w:val="left" w:pos="0"/>
              </w:tabs>
              <w:jc w:val="left"/>
              <w:rPr>
                <w:rFonts w:hint="eastAsia" w:ascii="仿宋" w:hAnsi="仿宋" w:eastAsia="仿宋"/>
                <w:szCs w:val="21"/>
              </w:rPr>
            </w:pPr>
            <w:r>
              <w:rPr>
                <w:rFonts w:hint="eastAsia" w:ascii="仿宋" w:hAnsi="仿宋" w:eastAsia="仿宋"/>
                <w:szCs w:val="21"/>
              </w:rPr>
              <w:t>1.投标人的实施方案科学、合理、贴合学校使用实际的，得</w:t>
            </w:r>
            <w:r>
              <w:rPr>
                <w:rFonts w:hint="eastAsia" w:ascii="仿宋" w:hAnsi="仿宋" w:eastAsia="仿宋"/>
                <w:szCs w:val="21"/>
                <w:lang w:val="en-US" w:eastAsia="zh-CN"/>
              </w:rPr>
              <w:t>10</w:t>
            </w:r>
            <w:r>
              <w:rPr>
                <w:rFonts w:hint="eastAsia" w:ascii="仿宋" w:hAnsi="仿宋" w:eastAsia="仿宋"/>
                <w:szCs w:val="21"/>
              </w:rPr>
              <w:t>分；</w:t>
            </w:r>
          </w:p>
          <w:p w14:paraId="69CBBB3C">
            <w:pPr>
              <w:tabs>
                <w:tab w:val="left" w:pos="0"/>
              </w:tabs>
              <w:jc w:val="left"/>
              <w:rPr>
                <w:rFonts w:hint="eastAsia" w:ascii="仿宋" w:hAnsi="仿宋" w:eastAsia="仿宋"/>
                <w:szCs w:val="21"/>
              </w:rPr>
            </w:pPr>
            <w:r>
              <w:rPr>
                <w:rFonts w:hint="eastAsia" w:ascii="仿宋" w:hAnsi="仿宋" w:eastAsia="仿宋"/>
                <w:szCs w:val="21"/>
              </w:rPr>
              <w:t>2.投标人的实施方案合理、贴合学校使用实际的，得</w:t>
            </w:r>
            <w:r>
              <w:rPr>
                <w:rFonts w:hint="eastAsia" w:ascii="仿宋" w:hAnsi="仿宋" w:eastAsia="仿宋"/>
                <w:szCs w:val="21"/>
                <w:lang w:val="en-US" w:eastAsia="zh-CN"/>
              </w:rPr>
              <w:t>6</w:t>
            </w:r>
            <w:r>
              <w:rPr>
                <w:rFonts w:hint="eastAsia" w:ascii="仿宋" w:hAnsi="仿宋" w:eastAsia="仿宋"/>
                <w:szCs w:val="21"/>
              </w:rPr>
              <w:t>分；</w:t>
            </w:r>
          </w:p>
          <w:p w14:paraId="75DDF059">
            <w:pPr>
              <w:tabs>
                <w:tab w:val="left" w:pos="0"/>
              </w:tabs>
              <w:jc w:val="left"/>
              <w:rPr>
                <w:rFonts w:hint="eastAsia" w:ascii="仿宋" w:hAnsi="仿宋" w:eastAsia="仿宋"/>
                <w:szCs w:val="21"/>
              </w:rPr>
            </w:pPr>
            <w:r>
              <w:rPr>
                <w:rFonts w:hint="eastAsia" w:ascii="仿宋" w:hAnsi="仿宋" w:eastAsia="仿宋"/>
                <w:szCs w:val="21"/>
              </w:rPr>
              <w:t>3.投标人的实施方案较合理的，得</w:t>
            </w:r>
            <w:r>
              <w:rPr>
                <w:rFonts w:hint="eastAsia" w:ascii="仿宋" w:hAnsi="仿宋" w:eastAsia="仿宋"/>
                <w:szCs w:val="21"/>
                <w:lang w:val="en-US" w:eastAsia="zh-CN"/>
              </w:rPr>
              <w:t>2</w:t>
            </w:r>
            <w:r>
              <w:rPr>
                <w:rFonts w:hint="eastAsia" w:ascii="仿宋" w:hAnsi="仿宋" w:eastAsia="仿宋"/>
                <w:szCs w:val="21"/>
              </w:rPr>
              <w:t>分；</w:t>
            </w:r>
          </w:p>
          <w:p w14:paraId="7A71C49E">
            <w:pPr>
              <w:tabs>
                <w:tab w:val="left" w:pos="0"/>
              </w:tabs>
              <w:jc w:val="left"/>
              <w:rPr>
                <w:rFonts w:ascii="仿宋" w:hAnsi="仿宋" w:eastAsia="仿宋" w:cs="宋体"/>
                <w:szCs w:val="21"/>
              </w:rPr>
            </w:pPr>
            <w:r>
              <w:rPr>
                <w:rFonts w:hint="eastAsia" w:ascii="仿宋" w:hAnsi="仿宋" w:eastAsia="仿宋"/>
                <w:szCs w:val="21"/>
              </w:rPr>
              <w:t>4.投标人的实施方案评价为差或不提供方案的，不得分。</w:t>
            </w:r>
          </w:p>
        </w:tc>
      </w:tr>
      <w:tr w14:paraId="18A7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45E263AF">
            <w:pPr>
              <w:keepNext/>
              <w:keepLines/>
              <w:spacing w:before="340" w:after="330"/>
              <w:jc w:val="center"/>
              <w:outlineLvl w:val="0"/>
              <w:rPr>
                <w:rFonts w:ascii="宋体" w:hAnsi="宋体" w:cs="宋体"/>
                <w:szCs w:val="21"/>
              </w:rPr>
            </w:pPr>
          </w:p>
        </w:tc>
        <w:tc>
          <w:tcPr>
            <w:tcW w:w="699" w:type="dxa"/>
            <w:vAlign w:val="center"/>
          </w:tcPr>
          <w:p w14:paraId="2721B71C">
            <w:pPr>
              <w:jc w:val="center"/>
              <w:rPr>
                <w:rFonts w:hint="eastAsia" w:ascii="仿宋" w:hAnsi="仿宋" w:eastAsia="仿宋"/>
                <w:szCs w:val="21"/>
              </w:rPr>
            </w:pPr>
            <w:r>
              <w:rPr>
                <w:rFonts w:hint="eastAsia" w:ascii="仿宋" w:hAnsi="仿宋" w:eastAsia="仿宋"/>
                <w:szCs w:val="21"/>
                <w:lang w:val="en-US" w:eastAsia="zh-CN"/>
              </w:rPr>
              <w:t>3</w:t>
            </w:r>
          </w:p>
        </w:tc>
        <w:tc>
          <w:tcPr>
            <w:tcW w:w="1433" w:type="dxa"/>
            <w:gridSpan w:val="2"/>
            <w:vAlign w:val="center"/>
          </w:tcPr>
          <w:p w14:paraId="2E896F1F">
            <w:pPr>
              <w:jc w:val="center"/>
              <w:rPr>
                <w:rFonts w:hint="eastAsia" w:ascii="仿宋" w:hAnsi="仿宋" w:eastAsia="仿宋"/>
                <w:szCs w:val="21"/>
              </w:rPr>
            </w:pPr>
            <w:r>
              <w:rPr>
                <w:rFonts w:hint="eastAsia" w:ascii="仿宋" w:hAnsi="仿宋" w:eastAsia="仿宋"/>
                <w:szCs w:val="21"/>
              </w:rPr>
              <w:t>质量保障措施及方案</w:t>
            </w:r>
          </w:p>
        </w:tc>
        <w:tc>
          <w:tcPr>
            <w:tcW w:w="1420" w:type="dxa"/>
            <w:vAlign w:val="center"/>
          </w:tcPr>
          <w:p w14:paraId="5D85D039">
            <w:pPr>
              <w:jc w:val="center"/>
              <w:rPr>
                <w:rFonts w:ascii="仿宋" w:hAnsi="仿宋" w:eastAsia="仿宋"/>
                <w:szCs w:val="21"/>
              </w:rPr>
            </w:pPr>
            <w:r>
              <w:rPr>
                <w:rFonts w:hint="eastAsia" w:ascii="仿宋" w:hAnsi="仿宋" w:eastAsia="仿宋"/>
                <w:szCs w:val="21"/>
                <w:lang w:val="en-US" w:eastAsia="zh-CN"/>
              </w:rPr>
              <w:t>6</w:t>
            </w:r>
          </w:p>
        </w:tc>
        <w:tc>
          <w:tcPr>
            <w:tcW w:w="4678" w:type="dxa"/>
          </w:tcPr>
          <w:p w14:paraId="275A4254">
            <w:pPr>
              <w:tabs>
                <w:tab w:val="left" w:pos="2869"/>
                <w:tab w:val="left" w:pos="3010"/>
              </w:tabs>
              <w:rPr>
                <w:rFonts w:ascii="仿宋" w:hAnsi="仿宋" w:eastAsia="仿宋"/>
                <w:b/>
                <w:szCs w:val="21"/>
              </w:rPr>
            </w:pPr>
            <w:r>
              <w:rPr>
                <w:rFonts w:hint="eastAsia" w:ascii="仿宋" w:hAnsi="仿宋" w:eastAsia="仿宋"/>
                <w:b/>
                <w:szCs w:val="21"/>
              </w:rPr>
              <w:t>（一）评审内容：</w:t>
            </w:r>
          </w:p>
          <w:p w14:paraId="425B8299">
            <w:pPr>
              <w:tabs>
                <w:tab w:val="left" w:pos="2869"/>
                <w:tab w:val="left" w:pos="3010"/>
              </w:tabs>
              <w:jc w:val="left"/>
              <w:rPr>
                <w:rFonts w:ascii="仿宋" w:hAnsi="仿宋" w:eastAsia="仿宋"/>
                <w:szCs w:val="21"/>
              </w:rPr>
            </w:pPr>
            <w:r>
              <w:rPr>
                <w:rFonts w:hint="eastAsia" w:ascii="仿宋" w:hAnsi="仿宋" w:eastAsia="仿宋"/>
                <w:szCs w:val="21"/>
              </w:rPr>
              <w:t>考察投标人针对本项目在</w:t>
            </w:r>
            <w:r>
              <w:rPr>
                <w:rFonts w:hint="eastAsia" w:ascii="仿宋" w:hAnsi="仿宋" w:eastAsia="仿宋"/>
                <w:b/>
                <w:szCs w:val="21"/>
                <w:u w:val="single"/>
              </w:rPr>
              <w:t>完成时间及进度安排、质量保证措施、应急处理方案</w:t>
            </w:r>
            <w:r>
              <w:rPr>
                <w:rFonts w:hint="eastAsia" w:ascii="仿宋" w:hAnsi="仿宋" w:eastAsia="仿宋"/>
                <w:szCs w:val="21"/>
              </w:rPr>
              <w:t>等方面的保障措施及方案。评审专家根据招标文件的需求和投标文件响应情况进行评审。</w:t>
            </w:r>
          </w:p>
          <w:p w14:paraId="76CF55D5">
            <w:pPr>
              <w:tabs>
                <w:tab w:val="left" w:pos="2869"/>
                <w:tab w:val="left" w:pos="3010"/>
              </w:tabs>
              <w:rPr>
                <w:rFonts w:ascii="仿宋" w:hAnsi="仿宋" w:eastAsia="仿宋"/>
                <w:b/>
                <w:szCs w:val="21"/>
              </w:rPr>
            </w:pPr>
            <w:r>
              <w:rPr>
                <w:rFonts w:hint="eastAsia" w:ascii="仿宋" w:hAnsi="仿宋" w:eastAsia="仿宋"/>
                <w:b/>
                <w:szCs w:val="21"/>
              </w:rPr>
              <w:t>（二）评分标准与依据：</w:t>
            </w:r>
          </w:p>
          <w:p w14:paraId="68ED3FA1">
            <w:pPr>
              <w:tabs>
                <w:tab w:val="left" w:pos="2869"/>
                <w:tab w:val="left" w:pos="3010"/>
              </w:tabs>
              <w:jc w:val="left"/>
              <w:rPr>
                <w:rFonts w:ascii="仿宋" w:hAnsi="仿宋" w:eastAsia="仿宋"/>
                <w:szCs w:val="21"/>
              </w:rPr>
            </w:pPr>
            <w:r>
              <w:rPr>
                <w:rFonts w:hint="eastAsia" w:ascii="仿宋" w:hAnsi="仿宋" w:eastAsia="仿宋"/>
                <w:szCs w:val="21"/>
              </w:rPr>
              <w:t>1.投标人的质量保障措施方案方案科学、合理的，得</w:t>
            </w:r>
            <w:r>
              <w:rPr>
                <w:rFonts w:hint="eastAsia" w:ascii="仿宋" w:hAnsi="仿宋" w:eastAsia="仿宋"/>
                <w:szCs w:val="21"/>
                <w:lang w:val="en-US" w:eastAsia="zh-CN"/>
              </w:rPr>
              <w:t>6</w:t>
            </w:r>
            <w:r>
              <w:rPr>
                <w:rFonts w:hint="eastAsia" w:ascii="仿宋" w:hAnsi="仿宋" w:eastAsia="仿宋"/>
                <w:szCs w:val="21"/>
              </w:rPr>
              <w:t>分；</w:t>
            </w:r>
          </w:p>
          <w:p w14:paraId="709EE93B">
            <w:pPr>
              <w:tabs>
                <w:tab w:val="left" w:pos="2869"/>
                <w:tab w:val="left" w:pos="3010"/>
              </w:tabs>
              <w:jc w:val="left"/>
              <w:rPr>
                <w:rFonts w:ascii="仿宋" w:hAnsi="仿宋" w:eastAsia="仿宋"/>
                <w:szCs w:val="21"/>
              </w:rPr>
            </w:pPr>
            <w:r>
              <w:rPr>
                <w:rFonts w:hint="eastAsia" w:ascii="仿宋" w:hAnsi="仿宋" w:eastAsia="仿宋"/>
                <w:szCs w:val="21"/>
              </w:rPr>
              <w:t>2.投标人的质量保障措施方案较科学、较合理的，得</w:t>
            </w:r>
            <w:r>
              <w:rPr>
                <w:rFonts w:hint="eastAsia" w:ascii="仿宋" w:hAnsi="仿宋" w:eastAsia="仿宋"/>
                <w:szCs w:val="21"/>
                <w:lang w:val="en-US" w:eastAsia="zh-CN"/>
              </w:rPr>
              <w:t>4</w:t>
            </w:r>
            <w:r>
              <w:rPr>
                <w:rFonts w:hint="eastAsia" w:ascii="仿宋" w:hAnsi="仿宋" w:eastAsia="仿宋"/>
                <w:szCs w:val="21"/>
              </w:rPr>
              <w:t>分；</w:t>
            </w:r>
          </w:p>
          <w:p w14:paraId="5BDDAA2C">
            <w:pPr>
              <w:tabs>
                <w:tab w:val="left" w:pos="2869"/>
                <w:tab w:val="left" w:pos="3010"/>
              </w:tabs>
              <w:jc w:val="left"/>
              <w:rPr>
                <w:rFonts w:ascii="仿宋" w:hAnsi="仿宋" w:eastAsia="仿宋"/>
                <w:szCs w:val="21"/>
              </w:rPr>
            </w:pPr>
            <w:r>
              <w:rPr>
                <w:rFonts w:hint="eastAsia" w:ascii="仿宋" w:hAnsi="仿宋" w:eastAsia="仿宋"/>
                <w:szCs w:val="21"/>
              </w:rPr>
              <w:t>3.投标人的保障措施方案较合理的，得</w:t>
            </w:r>
            <w:r>
              <w:rPr>
                <w:rFonts w:hint="eastAsia" w:ascii="仿宋" w:hAnsi="仿宋" w:eastAsia="仿宋"/>
                <w:szCs w:val="21"/>
                <w:lang w:val="en-US" w:eastAsia="zh-CN"/>
              </w:rPr>
              <w:t>2</w:t>
            </w:r>
            <w:r>
              <w:rPr>
                <w:rFonts w:hint="eastAsia" w:ascii="仿宋" w:hAnsi="仿宋" w:eastAsia="仿宋"/>
                <w:szCs w:val="21"/>
              </w:rPr>
              <w:t>分；</w:t>
            </w:r>
          </w:p>
          <w:p w14:paraId="3A5E3147">
            <w:pPr>
              <w:tabs>
                <w:tab w:val="left" w:pos="2869"/>
                <w:tab w:val="left" w:pos="3010"/>
              </w:tabs>
              <w:jc w:val="left"/>
              <w:rPr>
                <w:rFonts w:hint="eastAsia" w:ascii="仿宋" w:hAnsi="仿宋" w:eastAsia="仿宋"/>
                <w:szCs w:val="21"/>
              </w:rPr>
            </w:pPr>
            <w:r>
              <w:rPr>
                <w:rFonts w:hint="eastAsia" w:ascii="仿宋" w:hAnsi="仿宋" w:eastAsia="仿宋"/>
                <w:szCs w:val="21"/>
              </w:rPr>
              <w:t>4.投标人的保障措施方案评价为差或不提供方案的，不得分。</w:t>
            </w:r>
          </w:p>
        </w:tc>
      </w:tr>
      <w:tr w14:paraId="45FA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14:paraId="5683FF7F">
            <w:pPr>
              <w:jc w:val="center"/>
              <w:rPr>
                <w:rFonts w:ascii="宋体" w:hAnsi="宋体" w:cs="宋体"/>
                <w:b/>
                <w:szCs w:val="21"/>
              </w:rPr>
            </w:pPr>
            <w:r>
              <w:rPr>
                <w:rFonts w:hint="eastAsia" w:ascii="宋体" w:hAnsi="宋体" w:cs="宋体"/>
                <w:b/>
                <w:szCs w:val="21"/>
              </w:rPr>
              <w:t>3</w:t>
            </w:r>
          </w:p>
        </w:tc>
        <w:tc>
          <w:tcPr>
            <w:tcW w:w="3552" w:type="dxa"/>
            <w:gridSpan w:val="4"/>
            <w:vAlign w:val="center"/>
          </w:tcPr>
          <w:p w14:paraId="7D46E112">
            <w:pPr>
              <w:jc w:val="center"/>
              <w:rPr>
                <w:rFonts w:ascii="宋体" w:hAnsi="宋体" w:cs="宋体"/>
                <w:b/>
                <w:szCs w:val="21"/>
              </w:rPr>
            </w:pPr>
            <w:r>
              <w:rPr>
                <w:rFonts w:hint="eastAsia" w:ascii="宋体" w:hAnsi="宋体" w:cs="宋体"/>
                <w:b/>
                <w:szCs w:val="21"/>
              </w:rPr>
              <w:t>商务需求</w:t>
            </w:r>
          </w:p>
        </w:tc>
        <w:tc>
          <w:tcPr>
            <w:tcW w:w="4678" w:type="dxa"/>
            <w:vAlign w:val="center"/>
          </w:tcPr>
          <w:p w14:paraId="102D8635">
            <w:pPr>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15</w:t>
            </w:r>
          </w:p>
        </w:tc>
      </w:tr>
      <w:tr w14:paraId="3137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14:paraId="2CAC76EA">
            <w:pPr>
              <w:keepNext/>
              <w:keepLines/>
              <w:spacing w:before="340" w:after="330"/>
              <w:jc w:val="center"/>
              <w:outlineLvl w:val="0"/>
              <w:rPr>
                <w:rFonts w:ascii="宋体" w:hAnsi="宋体" w:cs="宋体"/>
                <w:b/>
                <w:szCs w:val="21"/>
              </w:rPr>
            </w:pPr>
          </w:p>
        </w:tc>
        <w:tc>
          <w:tcPr>
            <w:tcW w:w="699" w:type="dxa"/>
            <w:vAlign w:val="center"/>
          </w:tcPr>
          <w:p w14:paraId="68CAAA3B">
            <w:pPr>
              <w:jc w:val="center"/>
              <w:rPr>
                <w:rFonts w:ascii="宋体" w:hAnsi="宋体" w:cs="宋体"/>
                <w:b/>
                <w:szCs w:val="21"/>
              </w:rPr>
            </w:pPr>
            <w:r>
              <w:rPr>
                <w:rFonts w:hint="eastAsia" w:ascii="宋体" w:hAnsi="宋体" w:cs="宋体"/>
                <w:b/>
                <w:szCs w:val="21"/>
              </w:rPr>
              <w:t>序号</w:t>
            </w:r>
          </w:p>
        </w:tc>
        <w:tc>
          <w:tcPr>
            <w:tcW w:w="1433" w:type="dxa"/>
            <w:gridSpan w:val="2"/>
            <w:vAlign w:val="center"/>
          </w:tcPr>
          <w:p w14:paraId="64259EF3">
            <w:pPr>
              <w:jc w:val="center"/>
              <w:rPr>
                <w:rFonts w:ascii="宋体" w:hAnsi="宋体" w:cs="宋体"/>
                <w:b/>
                <w:szCs w:val="21"/>
              </w:rPr>
            </w:pPr>
            <w:r>
              <w:rPr>
                <w:rFonts w:hint="eastAsia" w:ascii="宋体" w:hAnsi="宋体" w:cs="宋体"/>
                <w:b/>
                <w:szCs w:val="21"/>
              </w:rPr>
              <w:t>评分因素</w:t>
            </w:r>
          </w:p>
        </w:tc>
        <w:tc>
          <w:tcPr>
            <w:tcW w:w="1420" w:type="dxa"/>
            <w:vAlign w:val="center"/>
          </w:tcPr>
          <w:p w14:paraId="0EC7209A">
            <w:pPr>
              <w:jc w:val="center"/>
              <w:rPr>
                <w:rFonts w:ascii="宋体" w:hAnsi="宋体" w:cs="宋体"/>
                <w:b/>
                <w:szCs w:val="21"/>
              </w:rPr>
            </w:pPr>
            <w:r>
              <w:rPr>
                <w:rFonts w:hint="eastAsia" w:ascii="宋体" w:hAnsi="宋体" w:cs="宋体"/>
                <w:b/>
                <w:szCs w:val="21"/>
              </w:rPr>
              <w:t>权重</w:t>
            </w:r>
          </w:p>
        </w:tc>
        <w:tc>
          <w:tcPr>
            <w:tcW w:w="4678" w:type="dxa"/>
            <w:vAlign w:val="center"/>
          </w:tcPr>
          <w:p w14:paraId="17511810">
            <w:pPr>
              <w:jc w:val="center"/>
              <w:rPr>
                <w:rFonts w:ascii="宋体" w:hAnsi="宋体" w:cs="宋体"/>
                <w:b/>
                <w:szCs w:val="21"/>
              </w:rPr>
            </w:pPr>
            <w:r>
              <w:rPr>
                <w:rFonts w:hint="eastAsia" w:ascii="宋体" w:hAnsi="宋体" w:cs="宋体"/>
                <w:b/>
                <w:szCs w:val="21"/>
              </w:rPr>
              <w:t>评分准则</w:t>
            </w:r>
          </w:p>
        </w:tc>
      </w:tr>
      <w:tr w14:paraId="3B43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Merge w:val="continue"/>
            <w:vAlign w:val="center"/>
          </w:tcPr>
          <w:p w14:paraId="012E9140">
            <w:pPr>
              <w:keepNext/>
              <w:keepLines/>
              <w:spacing w:before="340" w:after="330"/>
              <w:jc w:val="center"/>
              <w:outlineLvl w:val="0"/>
              <w:rPr>
                <w:rFonts w:ascii="宋体" w:hAnsi="宋体" w:cs="宋体"/>
                <w:szCs w:val="21"/>
              </w:rPr>
            </w:pPr>
          </w:p>
        </w:tc>
        <w:tc>
          <w:tcPr>
            <w:tcW w:w="699" w:type="dxa"/>
            <w:vAlign w:val="center"/>
          </w:tcPr>
          <w:p w14:paraId="25B41AAE">
            <w:pPr>
              <w:jc w:val="center"/>
              <w:rPr>
                <w:rFonts w:ascii="宋体" w:hAnsi="宋体" w:cs="宋体"/>
                <w:szCs w:val="21"/>
              </w:rPr>
            </w:pPr>
            <w:r>
              <w:rPr>
                <w:rFonts w:ascii="仿宋" w:hAnsi="仿宋" w:eastAsia="仿宋"/>
                <w:szCs w:val="21"/>
              </w:rPr>
              <w:t>1</w:t>
            </w:r>
          </w:p>
        </w:tc>
        <w:tc>
          <w:tcPr>
            <w:tcW w:w="1433" w:type="dxa"/>
            <w:gridSpan w:val="2"/>
            <w:vAlign w:val="center"/>
          </w:tcPr>
          <w:p w14:paraId="751B9B8E">
            <w:pPr>
              <w:jc w:val="center"/>
              <w:rPr>
                <w:rFonts w:ascii="宋体" w:hAnsi="宋体" w:cs="宋体"/>
                <w:szCs w:val="21"/>
              </w:rPr>
            </w:pPr>
            <w:r>
              <w:rPr>
                <w:rFonts w:hint="eastAsia" w:ascii="仿宋" w:hAnsi="仿宋" w:eastAsia="仿宋"/>
                <w:szCs w:val="21"/>
              </w:rPr>
              <w:t>商务需求偏离情况</w:t>
            </w:r>
          </w:p>
        </w:tc>
        <w:tc>
          <w:tcPr>
            <w:tcW w:w="1420" w:type="dxa"/>
            <w:vAlign w:val="center"/>
          </w:tcPr>
          <w:p w14:paraId="1163A2E2">
            <w:pPr>
              <w:jc w:val="center"/>
              <w:rPr>
                <w:rFonts w:hint="eastAsia" w:ascii="宋体" w:hAnsi="宋体" w:eastAsia="宋体" w:cs="宋体"/>
                <w:szCs w:val="21"/>
                <w:lang w:eastAsia="zh-CN"/>
              </w:rPr>
            </w:pPr>
            <w:r>
              <w:rPr>
                <w:rFonts w:hint="eastAsia" w:ascii="仿宋" w:hAnsi="仿宋" w:eastAsia="仿宋" w:cs="宋体"/>
                <w:szCs w:val="21"/>
                <w:lang w:val="en-US" w:eastAsia="zh-CN"/>
              </w:rPr>
              <w:t>9</w:t>
            </w:r>
          </w:p>
        </w:tc>
        <w:tc>
          <w:tcPr>
            <w:tcW w:w="4678" w:type="dxa"/>
          </w:tcPr>
          <w:p w14:paraId="68C33AF2">
            <w:pPr>
              <w:tabs>
                <w:tab w:val="left" w:pos="2869"/>
                <w:tab w:val="left" w:pos="3010"/>
              </w:tabs>
              <w:rPr>
                <w:rFonts w:ascii="仿宋" w:hAnsi="仿宋" w:eastAsia="仿宋"/>
                <w:b/>
                <w:szCs w:val="21"/>
              </w:rPr>
            </w:pPr>
            <w:r>
              <w:rPr>
                <w:rFonts w:hint="eastAsia" w:ascii="仿宋" w:hAnsi="仿宋" w:eastAsia="仿宋"/>
                <w:b/>
                <w:szCs w:val="21"/>
              </w:rPr>
              <w:t>（一）评审内容：</w:t>
            </w:r>
          </w:p>
          <w:p w14:paraId="26CB5EBE">
            <w:pPr>
              <w:tabs>
                <w:tab w:val="left" w:pos="2869"/>
                <w:tab w:val="left" w:pos="3010"/>
              </w:tabs>
              <w:jc w:val="left"/>
              <w:rPr>
                <w:rFonts w:ascii="仿宋" w:hAnsi="仿宋" w:eastAsia="仿宋" w:cs="宋体"/>
                <w:szCs w:val="21"/>
              </w:rPr>
            </w:pPr>
            <w:r>
              <w:rPr>
                <w:rFonts w:hint="eastAsia" w:ascii="仿宋" w:hAnsi="仿宋" w:eastAsia="仿宋" w:cs="宋体"/>
                <w:szCs w:val="21"/>
              </w:rPr>
              <w:t>投标人应如实填写《商务偏离表》，</w:t>
            </w:r>
            <w:r>
              <w:rPr>
                <w:rFonts w:hint="eastAsia" w:ascii="仿宋" w:hAnsi="仿宋" w:eastAsia="仿宋"/>
                <w:szCs w:val="21"/>
              </w:rPr>
              <w:t>评审专家</w:t>
            </w:r>
            <w:r>
              <w:rPr>
                <w:rFonts w:hint="eastAsia" w:ascii="仿宋" w:hAnsi="仿宋" w:eastAsia="仿宋" w:cs="宋体"/>
                <w:szCs w:val="21"/>
              </w:rPr>
              <w:t>根据商务需求参数响应情况进行评审。</w:t>
            </w:r>
          </w:p>
          <w:p w14:paraId="01D4D4D1">
            <w:pPr>
              <w:tabs>
                <w:tab w:val="left" w:pos="2869"/>
                <w:tab w:val="left" w:pos="3010"/>
              </w:tabs>
              <w:jc w:val="left"/>
              <w:rPr>
                <w:rFonts w:ascii="仿宋" w:hAnsi="仿宋" w:eastAsia="仿宋"/>
                <w:b/>
                <w:szCs w:val="21"/>
              </w:rPr>
            </w:pPr>
            <w:r>
              <w:rPr>
                <w:rFonts w:hint="eastAsia" w:ascii="仿宋" w:hAnsi="仿宋" w:eastAsia="仿宋"/>
                <w:b/>
                <w:szCs w:val="21"/>
              </w:rPr>
              <w:t>（二）评分标准与依据：</w:t>
            </w:r>
            <w:r>
              <w:rPr>
                <w:rFonts w:hint="eastAsia" w:ascii="仿宋" w:hAnsi="仿宋" w:eastAsia="仿宋" w:cs="宋体"/>
                <w:szCs w:val="21"/>
              </w:rPr>
              <w:t xml:space="preserve"> </w:t>
            </w:r>
          </w:p>
          <w:p w14:paraId="46AEBDCB">
            <w:pPr>
              <w:ind w:right="31" w:rightChars="15"/>
              <w:jc w:val="left"/>
              <w:rPr>
                <w:rFonts w:ascii="宋体" w:hAnsi="宋体" w:cs="宋体"/>
                <w:szCs w:val="21"/>
              </w:rPr>
            </w:pPr>
            <w:r>
              <w:rPr>
                <w:rFonts w:hint="eastAsia" w:ascii="仿宋" w:hAnsi="仿宋" w:eastAsia="仿宋" w:cs="宋体"/>
                <w:szCs w:val="21"/>
              </w:rPr>
              <w:t>完全满足招标文件要求的得</w:t>
            </w:r>
            <w:r>
              <w:rPr>
                <w:rFonts w:hint="eastAsia" w:ascii="仿宋" w:hAnsi="仿宋" w:eastAsia="仿宋" w:cs="宋体"/>
                <w:szCs w:val="21"/>
                <w:lang w:val="en-US" w:eastAsia="zh-CN"/>
              </w:rPr>
              <w:t>9</w:t>
            </w:r>
            <w:r>
              <w:rPr>
                <w:rFonts w:hint="eastAsia" w:ascii="仿宋" w:hAnsi="仿宋" w:eastAsia="仿宋" w:cs="宋体"/>
                <w:szCs w:val="21"/>
              </w:rPr>
              <w:t>分，标注“▲”条款，每负偏离一项扣</w:t>
            </w:r>
            <w:r>
              <w:rPr>
                <w:rFonts w:hint="eastAsia" w:ascii="仿宋" w:hAnsi="仿宋" w:eastAsia="仿宋" w:cs="宋体"/>
                <w:szCs w:val="21"/>
                <w:lang w:val="en-US" w:eastAsia="zh-CN"/>
              </w:rPr>
              <w:t>4</w:t>
            </w:r>
            <w:r>
              <w:rPr>
                <w:rFonts w:hint="eastAsia" w:ascii="仿宋" w:hAnsi="仿宋" w:eastAsia="仿宋" w:cs="宋体"/>
                <w:szCs w:val="21"/>
              </w:rPr>
              <w:t>分；未标注“▲”和“★”的为一般条款，每负偏离一项扣</w:t>
            </w:r>
            <w:r>
              <w:rPr>
                <w:rFonts w:hint="eastAsia" w:ascii="仿宋" w:hAnsi="仿宋" w:eastAsia="仿宋" w:cs="宋体"/>
                <w:szCs w:val="21"/>
                <w:lang w:val="en-US" w:eastAsia="zh-CN"/>
              </w:rPr>
              <w:t>1</w:t>
            </w:r>
            <w:r>
              <w:rPr>
                <w:rFonts w:hint="eastAsia" w:ascii="仿宋" w:hAnsi="仿宋" w:eastAsia="仿宋" w:cs="宋体"/>
                <w:szCs w:val="21"/>
              </w:rPr>
              <w:t>分。扣完为止。</w:t>
            </w:r>
          </w:p>
        </w:tc>
      </w:tr>
      <w:tr w14:paraId="434D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Align w:val="center"/>
          </w:tcPr>
          <w:p w14:paraId="153DD14E">
            <w:pPr>
              <w:keepNext/>
              <w:keepLines/>
              <w:spacing w:before="340" w:after="330"/>
              <w:jc w:val="center"/>
              <w:outlineLvl w:val="0"/>
              <w:rPr>
                <w:rFonts w:ascii="宋体" w:hAnsi="宋体" w:cs="宋体"/>
                <w:szCs w:val="21"/>
              </w:rPr>
            </w:pPr>
          </w:p>
        </w:tc>
        <w:tc>
          <w:tcPr>
            <w:tcW w:w="699" w:type="dxa"/>
            <w:vAlign w:val="center"/>
          </w:tcPr>
          <w:p w14:paraId="50B3EBBB">
            <w:pPr>
              <w:jc w:val="center"/>
              <w:rPr>
                <w:rFonts w:hint="eastAsia" w:ascii="宋体" w:hAnsi="宋体" w:eastAsia="宋体" w:cs="宋体"/>
                <w:szCs w:val="21"/>
                <w:lang w:val="en-US" w:eastAsia="zh-CN"/>
              </w:rPr>
            </w:pPr>
            <w:r>
              <w:rPr>
                <w:rFonts w:hint="eastAsia" w:ascii="仿宋" w:hAnsi="仿宋" w:eastAsia="仿宋"/>
                <w:szCs w:val="21"/>
                <w:lang w:val="en-US" w:eastAsia="zh-CN"/>
              </w:rPr>
              <w:t>2</w:t>
            </w:r>
          </w:p>
        </w:tc>
        <w:tc>
          <w:tcPr>
            <w:tcW w:w="1433" w:type="dxa"/>
            <w:gridSpan w:val="2"/>
            <w:vAlign w:val="center"/>
          </w:tcPr>
          <w:p w14:paraId="4D2B827C">
            <w:pPr>
              <w:jc w:val="center"/>
              <w:rPr>
                <w:rFonts w:ascii="宋体" w:hAnsi="宋体" w:cs="宋体"/>
                <w:szCs w:val="21"/>
              </w:rPr>
            </w:pPr>
            <w:r>
              <w:rPr>
                <w:rFonts w:hint="eastAsia" w:ascii="仿宋" w:hAnsi="仿宋" w:eastAsia="仿宋"/>
                <w:szCs w:val="21"/>
              </w:rPr>
              <w:t>同类业绩</w:t>
            </w:r>
          </w:p>
        </w:tc>
        <w:tc>
          <w:tcPr>
            <w:tcW w:w="1420" w:type="dxa"/>
            <w:vAlign w:val="center"/>
          </w:tcPr>
          <w:p w14:paraId="453BD5F0">
            <w:pPr>
              <w:spacing w:line="240" w:lineRule="exact"/>
              <w:jc w:val="center"/>
              <w:rPr>
                <w:rFonts w:ascii="宋体" w:hAnsi="宋体" w:cs="宋体"/>
                <w:szCs w:val="21"/>
              </w:rPr>
            </w:pPr>
            <w:r>
              <w:rPr>
                <w:rFonts w:hint="eastAsia" w:ascii="仿宋" w:hAnsi="仿宋" w:eastAsia="仿宋"/>
                <w:szCs w:val="21"/>
              </w:rPr>
              <w:t>3</w:t>
            </w:r>
            <w:r>
              <w:rPr>
                <w:rFonts w:ascii="仿宋" w:hAnsi="仿宋" w:eastAsia="仿宋"/>
                <w:szCs w:val="21"/>
              </w:rPr>
              <w:t xml:space="preserve"> </w:t>
            </w:r>
          </w:p>
        </w:tc>
        <w:tc>
          <w:tcPr>
            <w:tcW w:w="4678" w:type="dxa"/>
            <w:vAlign w:val="center"/>
          </w:tcPr>
          <w:p w14:paraId="5D6FD4CD">
            <w:pPr>
              <w:jc w:val="left"/>
              <w:rPr>
                <w:rFonts w:ascii="宋体" w:hAnsi="宋体" w:cs="宋体"/>
                <w:szCs w:val="21"/>
              </w:rPr>
            </w:pPr>
            <w:r>
              <w:rPr>
                <w:rFonts w:hint="eastAsia" w:ascii="仿宋" w:hAnsi="仿宋" w:eastAsia="仿宋" w:cs="宋体"/>
                <w:kern w:val="0"/>
                <w:szCs w:val="21"/>
              </w:rPr>
              <w:t>投标人近三年（</w:t>
            </w:r>
            <w:r>
              <w:rPr>
                <w:rFonts w:hint="eastAsia" w:ascii="仿宋" w:hAnsi="仿宋" w:eastAsia="仿宋" w:cs="宋体"/>
                <w:kern w:val="0"/>
                <w:szCs w:val="21"/>
                <w:lang w:val="en-US" w:eastAsia="zh-CN"/>
              </w:rPr>
              <w:t>2022</w:t>
            </w:r>
            <w:r>
              <w:rPr>
                <w:rFonts w:hint="eastAsia" w:ascii="仿宋" w:hAnsi="仿宋" w:eastAsia="仿宋" w:cs="宋体"/>
                <w:kern w:val="0"/>
                <w:szCs w:val="21"/>
              </w:rPr>
              <w:t>年</w:t>
            </w:r>
            <w:r>
              <w:rPr>
                <w:rFonts w:hint="eastAsia" w:ascii="仿宋" w:hAnsi="仿宋" w:eastAsia="仿宋" w:cs="宋体"/>
                <w:kern w:val="0"/>
                <w:szCs w:val="21"/>
                <w:lang w:val="en-US" w:eastAsia="zh-CN"/>
              </w:rPr>
              <w:t>4</w:t>
            </w:r>
            <w:r>
              <w:rPr>
                <w:rFonts w:hint="eastAsia" w:ascii="仿宋" w:hAnsi="仿宋" w:eastAsia="仿宋" w:cs="宋体"/>
                <w:kern w:val="0"/>
                <w:szCs w:val="21"/>
              </w:rPr>
              <w:t>月至今）以来</w:t>
            </w:r>
            <w:r>
              <w:rPr>
                <w:rFonts w:hint="eastAsia" w:ascii="仿宋" w:hAnsi="仿宋" w:eastAsia="仿宋" w:cs="宋体"/>
                <w:kern w:val="0"/>
                <w:szCs w:val="21"/>
                <w:lang w:val="en-US" w:eastAsia="zh-CN"/>
              </w:rPr>
              <w:t>网络安全服务类项目</w:t>
            </w:r>
            <w:r>
              <w:rPr>
                <w:rFonts w:hint="eastAsia" w:ascii="仿宋" w:hAnsi="仿宋" w:eastAsia="仿宋" w:cs="宋体"/>
                <w:kern w:val="0"/>
                <w:szCs w:val="21"/>
              </w:rPr>
              <w:t>业绩，每提供1个得</w:t>
            </w:r>
            <w:r>
              <w:rPr>
                <w:rFonts w:hint="eastAsia" w:ascii="仿宋" w:hAnsi="仿宋" w:eastAsia="仿宋" w:cs="宋体"/>
                <w:kern w:val="0"/>
                <w:szCs w:val="21"/>
                <w:lang w:val="en-US" w:eastAsia="zh-CN"/>
              </w:rPr>
              <w:t>1</w:t>
            </w:r>
            <w:r>
              <w:rPr>
                <w:rFonts w:hint="eastAsia" w:ascii="仿宋" w:hAnsi="仿宋" w:eastAsia="仿宋" w:cs="宋体"/>
                <w:kern w:val="0"/>
                <w:szCs w:val="21"/>
              </w:rPr>
              <w:t>分，最高得</w:t>
            </w:r>
            <w:r>
              <w:rPr>
                <w:rFonts w:hint="eastAsia" w:ascii="仿宋" w:hAnsi="仿宋" w:eastAsia="仿宋" w:cs="宋体"/>
                <w:kern w:val="0"/>
                <w:szCs w:val="21"/>
                <w:lang w:val="en-US" w:eastAsia="zh-CN"/>
              </w:rPr>
              <w:t>3</w:t>
            </w:r>
            <w:r>
              <w:rPr>
                <w:rFonts w:hint="eastAsia" w:ascii="仿宋" w:hAnsi="仿宋" w:eastAsia="仿宋" w:cs="宋体"/>
                <w:kern w:val="0"/>
                <w:szCs w:val="21"/>
              </w:rPr>
              <w:t>分</w:t>
            </w:r>
            <w:r>
              <w:rPr>
                <w:rFonts w:hint="eastAsia" w:ascii="仿宋" w:hAnsi="仿宋" w:eastAsia="仿宋" w:cs="宋体"/>
                <w:kern w:val="0"/>
                <w:szCs w:val="21"/>
                <w:lang w:eastAsia="zh-CN"/>
              </w:rPr>
              <w:t>，</w:t>
            </w:r>
            <w:r>
              <w:rPr>
                <w:rFonts w:hint="eastAsia" w:ascii="仿宋" w:hAnsi="仿宋" w:eastAsia="仿宋" w:cs="宋体"/>
                <w:kern w:val="0"/>
                <w:szCs w:val="21"/>
              </w:rPr>
              <w:t>未提供的不得分。投标人需在投标文件中提供每个项目的合同</w:t>
            </w:r>
            <w:r>
              <w:rPr>
                <w:rFonts w:hint="eastAsia" w:ascii="仿宋" w:hAnsi="仿宋" w:eastAsia="仿宋" w:cs="宋体"/>
                <w:kern w:val="0"/>
                <w:szCs w:val="21"/>
                <w:lang w:val="en-US" w:eastAsia="zh-CN"/>
              </w:rPr>
              <w:t>关键页或</w:t>
            </w:r>
            <w:r>
              <w:rPr>
                <w:rFonts w:hint="eastAsia" w:ascii="仿宋" w:hAnsi="仿宋" w:eastAsia="仿宋" w:cs="宋体"/>
                <w:kern w:val="0"/>
                <w:szCs w:val="21"/>
              </w:rPr>
              <w:t>中标通知书</w:t>
            </w:r>
            <w:r>
              <w:rPr>
                <w:rFonts w:hint="eastAsia" w:ascii="仿宋" w:hAnsi="仿宋" w:eastAsia="仿宋" w:cs="宋体"/>
                <w:kern w:val="0"/>
                <w:szCs w:val="21"/>
                <w:lang w:val="en-US" w:eastAsia="zh-CN"/>
              </w:rPr>
              <w:t>或</w:t>
            </w:r>
            <w:r>
              <w:rPr>
                <w:rFonts w:hint="eastAsia" w:ascii="仿宋" w:hAnsi="仿宋" w:eastAsia="仿宋" w:cs="宋体"/>
                <w:kern w:val="0"/>
                <w:szCs w:val="21"/>
              </w:rPr>
              <w:t>验收报告，否则不得分。</w:t>
            </w:r>
          </w:p>
        </w:tc>
      </w:tr>
      <w:tr w14:paraId="61A2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Align w:val="center"/>
          </w:tcPr>
          <w:p w14:paraId="116C9227">
            <w:pPr>
              <w:keepNext/>
              <w:keepLines/>
              <w:spacing w:before="340" w:after="330"/>
              <w:jc w:val="center"/>
              <w:outlineLvl w:val="0"/>
              <w:rPr>
                <w:rFonts w:ascii="宋体" w:hAnsi="宋体" w:cs="宋体"/>
                <w:szCs w:val="21"/>
              </w:rPr>
            </w:pPr>
          </w:p>
        </w:tc>
        <w:tc>
          <w:tcPr>
            <w:tcW w:w="699" w:type="dxa"/>
            <w:vAlign w:val="center"/>
          </w:tcPr>
          <w:p w14:paraId="0AE0D858">
            <w:pPr>
              <w:jc w:val="center"/>
              <w:rPr>
                <w:rFonts w:hint="default" w:ascii="仿宋" w:hAnsi="仿宋" w:eastAsia="仿宋"/>
                <w:szCs w:val="21"/>
                <w:lang w:val="en-US" w:eastAsia="zh-CN"/>
              </w:rPr>
            </w:pPr>
            <w:r>
              <w:rPr>
                <w:rFonts w:hint="eastAsia" w:ascii="仿宋" w:hAnsi="仿宋" w:eastAsia="仿宋"/>
                <w:szCs w:val="21"/>
                <w:lang w:val="en-US" w:eastAsia="zh-CN"/>
              </w:rPr>
              <w:t>3</w:t>
            </w:r>
          </w:p>
        </w:tc>
        <w:tc>
          <w:tcPr>
            <w:tcW w:w="1433" w:type="dxa"/>
            <w:gridSpan w:val="2"/>
            <w:shd w:val="clear" w:color="auto" w:fill="auto"/>
            <w:vAlign w:val="center"/>
          </w:tcPr>
          <w:p w14:paraId="05FE54D0">
            <w:pPr>
              <w:jc w:val="center"/>
              <w:rPr>
                <w:rFonts w:hint="eastAsia" w:ascii="仿宋" w:hAnsi="仿宋" w:eastAsia="仿宋" w:cs="宋体"/>
                <w:kern w:val="2"/>
                <w:sz w:val="21"/>
                <w:szCs w:val="21"/>
                <w:lang w:val="en-US" w:eastAsia="zh-CN" w:bidi="ar-SA"/>
              </w:rPr>
            </w:pPr>
            <w:r>
              <w:rPr>
                <w:rFonts w:hint="eastAsia" w:ascii="仿宋" w:hAnsi="仿宋" w:eastAsia="仿宋" w:cs="宋体"/>
                <w:szCs w:val="21"/>
              </w:rPr>
              <w:t>履约评价情况</w:t>
            </w:r>
          </w:p>
        </w:tc>
        <w:tc>
          <w:tcPr>
            <w:tcW w:w="1420" w:type="dxa"/>
            <w:shd w:val="clear" w:color="auto" w:fill="auto"/>
            <w:vAlign w:val="center"/>
          </w:tcPr>
          <w:p w14:paraId="3C639446">
            <w:pPr>
              <w:jc w:val="center"/>
              <w:rPr>
                <w:rFonts w:hint="eastAsia" w:ascii="仿宋" w:hAnsi="仿宋" w:eastAsia="仿宋" w:cs="宋体"/>
                <w:kern w:val="2"/>
                <w:sz w:val="21"/>
                <w:szCs w:val="21"/>
                <w:lang w:val="en-US" w:eastAsia="zh-CN" w:bidi="ar-SA"/>
              </w:rPr>
            </w:pPr>
            <w:r>
              <w:rPr>
                <w:rFonts w:hint="eastAsia" w:ascii="仿宋" w:hAnsi="仿宋" w:eastAsia="仿宋" w:cs="宋体"/>
                <w:szCs w:val="21"/>
              </w:rPr>
              <w:t>3</w:t>
            </w:r>
          </w:p>
        </w:tc>
        <w:tc>
          <w:tcPr>
            <w:tcW w:w="4678" w:type="dxa"/>
            <w:shd w:val="clear" w:color="auto" w:fill="auto"/>
          </w:tcPr>
          <w:p w14:paraId="3F73EE79">
            <w:pPr>
              <w:rPr>
                <w:rFonts w:hint="eastAsia" w:ascii="仿宋" w:hAnsi="仿宋" w:eastAsia="仿宋" w:cs="宋体"/>
                <w:b/>
                <w:kern w:val="2"/>
                <w:sz w:val="21"/>
                <w:szCs w:val="21"/>
                <w:lang w:val="en-US" w:eastAsia="zh-CN" w:bidi="ar-SA"/>
              </w:rPr>
            </w:pPr>
            <w:r>
              <w:rPr>
                <w:rFonts w:hint="eastAsia" w:ascii="仿宋" w:hAnsi="仿宋" w:eastAsia="仿宋" w:cs="宋体"/>
                <w:szCs w:val="21"/>
              </w:rPr>
              <w:t>投标人提供</w:t>
            </w:r>
            <w:r>
              <w:rPr>
                <w:rFonts w:hint="eastAsia" w:ascii="仿宋" w:hAnsi="仿宋" w:eastAsia="仿宋" w:cs="宋体"/>
                <w:szCs w:val="21"/>
                <w:lang w:val="en-US" w:eastAsia="zh-CN"/>
              </w:rPr>
              <w:t>2022</w:t>
            </w:r>
            <w:r>
              <w:rPr>
                <w:rFonts w:hint="eastAsia" w:ascii="仿宋" w:hAnsi="仿宋" w:eastAsia="仿宋" w:cs="宋体"/>
                <w:szCs w:val="21"/>
              </w:rPr>
              <w:t>年</w:t>
            </w:r>
            <w:r>
              <w:rPr>
                <w:rFonts w:hint="eastAsia" w:ascii="仿宋" w:hAnsi="仿宋" w:eastAsia="仿宋" w:cs="宋体"/>
                <w:szCs w:val="21"/>
                <w:lang w:val="en-US" w:eastAsia="zh-CN"/>
              </w:rPr>
              <w:t>4</w:t>
            </w:r>
            <w:r>
              <w:rPr>
                <w:rFonts w:hint="eastAsia" w:ascii="仿宋" w:hAnsi="仿宋" w:eastAsia="仿宋" w:cs="宋体"/>
                <w:szCs w:val="21"/>
              </w:rPr>
              <w:t>月至今用户单位</w:t>
            </w:r>
            <w:r>
              <w:rPr>
                <w:rFonts w:hint="eastAsia" w:ascii="仿宋" w:hAnsi="仿宋" w:eastAsia="仿宋" w:cs="宋体"/>
                <w:szCs w:val="21"/>
                <w:lang w:val="en-US" w:eastAsia="zh-CN"/>
              </w:rPr>
              <w:t>盖章</w:t>
            </w:r>
            <w:r>
              <w:rPr>
                <w:rFonts w:hint="eastAsia" w:ascii="仿宋" w:hAnsi="仿宋" w:eastAsia="仿宋" w:cs="宋体"/>
                <w:szCs w:val="21"/>
              </w:rPr>
              <w:t>出具的</w:t>
            </w:r>
            <w:r>
              <w:rPr>
                <w:rFonts w:hint="eastAsia" w:ascii="仿宋" w:hAnsi="仿宋" w:eastAsia="仿宋" w:cs="宋体"/>
                <w:kern w:val="0"/>
                <w:szCs w:val="21"/>
              </w:rPr>
              <w:t>网络安全服务类项目</w:t>
            </w:r>
            <w:r>
              <w:rPr>
                <w:rFonts w:hint="eastAsia" w:ascii="仿宋" w:hAnsi="仿宋" w:eastAsia="仿宋" w:cs="宋体"/>
                <w:szCs w:val="21"/>
              </w:rPr>
              <w:t>得优或满意或90分以上的履约评价证明文件，每提供</w:t>
            </w:r>
            <w:r>
              <w:rPr>
                <w:rFonts w:hint="eastAsia" w:ascii="仿宋" w:hAnsi="仿宋" w:eastAsia="仿宋" w:cs="宋体"/>
                <w:szCs w:val="21"/>
                <w:lang w:val="en-US" w:eastAsia="zh-CN"/>
              </w:rPr>
              <w:t>1</w:t>
            </w:r>
            <w:r>
              <w:rPr>
                <w:rFonts w:hint="eastAsia" w:ascii="仿宋" w:hAnsi="仿宋" w:eastAsia="仿宋" w:cs="宋体"/>
                <w:szCs w:val="21"/>
              </w:rPr>
              <w:t>个的，得</w:t>
            </w:r>
            <w:r>
              <w:rPr>
                <w:rFonts w:hint="eastAsia" w:ascii="仿宋" w:hAnsi="仿宋" w:eastAsia="仿宋" w:cs="宋体"/>
                <w:szCs w:val="21"/>
                <w:lang w:val="en-US" w:eastAsia="zh-CN"/>
              </w:rPr>
              <w:t>1</w:t>
            </w:r>
            <w:r>
              <w:rPr>
                <w:rFonts w:hint="eastAsia" w:ascii="仿宋" w:hAnsi="仿宋" w:eastAsia="仿宋" w:cs="宋体"/>
                <w:szCs w:val="21"/>
              </w:rPr>
              <w:t>分，以此类推，本项满分</w:t>
            </w:r>
            <w:r>
              <w:rPr>
                <w:rFonts w:hint="eastAsia" w:ascii="仿宋" w:hAnsi="仿宋" w:eastAsia="仿宋" w:cs="宋体"/>
                <w:szCs w:val="21"/>
                <w:lang w:val="en-US" w:eastAsia="zh-CN"/>
              </w:rPr>
              <w:t>3</w:t>
            </w:r>
            <w:r>
              <w:rPr>
                <w:rFonts w:hint="eastAsia" w:ascii="仿宋" w:hAnsi="仿宋" w:eastAsia="仿宋" w:cs="宋体"/>
                <w:szCs w:val="21"/>
              </w:rPr>
              <w:t>分。其他情况不得分。同一用户单位的履约评价只计分1次，不重复得分。</w:t>
            </w:r>
            <w:r>
              <w:rPr>
                <w:rFonts w:hint="eastAsia" w:ascii="仿宋" w:hAnsi="仿宋" w:eastAsia="仿宋" w:cs="宋体"/>
                <w:b/>
                <w:szCs w:val="21"/>
              </w:rPr>
              <w:t>（提供履约评价或满意度调查表等复印件，原件备查，不提供的不得分）</w:t>
            </w:r>
          </w:p>
        </w:tc>
      </w:tr>
      <w:tr w14:paraId="7553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14:paraId="016DFD2D">
            <w:pPr>
              <w:jc w:val="center"/>
              <w:rPr>
                <w:rFonts w:ascii="宋体" w:hAnsi="宋体" w:cs="宋体"/>
                <w:b/>
                <w:szCs w:val="21"/>
              </w:rPr>
            </w:pPr>
            <w:r>
              <w:rPr>
                <w:rFonts w:hint="eastAsia" w:ascii="宋体" w:hAnsi="宋体" w:cs="宋体"/>
                <w:b/>
                <w:szCs w:val="21"/>
              </w:rPr>
              <w:t>4</w:t>
            </w:r>
          </w:p>
        </w:tc>
        <w:tc>
          <w:tcPr>
            <w:tcW w:w="3552" w:type="dxa"/>
            <w:gridSpan w:val="4"/>
            <w:vAlign w:val="center"/>
          </w:tcPr>
          <w:p w14:paraId="038C3944">
            <w:pPr>
              <w:jc w:val="center"/>
              <w:rPr>
                <w:rFonts w:ascii="宋体" w:hAnsi="宋体" w:cs="宋体"/>
                <w:b/>
                <w:szCs w:val="21"/>
              </w:rPr>
            </w:pPr>
            <w:r>
              <w:rPr>
                <w:rFonts w:hint="eastAsia" w:ascii="宋体" w:hAnsi="宋体" w:cs="宋体"/>
                <w:b/>
                <w:szCs w:val="21"/>
              </w:rPr>
              <w:t>诚信情况</w:t>
            </w:r>
          </w:p>
        </w:tc>
        <w:tc>
          <w:tcPr>
            <w:tcW w:w="4678" w:type="dxa"/>
            <w:vAlign w:val="center"/>
          </w:tcPr>
          <w:p w14:paraId="70EB3356">
            <w:pPr>
              <w:pStyle w:val="13"/>
              <w:pBdr>
                <w:bottom w:val="none" w:color="auto" w:sz="0" w:space="0"/>
              </w:pBdr>
              <w:tabs>
                <w:tab w:val="clear" w:pos="4153"/>
                <w:tab w:val="clear" w:pos="8306"/>
              </w:tabs>
              <w:rPr>
                <w:rFonts w:ascii="宋体" w:hAnsi="宋体" w:cs="宋体"/>
                <w:b/>
                <w:color w:val="FF0000"/>
                <w:kern w:val="2"/>
                <w:sz w:val="21"/>
                <w:szCs w:val="21"/>
              </w:rPr>
            </w:pPr>
            <w:r>
              <w:rPr>
                <w:rFonts w:hint="eastAsia" w:ascii="宋体" w:hAnsi="宋体" w:cs="宋体"/>
                <w:b/>
                <w:color w:val="FF0000"/>
                <w:kern w:val="2"/>
                <w:sz w:val="21"/>
                <w:szCs w:val="21"/>
              </w:rPr>
              <w:t>5</w:t>
            </w:r>
          </w:p>
        </w:tc>
      </w:tr>
      <w:tr w14:paraId="7E03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vAlign w:val="center"/>
          </w:tcPr>
          <w:p w14:paraId="51AAEF7E">
            <w:pPr>
              <w:jc w:val="center"/>
              <w:rPr>
                <w:rFonts w:ascii="宋体" w:hAnsi="宋体" w:cs="宋体"/>
                <w:b/>
                <w:szCs w:val="21"/>
              </w:rPr>
            </w:pPr>
          </w:p>
        </w:tc>
        <w:tc>
          <w:tcPr>
            <w:tcW w:w="699" w:type="dxa"/>
            <w:vAlign w:val="center"/>
          </w:tcPr>
          <w:p w14:paraId="395C86B2">
            <w:pPr>
              <w:jc w:val="center"/>
              <w:rPr>
                <w:rFonts w:ascii="宋体" w:hAnsi="宋体" w:cs="宋体"/>
                <w:b/>
                <w:szCs w:val="21"/>
              </w:rPr>
            </w:pPr>
            <w:r>
              <w:rPr>
                <w:rFonts w:hint="eastAsia" w:ascii="宋体" w:hAnsi="宋体" w:cs="宋体"/>
                <w:b/>
                <w:szCs w:val="21"/>
              </w:rPr>
              <w:t>序号</w:t>
            </w:r>
          </w:p>
        </w:tc>
        <w:tc>
          <w:tcPr>
            <w:tcW w:w="1394" w:type="dxa"/>
            <w:vAlign w:val="center"/>
          </w:tcPr>
          <w:p w14:paraId="4C77650D">
            <w:pPr>
              <w:jc w:val="center"/>
              <w:rPr>
                <w:rFonts w:ascii="宋体" w:hAnsi="宋体" w:cs="宋体"/>
                <w:b/>
                <w:szCs w:val="21"/>
              </w:rPr>
            </w:pPr>
            <w:r>
              <w:rPr>
                <w:rFonts w:hint="eastAsia" w:ascii="宋体" w:hAnsi="宋体" w:cs="宋体"/>
                <w:b/>
                <w:szCs w:val="21"/>
              </w:rPr>
              <w:t>评分因素</w:t>
            </w:r>
          </w:p>
        </w:tc>
        <w:tc>
          <w:tcPr>
            <w:tcW w:w="1459" w:type="dxa"/>
            <w:gridSpan w:val="2"/>
            <w:vAlign w:val="center"/>
          </w:tcPr>
          <w:p w14:paraId="20952E87">
            <w:pPr>
              <w:jc w:val="center"/>
              <w:rPr>
                <w:rFonts w:ascii="宋体" w:hAnsi="宋体" w:cs="宋体"/>
                <w:b/>
                <w:szCs w:val="21"/>
              </w:rPr>
            </w:pPr>
            <w:r>
              <w:rPr>
                <w:rFonts w:hint="eastAsia" w:ascii="宋体" w:hAnsi="宋体" w:cs="宋体"/>
                <w:b/>
                <w:szCs w:val="21"/>
              </w:rPr>
              <w:t>权重</w:t>
            </w:r>
          </w:p>
        </w:tc>
        <w:tc>
          <w:tcPr>
            <w:tcW w:w="4678" w:type="dxa"/>
            <w:vAlign w:val="center"/>
          </w:tcPr>
          <w:p w14:paraId="5201563B">
            <w:pPr>
              <w:jc w:val="center"/>
              <w:rPr>
                <w:rFonts w:ascii="宋体" w:hAnsi="宋体" w:cs="宋体"/>
                <w:b/>
                <w:szCs w:val="21"/>
              </w:rPr>
            </w:pPr>
            <w:r>
              <w:rPr>
                <w:rFonts w:hint="eastAsia" w:ascii="宋体" w:hAnsi="宋体" w:cs="宋体"/>
                <w:b/>
                <w:szCs w:val="21"/>
              </w:rPr>
              <w:t>评分准则</w:t>
            </w:r>
          </w:p>
        </w:tc>
      </w:tr>
      <w:tr w14:paraId="6500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14:paraId="1236AE81">
            <w:pPr>
              <w:keepNext/>
              <w:keepLines/>
              <w:spacing w:before="340" w:after="330"/>
              <w:jc w:val="center"/>
              <w:outlineLvl w:val="0"/>
              <w:rPr>
                <w:rFonts w:ascii="宋体" w:hAnsi="宋体" w:cs="宋体"/>
                <w:szCs w:val="21"/>
                <w:highlight w:val="yellow"/>
              </w:rPr>
            </w:pPr>
          </w:p>
        </w:tc>
        <w:tc>
          <w:tcPr>
            <w:tcW w:w="699" w:type="dxa"/>
            <w:vAlign w:val="center"/>
          </w:tcPr>
          <w:p w14:paraId="194C642C">
            <w:pPr>
              <w:jc w:val="center"/>
              <w:rPr>
                <w:rFonts w:ascii="宋体" w:hAnsi="宋体" w:cs="宋体"/>
                <w:bCs/>
                <w:szCs w:val="21"/>
              </w:rPr>
            </w:pPr>
            <w:r>
              <w:rPr>
                <w:rFonts w:hint="eastAsia" w:ascii="仿宋" w:hAnsi="仿宋" w:eastAsia="仿宋"/>
                <w:bCs/>
                <w:szCs w:val="21"/>
              </w:rPr>
              <w:t>1</w:t>
            </w:r>
          </w:p>
        </w:tc>
        <w:tc>
          <w:tcPr>
            <w:tcW w:w="1394" w:type="dxa"/>
            <w:vAlign w:val="center"/>
          </w:tcPr>
          <w:p w14:paraId="2603CB6A">
            <w:pPr>
              <w:jc w:val="center"/>
              <w:rPr>
                <w:rFonts w:ascii="宋体" w:hAnsi="宋体" w:cs="宋体"/>
                <w:bCs/>
                <w:szCs w:val="21"/>
              </w:rPr>
            </w:pPr>
            <w:r>
              <w:rPr>
                <w:rFonts w:hint="eastAsia" w:ascii="仿宋" w:hAnsi="仿宋" w:eastAsia="仿宋"/>
                <w:bCs/>
                <w:szCs w:val="21"/>
              </w:rPr>
              <w:t>诚信评价</w:t>
            </w:r>
          </w:p>
        </w:tc>
        <w:tc>
          <w:tcPr>
            <w:tcW w:w="1459" w:type="dxa"/>
            <w:gridSpan w:val="2"/>
            <w:vAlign w:val="center"/>
          </w:tcPr>
          <w:p w14:paraId="03592809">
            <w:pPr>
              <w:jc w:val="center"/>
              <w:rPr>
                <w:rFonts w:ascii="宋体" w:hAnsi="宋体" w:cs="宋体"/>
                <w:bCs/>
                <w:szCs w:val="21"/>
              </w:rPr>
            </w:pPr>
            <w:r>
              <w:rPr>
                <w:rFonts w:hint="eastAsia" w:ascii="仿宋" w:hAnsi="仿宋" w:eastAsia="仿宋"/>
                <w:bCs/>
                <w:szCs w:val="21"/>
              </w:rPr>
              <w:t>5</w:t>
            </w:r>
          </w:p>
        </w:tc>
        <w:tc>
          <w:tcPr>
            <w:tcW w:w="4678" w:type="dxa"/>
          </w:tcPr>
          <w:p w14:paraId="735582EB">
            <w:pPr>
              <w:rPr>
                <w:rFonts w:ascii="仿宋" w:hAnsi="仿宋" w:eastAsia="仿宋"/>
                <w:bCs/>
                <w:szCs w:val="21"/>
              </w:rPr>
            </w:pPr>
            <w:r>
              <w:rPr>
                <w:rFonts w:hint="eastAsia" w:ascii="仿宋" w:hAnsi="仿宋" w:eastAsia="仿宋"/>
                <w:bCs/>
                <w:szCs w:val="21"/>
              </w:rPr>
              <w:t>投标人在参与政府采购活动中存在诚信相关问题且在主管部门相关处理措施实施期限内的，本项不得分，否则得满分。</w:t>
            </w:r>
          </w:p>
          <w:p w14:paraId="38452130">
            <w:pPr>
              <w:rPr>
                <w:rFonts w:ascii="宋体" w:hAnsi="宋体" w:cs="宋体"/>
                <w:bCs/>
                <w:szCs w:val="21"/>
              </w:rPr>
            </w:pPr>
            <w:r>
              <w:rPr>
                <w:rFonts w:hint="eastAsia" w:ascii="仿宋" w:hAnsi="仿宋" w:eastAsia="仿宋"/>
                <w:bCs/>
                <w:szCs w:val="21"/>
              </w:rPr>
              <w:t>投标人必须提供《诚信承诺函》（按投标文件格式要求填写），未按要求提供不得分。如若投标人承诺与实际情况不相符，将按照虚假投标的情况报相关主管部门处理。</w:t>
            </w:r>
          </w:p>
        </w:tc>
      </w:tr>
    </w:tbl>
    <w:p w14:paraId="6EE378FD">
      <w:pPr>
        <w:pStyle w:val="2"/>
        <w:rPr>
          <w:rFonts w:hint="eastAsia"/>
        </w:rPr>
      </w:pPr>
    </w:p>
    <w:p w14:paraId="363A7C40">
      <w:pPr>
        <w:pStyle w:val="2"/>
        <w:rPr>
          <w:rFonts w:hint="eastAsia"/>
        </w:rPr>
      </w:pPr>
    </w:p>
    <w:p w14:paraId="0D41867B">
      <w:pPr>
        <w:pStyle w:val="2"/>
      </w:pPr>
      <w:r>
        <w:rPr>
          <w:rFonts w:hint="eastAsia"/>
        </w:rPr>
        <w:t>第二章  项目需求</w:t>
      </w:r>
    </w:p>
    <w:p w14:paraId="2EECB78E">
      <w:pPr>
        <w:pStyle w:val="4"/>
        <w:spacing w:before="156" w:beforeLines="50" w:after="156" w:afterLines="50"/>
        <w:rPr>
          <w:rFonts w:cs="宋体"/>
          <w:b/>
          <w:bCs/>
          <w:sz w:val="28"/>
          <w:szCs w:val="28"/>
        </w:rPr>
      </w:pPr>
      <w:bookmarkStart w:id="0" w:name="_Toc101074876"/>
      <w:bookmarkStart w:id="1" w:name="_Toc100052364"/>
      <w:bookmarkStart w:id="2" w:name="_Toc73521635"/>
      <w:bookmarkStart w:id="3" w:name="_Toc73518117"/>
      <w:bookmarkStart w:id="4" w:name="_Toc60560625"/>
      <w:bookmarkStart w:id="5" w:name="_Toc60631620"/>
      <w:bookmarkStart w:id="6" w:name="_Toc73517639"/>
      <w:bookmarkStart w:id="7" w:name="_Toc73521547"/>
      <w:r>
        <w:rPr>
          <w:rFonts w:hint="eastAsia" w:cs="宋体"/>
          <w:b/>
          <w:bCs/>
          <w:sz w:val="28"/>
          <w:szCs w:val="28"/>
        </w:rPr>
        <w:t>一、项目概况</w:t>
      </w:r>
    </w:p>
    <w:bookmarkEnd w:id="0"/>
    <w:bookmarkEnd w:id="1"/>
    <w:bookmarkEnd w:id="2"/>
    <w:bookmarkEnd w:id="3"/>
    <w:bookmarkEnd w:id="4"/>
    <w:bookmarkEnd w:id="5"/>
    <w:bookmarkEnd w:id="6"/>
    <w:bookmarkEnd w:id="7"/>
    <w:p w14:paraId="6207D6F1">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深圳市第一职业技术学校</w:t>
      </w:r>
      <w:r>
        <w:rPr>
          <w:rFonts w:hint="eastAsia" w:ascii="宋体" w:hAnsi="宋体" w:cs="宋体"/>
          <w:szCs w:val="21"/>
          <w:lang w:val="en-US" w:eastAsia="zh-CN"/>
        </w:rPr>
        <w:t>网络安全系统续保升级服务</w:t>
      </w:r>
      <w:r>
        <w:rPr>
          <w:rFonts w:hint="eastAsia" w:ascii="宋体" w:hAnsi="宋体" w:cs="宋体"/>
          <w:szCs w:val="21"/>
        </w:rPr>
        <w:t>。</w:t>
      </w:r>
    </w:p>
    <w:p w14:paraId="0D581F38">
      <w:pPr>
        <w:pStyle w:val="4"/>
        <w:spacing w:before="156" w:beforeLines="50" w:after="156" w:afterLines="50"/>
        <w:rPr>
          <w:rFonts w:cs="宋体"/>
          <w:b/>
          <w:bCs/>
          <w:sz w:val="28"/>
          <w:szCs w:val="28"/>
        </w:rPr>
      </w:pPr>
      <w:r>
        <w:rPr>
          <w:rFonts w:hint="eastAsia" w:cs="宋体"/>
          <w:b/>
          <w:bCs/>
          <w:sz w:val="28"/>
          <w:szCs w:val="28"/>
        </w:rPr>
        <w:t>二、</w:t>
      </w:r>
      <w:r>
        <w:rPr>
          <w:rFonts w:hint="eastAsia" w:cs="宋体"/>
          <w:b/>
          <w:bCs/>
          <w:sz w:val="28"/>
          <w:szCs w:val="28"/>
          <w:lang w:val="en-US" w:eastAsia="zh-CN"/>
        </w:rPr>
        <w:t>服务</w:t>
      </w:r>
      <w:r>
        <w:rPr>
          <w:rFonts w:hint="eastAsia" w:cs="宋体"/>
          <w:b/>
          <w:bCs/>
          <w:sz w:val="28"/>
          <w:szCs w:val="28"/>
        </w:rPr>
        <w:t>清单</w:t>
      </w:r>
    </w:p>
    <w:tbl>
      <w:tblPr>
        <w:tblStyle w:val="18"/>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305"/>
        <w:gridCol w:w="1230"/>
        <w:gridCol w:w="1155"/>
        <w:gridCol w:w="1140"/>
        <w:gridCol w:w="2717"/>
      </w:tblGrid>
      <w:tr w14:paraId="579D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64" w:type="dxa"/>
            <w:vAlign w:val="center"/>
          </w:tcPr>
          <w:p w14:paraId="59EEFFA4">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360" w:lineRule="auto"/>
              <w:jc w:val="center"/>
              <w:rPr>
                <w:rFonts w:ascii="宋体" w:hAnsi="宋体" w:cs="宋体"/>
                <w:bCs/>
                <w:szCs w:val="21"/>
              </w:rPr>
            </w:pPr>
            <w:r>
              <w:rPr>
                <w:rFonts w:hint="eastAsia" w:ascii="仿宋" w:hAnsi="仿宋" w:eastAsia="仿宋" w:cs="宋体"/>
                <w:b/>
                <w:szCs w:val="21"/>
              </w:rPr>
              <w:t>序号</w:t>
            </w:r>
          </w:p>
        </w:tc>
        <w:tc>
          <w:tcPr>
            <w:tcW w:w="1305" w:type="dxa"/>
            <w:vAlign w:val="center"/>
          </w:tcPr>
          <w:p w14:paraId="488DD21F">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Cs/>
                <w:szCs w:val="21"/>
              </w:rPr>
            </w:pPr>
            <w:r>
              <w:rPr>
                <w:rFonts w:hint="eastAsia" w:ascii="仿宋" w:hAnsi="仿宋" w:eastAsia="仿宋" w:cs="宋体"/>
                <w:b/>
                <w:szCs w:val="21"/>
                <w:lang w:val="en-US" w:eastAsia="zh-CN"/>
              </w:rPr>
              <w:t>服务</w:t>
            </w:r>
            <w:r>
              <w:rPr>
                <w:rFonts w:hint="eastAsia" w:ascii="仿宋" w:hAnsi="仿宋" w:eastAsia="仿宋" w:cs="宋体"/>
                <w:b/>
                <w:szCs w:val="21"/>
              </w:rPr>
              <w:t>名称</w:t>
            </w:r>
          </w:p>
        </w:tc>
        <w:tc>
          <w:tcPr>
            <w:tcW w:w="1230" w:type="dxa"/>
            <w:vAlign w:val="center"/>
          </w:tcPr>
          <w:p w14:paraId="43A52531">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center"/>
              <w:rPr>
                <w:rFonts w:ascii="宋体" w:hAnsi="宋体" w:cs="宋体"/>
                <w:bCs/>
                <w:szCs w:val="21"/>
              </w:rPr>
            </w:pPr>
            <w:r>
              <w:rPr>
                <w:rFonts w:hint="eastAsia" w:ascii="仿宋" w:hAnsi="仿宋" w:eastAsia="仿宋" w:cs="宋体"/>
                <w:b/>
                <w:szCs w:val="21"/>
              </w:rPr>
              <w:t>数量</w:t>
            </w:r>
          </w:p>
        </w:tc>
        <w:tc>
          <w:tcPr>
            <w:tcW w:w="1155" w:type="dxa"/>
            <w:vAlign w:val="center"/>
          </w:tcPr>
          <w:p w14:paraId="7DDBB96A">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Cs/>
                <w:szCs w:val="21"/>
              </w:rPr>
            </w:pPr>
            <w:r>
              <w:rPr>
                <w:rFonts w:hint="eastAsia" w:ascii="仿宋" w:hAnsi="仿宋" w:eastAsia="仿宋" w:cs="宋体"/>
                <w:b/>
                <w:szCs w:val="21"/>
              </w:rPr>
              <w:t>单位</w:t>
            </w:r>
          </w:p>
        </w:tc>
        <w:tc>
          <w:tcPr>
            <w:tcW w:w="1140" w:type="dxa"/>
            <w:vAlign w:val="center"/>
          </w:tcPr>
          <w:p w14:paraId="65ADA5C9">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
                <w:bCs/>
                <w:szCs w:val="21"/>
              </w:rPr>
            </w:pPr>
            <w:r>
              <w:rPr>
                <w:rFonts w:hint="eastAsia" w:ascii="仿宋" w:hAnsi="仿宋" w:eastAsia="仿宋" w:cs="宋体"/>
                <w:b/>
                <w:szCs w:val="21"/>
              </w:rPr>
              <w:t>备注</w:t>
            </w:r>
          </w:p>
        </w:tc>
        <w:tc>
          <w:tcPr>
            <w:tcW w:w="2717" w:type="dxa"/>
            <w:vAlign w:val="center"/>
          </w:tcPr>
          <w:p w14:paraId="55112EFD">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仿宋" w:hAnsi="仿宋" w:eastAsia="仿宋" w:cs="宋体"/>
                <w:b/>
                <w:szCs w:val="21"/>
              </w:rPr>
            </w:pPr>
            <w:r>
              <w:rPr>
                <w:rFonts w:hint="eastAsia" w:ascii="仿宋" w:hAnsi="仿宋" w:eastAsia="仿宋" w:cs="宋体"/>
                <w:b/>
                <w:szCs w:val="21"/>
              </w:rPr>
              <w:t>预算总限额（元）</w:t>
            </w:r>
          </w:p>
        </w:tc>
      </w:tr>
      <w:tr w14:paraId="5ED8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4" w:type="dxa"/>
            <w:vAlign w:val="center"/>
          </w:tcPr>
          <w:p w14:paraId="5408C209">
            <w:pPr>
              <w:jc w:val="center"/>
              <w:rPr>
                <w:rFonts w:ascii="宋体" w:hAnsi="宋体" w:cs="宋体"/>
                <w:szCs w:val="21"/>
              </w:rPr>
            </w:pPr>
            <w:r>
              <w:rPr>
                <w:rFonts w:hint="eastAsia" w:ascii="宋体" w:hAnsi="宋体" w:cs="宋体"/>
                <w:szCs w:val="21"/>
              </w:rPr>
              <w:t>1</w:t>
            </w:r>
          </w:p>
        </w:tc>
        <w:tc>
          <w:tcPr>
            <w:tcW w:w="1305" w:type="dxa"/>
            <w:vAlign w:val="center"/>
          </w:tcPr>
          <w:p w14:paraId="50F76DE9">
            <w:pPr>
              <w:jc w:val="center"/>
              <w:rPr>
                <w:rFonts w:ascii="宋体" w:hAnsi="宋体" w:cs="宋体"/>
                <w:szCs w:val="21"/>
              </w:rPr>
            </w:pPr>
            <w:r>
              <w:rPr>
                <w:rFonts w:hint="eastAsia" w:ascii="宋体" w:hAnsi="宋体" w:cs="宋体"/>
                <w:szCs w:val="21"/>
              </w:rPr>
              <w:t>网络安全系统续保升级服务</w:t>
            </w:r>
          </w:p>
        </w:tc>
        <w:tc>
          <w:tcPr>
            <w:tcW w:w="1230" w:type="dxa"/>
            <w:vAlign w:val="center"/>
          </w:tcPr>
          <w:p w14:paraId="045B76B0">
            <w:pPr>
              <w:jc w:val="center"/>
              <w:rPr>
                <w:rFonts w:ascii="宋体" w:hAnsi="宋体" w:cs="宋体"/>
                <w:szCs w:val="21"/>
              </w:rPr>
            </w:pPr>
            <w:r>
              <w:rPr>
                <w:rFonts w:hint="eastAsia" w:ascii="宋体" w:hAnsi="宋体" w:cs="宋体"/>
                <w:szCs w:val="21"/>
              </w:rPr>
              <w:t>1</w:t>
            </w:r>
          </w:p>
        </w:tc>
        <w:tc>
          <w:tcPr>
            <w:tcW w:w="1155" w:type="dxa"/>
            <w:vAlign w:val="center"/>
          </w:tcPr>
          <w:p w14:paraId="2D8B4998">
            <w:pPr>
              <w:jc w:val="center"/>
              <w:rPr>
                <w:rFonts w:hint="eastAsia" w:ascii="宋体" w:hAnsi="宋体" w:eastAsia="宋体" w:cs="宋体"/>
                <w:szCs w:val="21"/>
                <w:lang w:eastAsia="zh-CN"/>
              </w:rPr>
            </w:pPr>
            <w:r>
              <w:rPr>
                <w:rFonts w:hint="eastAsia" w:ascii="宋体" w:hAnsi="宋体" w:cs="宋体"/>
                <w:szCs w:val="21"/>
                <w:lang w:val="en-US" w:eastAsia="zh-CN"/>
              </w:rPr>
              <w:t>项</w:t>
            </w:r>
          </w:p>
        </w:tc>
        <w:tc>
          <w:tcPr>
            <w:tcW w:w="1140" w:type="dxa"/>
            <w:vAlign w:val="center"/>
          </w:tcPr>
          <w:p w14:paraId="793AD1D2">
            <w:pPr>
              <w:jc w:val="center"/>
              <w:rPr>
                <w:rFonts w:ascii="宋体" w:hAnsi="宋体" w:cs="宋体"/>
                <w:szCs w:val="21"/>
              </w:rPr>
            </w:pPr>
            <w:r>
              <w:rPr>
                <w:rFonts w:hint="eastAsia" w:ascii="宋体" w:hAnsi="宋体" w:cs="宋体"/>
                <w:szCs w:val="21"/>
              </w:rPr>
              <w:t>拒绝进口</w:t>
            </w:r>
          </w:p>
        </w:tc>
        <w:tc>
          <w:tcPr>
            <w:tcW w:w="2717" w:type="dxa"/>
            <w:vAlign w:val="center"/>
          </w:tcPr>
          <w:p w14:paraId="517BC8D5">
            <w:pPr>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0,000.00</w:t>
            </w:r>
          </w:p>
        </w:tc>
      </w:tr>
    </w:tbl>
    <w:p w14:paraId="63912DE9">
      <w:pPr>
        <w:pStyle w:val="4"/>
        <w:spacing w:before="156" w:beforeLines="50" w:after="156" w:afterLines="50"/>
        <w:rPr>
          <w:rFonts w:cs="宋体"/>
          <w:b/>
          <w:bCs/>
          <w:sz w:val="28"/>
          <w:szCs w:val="28"/>
        </w:rPr>
      </w:pPr>
      <w:r>
        <w:rPr>
          <w:rFonts w:hint="eastAsia" w:cs="宋体"/>
          <w:b/>
          <w:bCs/>
          <w:sz w:val="28"/>
          <w:szCs w:val="28"/>
        </w:rPr>
        <w:t>三、具体技术要求</w:t>
      </w:r>
    </w:p>
    <w:p w14:paraId="2BC767F0">
      <w:pPr>
        <w:ind w:firstLine="205" w:firstLineChars="98"/>
        <w:rPr>
          <w:rFonts w:ascii="仿宋" w:hAnsi="仿宋" w:eastAsia="仿宋"/>
          <w:bCs/>
          <w:snapToGrid w:val="0"/>
          <w:kern w:val="0"/>
          <w:szCs w:val="21"/>
        </w:rPr>
      </w:pPr>
      <w:r>
        <w:rPr>
          <w:rFonts w:hint="eastAsia" w:ascii="仿宋" w:hAnsi="仿宋" w:eastAsia="仿宋"/>
          <w:bCs/>
          <w:snapToGrid w:val="0"/>
          <w:kern w:val="0"/>
          <w:szCs w:val="21"/>
        </w:rPr>
        <w:t>说明：</w:t>
      </w:r>
    </w:p>
    <w:p w14:paraId="419D13AB">
      <w:pPr>
        <w:numPr>
          <w:ilvl w:val="0"/>
          <w:numId w:val="1"/>
        </w:numPr>
        <w:ind w:firstLine="205" w:firstLineChars="98"/>
        <w:rPr>
          <w:rFonts w:ascii="仿宋" w:hAnsi="仿宋" w:eastAsia="仿宋"/>
          <w:bCs/>
          <w:snapToGrid w:val="0"/>
          <w:kern w:val="0"/>
          <w:szCs w:val="21"/>
        </w:rPr>
      </w:pPr>
      <w:r>
        <w:rPr>
          <w:rFonts w:hint="eastAsia" w:ascii="仿宋" w:hAnsi="仿宋" w:eastAsia="仿宋"/>
          <w:bCs/>
          <w:snapToGrid w:val="0"/>
          <w:kern w:val="0"/>
          <w:szCs w:val="21"/>
        </w:rPr>
        <w:t>本项目技术需求中要求提供的各项证明材料均提供扫描件，原件备查。如投标人未按要求提供的，或提供的材料未能证明所投产品响应情况的，则该参数视为没有满足招标文件要求，进行负偏离扣分。</w:t>
      </w:r>
    </w:p>
    <w:p w14:paraId="49B99E8F">
      <w:pPr>
        <w:numPr>
          <w:ilvl w:val="0"/>
          <w:numId w:val="1"/>
        </w:numPr>
        <w:ind w:firstLine="205" w:firstLineChars="98"/>
        <w:rPr>
          <w:rFonts w:ascii="仿宋" w:hAnsi="仿宋" w:eastAsia="仿宋"/>
          <w:bCs/>
          <w:snapToGrid w:val="0"/>
          <w:kern w:val="0"/>
          <w:szCs w:val="21"/>
        </w:rPr>
      </w:pPr>
      <w:r>
        <w:rPr>
          <w:rFonts w:hint="eastAsia" w:ascii="仿宋" w:hAnsi="仿宋" w:eastAsia="仿宋"/>
          <w:bCs/>
          <w:snapToGrid w:val="0"/>
          <w:kern w:val="0"/>
          <w:szCs w:val="21"/>
        </w:rPr>
        <w:t>投标人须对本项目的采购标的或服务内容进行整体响应，任何只对采购标的或服务内容其中一部分内容进行的响应都被视为无效投标。</w:t>
      </w:r>
    </w:p>
    <w:p w14:paraId="0DADA3FD">
      <w:pPr>
        <w:numPr>
          <w:ilvl w:val="0"/>
          <w:numId w:val="1"/>
        </w:numPr>
        <w:ind w:firstLine="205" w:firstLineChars="98"/>
      </w:pPr>
      <w:r>
        <w:rPr>
          <w:rFonts w:hint="eastAsia" w:ascii="仿宋" w:hAnsi="仿宋" w:eastAsia="仿宋"/>
          <w:bCs/>
          <w:snapToGrid w:val="0"/>
          <w:kern w:val="0"/>
          <w:szCs w:val="21"/>
        </w:rPr>
        <w:t>如项目技术要求中设置了“▲”号参数的，则该项参数为重要技术指标，将在评分项中作为重点评价指标。</w:t>
      </w:r>
    </w:p>
    <w:p w14:paraId="68C7F148">
      <w:pPr>
        <w:numPr>
          <w:ilvl w:val="0"/>
          <w:numId w:val="1"/>
        </w:numPr>
        <w:ind w:firstLine="205" w:firstLineChars="98"/>
        <w:rPr>
          <w:rFonts w:ascii="仿宋" w:hAnsi="仿宋" w:eastAsia="仿宋"/>
          <w:bCs/>
          <w:snapToGrid w:val="0"/>
          <w:kern w:val="0"/>
          <w:szCs w:val="21"/>
        </w:rPr>
      </w:pPr>
      <w:r>
        <w:rPr>
          <w:rFonts w:hint="eastAsia" w:ascii="仿宋" w:hAnsi="仿宋" w:eastAsia="仿宋"/>
          <w:bCs/>
          <w:snapToGrid w:val="0"/>
          <w:kern w:val="0"/>
          <w:szCs w:val="21"/>
        </w:rPr>
        <w:t>带“★”指标项为实质性条款，如出现负偏离，将被视为未实质性满足招标文件要求作投标无效处理。</w:t>
      </w:r>
    </w:p>
    <w:p w14:paraId="2AD94BAA">
      <w:pPr>
        <w:rPr>
          <w:b w:val="0"/>
          <w:bCs w:val="0"/>
        </w:rPr>
      </w:pPr>
    </w:p>
    <w:tbl>
      <w:tblPr>
        <w:tblStyle w:val="18"/>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14:paraId="75CB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restart"/>
            <w:vAlign w:val="center"/>
          </w:tcPr>
          <w:p w14:paraId="49BF847A">
            <w:pPr>
              <w:jc w:val="center"/>
              <w:rPr>
                <w:rFonts w:ascii="仿宋" w:hAnsi="仿宋" w:eastAsia="仿宋"/>
                <w:b w:val="0"/>
                <w:bCs w:val="0"/>
                <w:szCs w:val="21"/>
              </w:rPr>
            </w:pPr>
            <w:r>
              <w:rPr>
                <w:rFonts w:hint="eastAsia" w:ascii="仿宋" w:hAnsi="仿宋" w:eastAsia="仿宋"/>
                <w:b w:val="0"/>
                <w:bCs w:val="0"/>
                <w:szCs w:val="21"/>
              </w:rPr>
              <w:t>1</w:t>
            </w:r>
          </w:p>
        </w:tc>
        <w:tc>
          <w:tcPr>
            <w:tcW w:w="1476" w:type="dxa"/>
            <w:vMerge w:val="restart"/>
            <w:vAlign w:val="center"/>
          </w:tcPr>
          <w:p w14:paraId="3F23467F">
            <w:pPr>
              <w:jc w:val="center"/>
              <w:rPr>
                <w:rFonts w:hint="default" w:ascii="仿宋" w:hAnsi="仿宋" w:eastAsia="仿宋"/>
                <w:b w:val="0"/>
                <w:bCs w:val="0"/>
                <w:szCs w:val="21"/>
                <w:lang w:val="en-US" w:eastAsia="zh-CN"/>
              </w:rPr>
            </w:pPr>
            <w:r>
              <w:rPr>
                <w:rFonts w:hint="eastAsia" w:ascii="仿宋" w:hAnsi="仿宋" w:eastAsia="仿宋"/>
                <w:b w:val="0"/>
                <w:bCs w:val="0"/>
                <w:szCs w:val="21"/>
                <w:lang w:val="en-US" w:eastAsia="zh-CN"/>
              </w:rPr>
              <w:t>总体要求</w:t>
            </w:r>
          </w:p>
        </w:tc>
        <w:tc>
          <w:tcPr>
            <w:tcW w:w="5986" w:type="dxa"/>
          </w:tcPr>
          <w:p w14:paraId="62E3A347">
            <w:pPr>
              <w:rPr>
                <w:rFonts w:hint="eastAsia" w:ascii="仿宋" w:hAnsi="仿宋" w:eastAsia="仿宋"/>
                <w:b w:val="0"/>
                <w:bCs w:val="0"/>
                <w:szCs w:val="21"/>
                <w:lang w:eastAsia="zh-CN"/>
              </w:rPr>
            </w:pPr>
            <w:r>
              <w:rPr>
                <w:rFonts w:hint="eastAsia" w:ascii="仿宋" w:hAnsi="仿宋" w:eastAsia="仿宋"/>
                <w:b w:val="0"/>
                <w:bCs w:val="0"/>
                <w:szCs w:val="21"/>
              </w:rPr>
              <w:t>1.1对学校现有的网络安全设备（包括安全防护软件系统和硬件设备），</w:t>
            </w:r>
            <w:r>
              <w:rPr>
                <w:rFonts w:hint="eastAsia" w:ascii="仿宋" w:hAnsi="仿宋" w:eastAsia="仿宋"/>
                <w:b w:val="0"/>
                <w:bCs w:val="0"/>
                <w:szCs w:val="21"/>
                <w:lang w:val="en-US" w:eastAsia="zh-CN"/>
              </w:rPr>
              <w:t>提供原厂维保和</w:t>
            </w:r>
            <w:r>
              <w:rPr>
                <w:rFonts w:hint="eastAsia" w:ascii="仿宋" w:hAnsi="仿宋" w:eastAsia="仿宋"/>
                <w:b w:val="0"/>
                <w:bCs w:val="0"/>
                <w:szCs w:val="21"/>
              </w:rPr>
              <w:t>版本升级更新服务，确保以最新功能和防护效果保障学校校园网及应用系统的安全稳定运行</w:t>
            </w:r>
            <w:r>
              <w:rPr>
                <w:rFonts w:hint="eastAsia" w:ascii="仿宋" w:hAnsi="仿宋" w:eastAsia="仿宋"/>
                <w:b w:val="0"/>
                <w:bCs w:val="0"/>
                <w:szCs w:val="21"/>
                <w:lang w:eastAsia="zh-CN"/>
              </w:rPr>
              <w:t>。</w:t>
            </w:r>
          </w:p>
        </w:tc>
      </w:tr>
      <w:tr w14:paraId="5D2A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712BD433">
            <w:pPr>
              <w:jc w:val="center"/>
              <w:rPr>
                <w:rFonts w:hint="eastAsia" w:ascii="仿宋" w:hAnsi="仿宋" w:eastAsia="仿宋"/>
                <w:b w:val="0"/>
                <w:bCs w:val="0"/>
                <w:szCs w:val="21"/>
              </w:rPr>
            </w:pPr>
          </w:p>
        </w:tc>
        <w:tc>
          <w:tcPr>
            <w:tcW w:w="1476" w:type="dxa"/>
            <w:vMerge w:val="continue"/>
            <w:vAlign w:val="center"/>
          </w:tcPr>
          <w:p w14:paraId="2FB3400E">
            <w:pPr>
              <w:jc w:val="center"/>
              <w:rPr>
                <w:rFonts w:hint="eastAsia" w:ascii="仿宋" w:hAnsi="仿宋" w:eastAsia="仿宋"/>
                <w:b w:val="0"/>
                <w:bCs w:val="0"/>
                <w:szCs w:val="21"/>
                <w:lang w:val="en-US" w:eastAsia="zh-CN"/>
              </w:rPr>
            </w:pPr>
          </w:p>
        </w:tc>
        <w:tc>
          <w:tcPr>
            <w:tcW w:w="5986" w:type="dxa"/>
          </w:tcPr>
          <w:p w14:paraId="2B34E463">
            <w:pPr>
              <w:rPr>
                <w:rFonts w:hint="eastAsia" w:ascii="仿宋" w:hAnsi="仿宋" w:eastAsia="仿宋"/>
                <w:b w:val="0"/>
                <w:bCs w:val="0"/>
                <w:kern w:val="2"/>
                <w:sz w:val="21"/>
                <w:szCs w:val="21"/>
                <w:lang w:val="en-US" w:eastAsia="zh-CN" w:bidi="ar-SA"/>
              </w:rPr>
            </w:pPr>
            <w:r>
              <w:rPr>
                <w:rFonts w:hint="eastAsia" w:ascii="仿宋" w:hAnsi="仿宋" w:eastAsia="仿宋"/>
                <w:b w:val="0"/>
                <w:bCs w:val="0"/>
                <w:szCs w:val="21"/>
                <w:lang w:val="en-US" w:eastAsia="zh-CN"/>
              </w:rPr>
              <w:t>1.2</w:t>
            </w:r>
            <w:r>
              <w:rPr>
                <w:rFonts w:hint="eastAsia" w:ascii="仿宋" w:hAnsi="仿宋" w:eastAsia="仿宋"/>
                <w:b w:val="0"/>
                <w:bCs w:val="0"/>
                <w:szCs w:val="21"/>
              </w:rPr>
              <w:t>▲服务期内，完成学校现有的绿盟网络安全设备（包括1台网络入侵防护系统、1台web应用安全防护系统、1台运维审计堡垒机、1台数据库审计系统、1台日志审计系统、1套网络防病毒系统）的</w:t>
            </w:r>
            <w:r>
              <w:rPr>
                <w:rFonts w:hint="eastAsia" w:ascii="仿宋" w:hAnsi="仿宋" w:eastAsia="仿宋"/>
                <w:b w:val="0"/>
                <w:bCs w:val="0"/>
                <w:szCs w:val="21"/>
                <w:lang w:val="en-US" w:eastAsia="zh-CN"/>
              </w:rPr>
              <w:t>原厂</w:t>
            </w:r>
            <w:r>
              <w:rPr>
                <w:rFonts w:hint="eastAsia" w:ascii="仿宋" w:hAnsi="仿宋" w:eastAsia="仿宋"/>
                <w:b w:val="0"/>
                <w:bCs w:val="0"/>
                <w:szCs w:val="21"/>
              </w:rPr>
              <w:t>续保</w:t>
            </w:r>
            <w:r>
              <w:rPr>
                <w:rFonts w:hint="eastAsia" w:ascii="仿宋" w:hAnsi="仿宋" w:eastAsia="仿宋"/>
                <w:b w:val="0"/>
                <w:bCs w:val="0"/>
                <w:szCs w:val="21"/>
                <w:lang w:val="en-US" w:eastAsia="zh-CN"/>
              </w:rPr>
              <w:t>和</w:t>
            </w:r>
            <w:r>
              <w:rPr>
                <w:rFonts w:hint="eastAsia" w:ascii="仿宋" w:hAnsi="仿宋" w:eastAsia="仿宋"/>
                <w:b w:val="0"/>
                <w:bCs w:val="0"/>
                <w:szCs w:val="21"/>
              </w:rPr>
              <w:t>升级服务，服务</w:t>
            </w:r>
            <w:r>
              <w:rPr>
                <w:rFonts w:hint="eastAsia" w:ascii="仿宋" w:hAnsi="仿宋" w:eastAsia="仿宋"/>
                <w:b w:val="0"/>
                <w:bCs w:val="0"/>
                <w:szCs w:val="21"/>
                <w:lang w:val="en-US" w:eastAsia="zh-CN"/>
              </w:rPr>
              <w:t>时间从合同签订之日起一年。（为确保原厂续保服务质量，投标时需提供设备原厂商出具的售后服务承诺函盖章原件）。</w:t>
            </w:r>
          </w:p>
        </w:tc>
      </w:tr>
      <w:tr w14:paraId="55AF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14:paraId="00C922D5">
            <w:pPr>
              <w:jc w:val="center"/>
              <w:rPr>
                <w:rFonts w:ascii="仿宋" w:hAnsi="仿宋" w:eastAsia="仿宋"/>
                <w:b w:val="0"/>
                <w:bCs w:val="0"/>
                <w:szCs w:val="21"/>
              </w:rPr>
            </w:pPr>
          </w:p>
        </w:tc>
        <w:tc>
          <w:tcPr>
            <w:tcW w:w="1476" w:type="dxa"/>
            <w:vMerge w:val="continue"/>
          </w:tcPr>
          <w:p w14:paraId="3B8EBCD0">
            <w:pPr>
              <w:rPr>
                <w:rFonts w:ascii="仿宋" w:hAnsi="仿宋" w:eastAsia="仿宋"/>
                <w:b w:val="0"/>
                <w:bCs w:val="0"/>
                <w:szCs w:val="21"/>
              </w:rPr>
            </w:pPr>
          </w:p>
        </w:tc>
        <w:tc>
          <w:tcPr>
            <w:tcW w:w="5986" w:type="dxa"/>
          </w:tcPr>
          <w:p w14:paraId="450D6301">
            <w:pPr>
              <w:rPr>
                <w:rFonts w:ascii="仿宋" w:hAnsi="仿宋" w:eastAsia="仿宋"/>
                <w:b w:val="0"/>
                <w:bCs w:val="0"/>
                <w:szCs w:val="21"/>
              </w:rPr>
            </w:pPr>
            <w:r>
              <w:rPr>
                <w:rFonts w:hint="eastAsia" w:ascii="仿宋" w:hAnsi="仿宋" w:eastAsia="仿宋"/>
                <w:b w:val="0"/>
                <w:bCs w:val="0"/>
                <w:szCs w:val="21"/>
              </w:rPr>
              <w:t>1.</w:t>
            </w:r>
            <w:r>
              <w:rPr>
                <w:rFonts w:hint="eastAsia" w:ascii="仿宋" w:hAnsi="仿宋" w:eastAsia="仿宋"/>
                <w:b w:val="0"/>
                <w:bCs w:val="0"/>
                <w:szCs w:val="21"/>
                <w:lang w:val="en-US" w:eastAsia="zh-CN"/>
              </w:rPr>
              <w:t>3</w:t>
            </w:r>
            <w:r>
              <w:rPr>
                <w:rFonts w:hint="eastAsia" w:ascii="仿宋" w:hAnsi="仿宋" w:eastAsia="仿宋"/>
                <w:b w:val="0"/>
                <w:bCs w:val="0"/>
                <w:szCs w:val="21"/>
              </w:rPr>
              <w:t>▲要求提供1名指定项目经理负责人，项目经理负责人要求具备计算机技术与软件专业技术资格（专业：信息系统项目管理师；级别：高级）证书，提供7*24小时应急响应服务和远程支持服务【投标时提供①有效证书复印件（或官网查询截图）；②开标日前近一个月在投标单位缴纳的载有社保部门公章的社保缴交证明材料，如开标日上一个月的社保材料因社保部门原因暂时无法取得，则可以往前顺延一个月。（注：如投标人为新成立企业且成立时间不足一个月的可提供情况说明或者其他证明材料亦视为符合）。</w:t>
            </w:r>
          </w:p>
        </w:tc>
      </w:tr>
      <w:tr w14:paraId="0410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31C0BD7E">
            <w:pPr>
              <w:jc w:val="center"/>
              <w:rPr>
                <w:rFonts w:ascii="仿宋" w:hAnsi="仿宋" w:eastAsia="仿宋"/>
                <w:b w:val="0"/>
                <w:bCs w:val="0"/>
                <w:szCs w:val="21"/>
              </w:rPr>
            </w:pPr>
          </w:p>
        </w:tc>
        <w:tc>
          <w:tcPr>
            <w:tcW w:w="1476" w:type="dxa"/>
            <w:vMerge w:val="continue"/>
          </w:tcPr>
          <w:p w14:paraId="48E2C7D5">
            <w:pPr>
              <w:rPr>
                <w:rFonts w:ascii="仿宋" w:hAnsi="仿宋" w:eastAsia="仿宋"/>
                <w:b w:val="0"/>
                <w:bCs w:val="0"/>
                <w:szCs w:val="21"/>
              </w:rPr>
            </w:pPr>
          </w:p>
        </w:tc>
        <w:tc>
          <w:tcPr>
            <w:tcW w:w="5986" w:type="dxa"/>
          </w:tcPr>
          <w:p w14:paraId="30375A8D">
            <w:pPr>
              <w:rPr>
                <w:rFonts w:hint="default" w:ascii="仿宋" w:hAnsi="仿宋" w:eastAsia="仿宋"/>
                <w:b w:val="0"/>
                <w:bCs w:val="0"/>
                <w:szCs w:val="21"/>
                <w:lang w:val="en-US" w:eastAsia="zh-CN"/>
              </w:rPr>
            </w:pPr>
            <w:r>
              <w:rPr>
                <w:rFonts w:hint="eastAsia" w:ascii="仿宋" w:hAnsi="仿宋" w:eastAsia="仿宋"/>
                <w:b w:val="0"/>
                <w:bCs w:val="0"/>
                <w:szCs w:val="21"/>
                <w:lang w:val="en-US" w:eastAsia="zh-CN"/>
              </w:rPr>
              <w:t>1.4依据中华人民共和国网络安全法和等级保护标准规范要求，对上述续保升级的网络安全设备，采用第三方漏洞威胁监测预警评估平台工具提供漏洞监测预警和漏洞评估服务，及时发现网络安全设备潜在漏洞和安全隐患，有效预警中高危漏洞风险，有针对性提出整改修复建议和操作方法。每季度提供漏洞风险评估报告。</w:t>
            </w:r>
          </w:p>
        </w:tc>
      </w:tr>
      <w:tr w14:paraId="7BA9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2553F066">
            <w:pPr>
              <w:jc w:val="center"/>
              <w:rPr>
                <w:rFonts w:ascii="仿宋" w:hAnsi="仿宋" w:eastAsia="仿宋"/>
                <w:b w:val="0"/>
                <w:bCs w:val="0"/>
                <w:szCs w:val="21"/>
              </w:rPr>
            </w:pPr>
          </w:p>
        </w:tc>
        <w:tc>
          <w:tcPr>
            <w:tcW w:w="1476" w:type="dxa"/>
            <w:vMerge w:val="continue"/>
          </w:tcPr>
          <w:p w14:paraId="7DE609C8">
            <w:pPr>
              <w:rPr>
                <w:rFonts w:ascii="仿宋" w:hAnsi="仿宋" w:eastAsia="仿宋"/>
                <w:b w:val="0"/>
                <w:bCs w:val="0"/>
                <w:szCs w:val="21"/>
              </w:rPr>
            </w:pPr>
          </w:p>
        </w:tc>
        <w:tc>
          <w:tcPr>
            <w:tcW w:w="5986" w:type="dxa"/>
          </w:tcPr>
          <w:p w14:paraId="107B3ECC">
            <w:pPr>
              <w:rPr>
                <w:rFonts w:hint="default" w:ascii="仿宋" w:hAnsi="仿宋" w:eastAsia="仿宋"/>
                <w:b w:val="0"/>
                <w:bCs w:val="0"/>
                <w:szCs w:val="21"/>
                <w:lang w:val="en-US" w:eastAsia="zh-CN"/>
              </w:rPr>
            </w:pPr>
            <w:r>
              <w:rPr>
                <w:rFonts w:hint="eastAsia" w:ascii="仿宋" w:hAnsi="仿宋" w:eastAsia="仿宋"/>
                <w:b w:val="0"/>
                <w:bCs w:val="0"/>
                <w:szCs w:val="21"/>
                <w:lang w:val="en-US" w:eastAsia="zh-CN"/>
              </w:rPr>
              <w:t>1.5漏洞监测预警和漏洞风险评估服务内容及工具功能效果具体要求如下：</w:t>
            </w:r>
          </w:p>
        </w:tc>
      </w:tr>
      <w:tr w14:paraId="4760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09E24F32">
            <w:pPr>
              <w:jc w:val="center"/>
              <w:rPr>
                <w:rFonts w:ascii="仿宋" w:hAnsi="仿宋" w:eastAsia="仿宋"/>
                <w:b w:val="0"/>
                <w:bCs w:val="0"/>
                <w:szCs w:val="21"/>
              </w:rPr>
            </w:pPr>
          </w:p>
        </w:tc>
        <w:tc>
          <w:tcPr>
            <w:tcW w:w="1476" w:type="dxa"/>
            <w:vMerge w:val="continue"/>
          </w:tcPr>
          <w:p w14:paraId="619F8AD1">
            <w:pPr>
              <w:rPr>
                <w:rFonts w:ascii="仿宋" w:hAnsi="仿宋" w:eastAsia="仿宋"/>
                <w:b w:val="0"/>
                <w:bCs w:val="0"/>
                <w:szCs w:val="21"/>
              </w:rPr>
            </w:pPr>
          </w:p>
        </w:tc>
        <w:tc>
          <w:tcPr>
            <w:tcW w:w="5986" w:type="dxa"/>
          </w:tcPr>
          <w:p w14:paraId="6FB11F09">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1.5.1★提供专业漏洞威胁监测预警评估平台工具，对监测评估的信息资产（包括设备IP和系统域名）授权数量无限制，工具使用服务时间为365天、7×24小时时长无限制。（投标时提供投标人承诺函（格式自定）盖章件）；</w:t>
            </w:r>
          </w:p>
        </w:tc>
      </w:tr>
      <w:tr w14:paraId="04A8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40F83FEC">
            <w:pPr>
              <w:jc w:val="center"/>
              <w:rPr>
                <w:rFonts w:ascii="仿宋" w:hAnsi="仿宋" w:eastAsia="仿宋"/>
                <w:b w:val="0"/>
                <w:bCs w:val="0"/>
                <w:szCs w:val="21"/>
              </w:rPr>
            </w:pPr>
          </w:p>
        </w:tc>
        <w:tc>
          <w:tcPr>
            <w:tcW w:w="1476" w:type="dxa"/>
            <w:vMerge w:val="continue"/>
          </w:tcPr>
          <w:p w14:paraId="47358960">
            <w:pPr>
              <w:rPr>
                <w:rFonts w:ascii="仿宋" w:hAnsi="仿宋" w:eastAsia="仿宋"/>
                <w:b w:val="0"/>
                <w:bCs w:val="0"/>
                <w:szCs w:val="21"/>
              </w:rPr>
            </w:pPr>
          </w:p>
        </w:tc>
        <w:tc>
          <w:tcPr>
            <w:tcW w:w="5986" w:type="dxa"/>
          </w:tcPr>
          <w:p w14:paraId="23369F81">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1.5.2▲支持监测和评估的漏洞数大于3</w:t>
            </w:r>
            <w:r>
              <w:rPr>
                <w:rFonts w:hint="default" w:ascii="仿宋" w:hAnsi="仿宋" w:eastAsia="仿宋" w:cs="Times New Roman"/>
                <w:b w:val="0"/>
                <w:bCs w:val="0"/>
                <w:szCs w:val="21"/>
                <w:lang w:val="en-US" w:eastAsia="zh-CN"/>
              </w:rPr>
              <w:t>5</w:t>
            </w:r>
            <w:r>
              <w:rPr>
                <w:rFonts w:hint="eastAsia" w:ascii="仿宋" w:hAnsi="仿宋" w:eastAsia="仿宋" w:cs="Times New Roman"/>
                <w:b w:val="0"/>
                <w:bCs w:val="0"/>
                <w:szCs w:val="21"/>
                <w:lang w:val="en-US" w:eastAsia="zh-CN"/>
              </w:rPr>
              <w:t>万条，兼容CVE、CNCVE、CNNVD、CNVD、Bugtraq等主流标准。支持通过多种维度对系统漏洞进行检索，包括：CVE ID、BUGTRAQ ID、CNCVE ID、CNVD ID、CNNVD ID、MS 编号、风险等级、漏洞名称、是否使用危险插件、漏洞发布日期等信息（投标时提供工具截图）；</w:t>
            </w:r>
          </w:p>
        </w:tc>
      </w:tr>
      <w:tr w14:paraId="149E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16A351F3">
            <w:pPr>
              <w:jc w:val="center"/>
              <w:rPr>
                <w:rFonts w:ascii="仿宋" w:hAnsi="仿宋" w:eastAsia="仿宋"/>
                <w:b w:val="0"/>
                <w:bCs w:val="0"/>
                <w:szCs w:val="21"/>
              </w:rPr>
            </w:pPr>
          </w:p>
        </w:tc>
        <w:tc>
          <w:tcPr>
            <w:tcW w:w="1476" w:type="dxa"/>
            <w:vMerge w:val="continue"/>
          </w:tcPr>
          <w:p w14:paraId="6784F634">
            <w:pPr>
              <w:rPr>
                <w:rFonts w:ascii="仿宋" w:hAnsi="仿宋" w:eastAsia="仿宋"/>
                <w:b w:val="0"/>
                <w:bCs w:val="0"/>
                <w:szCs w:val="21"/>
              </w:rPr>
            </w:pPr>
          </w:p>
        </w:tc>
        <w:tc>
          <w:tcPr>
            <w:tcW w:w="5986" w:type="dxa"/>
          </w:tcPr>
          <w:p w14:paraId="6DEAF1C2">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1.5.3▲支持大数据组件框架的漏洞监测评估，需覆盖Ambari、Cassandra、Elasticsearch、Flume、Hadoop、Hbase、Hdfs、Hive、 Impala、Kafka、Mongodb、Oozie、Spark、Storm、Yarn、Zookeeper等类型，要求能够监测评估大于200条相关漏洞。支持主流云计算主机系统的安全漏洞监测评估，如：VMWareESX/ESXi、KVM、Xen，要求能够监测评估大于5000条相关漏洞（投标时提供工具截图）；</w:t>
            </w:r>
          </w:p>
        </w:tc>
      </w:tr>
      <w:tr w14:paraId="59CF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6CA447E8">
            <w:pPr>
              <w:jc w:val="center"/>
              <w:rPr>
                <w:rFonts w:ascii="仿宋" w:hAnsi="仿宋" w:eastAsia="仿宋"/>
                <w:b w:val="0"/>
                <w:bCs w:val="0"/>
                <w:szCs w:val="21"/>
              </w:rPr>
            </w:pPr>
          </w:p>
        </w:tc>
        <w:tc>
          <w:tcPr>
            <w:tcW w:w="1476" w:type="dxa"/>
            <w:vMerge w:val="continue"/>
          </w:tcPr>
          <w:p w14:paraId="5633CF8C">
            <w:pPr>
              <w:rPr>
                <w:rFonts w:ascii="仿宋" w:hAnsi="仿宋" w:eastAsia="仿宋"/>
                <w:b w:val="0"/>
                <w:bCs w:val="0"/>
                <w:szCs w:val="21"/>
              </w:rPr>
            </w:pPr>
          </w:p>
        </w:tc>
        <w:tc>
          <w:tcPr>
            <w:tcW w:w="5986" w:type="dxa"/>
          </w:tcPr>
          <w:p w14:paraId="442C46B8">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1.5.4支持立即执行、定时执行、周期执行监测评估任务，自定义的周期时间可精确至每×月第×个星期×的×点×分。支持断点续测，可对已完成的监测评估任务中没有被覆盖到的目标重新下发监测任务。支持监测时间段控制，只在指定时间段内执行任务，未完成任务在下一时间段自动继续执行；</w:t>
            </w:r>
          </w:p>
        </w:tc>
      </w:tr>
      <w:tr w14:paraId="2857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3EBCF830">
            <w:pPr>
              <w:jc w:val="center"/>
              <w:rPr>
                <w:rFonts w:ascii="仿宋" w:hAnsi="仿宋" w:eastAsia="仿宋"/>
                <w:b w:val="0"/>
                <w:bCs w:val="0"/>
                <w:szCs w:val="21"/>
              </w:rPr>
            </w:pPr>
          </w:p>
        </w:tc>
        <w:tc>
          <w:tcPr>
            <w:tcW w:w="1476" w:type="dxa"/>
            <w:vMerge w:val="continue"/>
          </w:tcPr>
          <w:p w14:paraId="5061AFB0">
            <w:pPr>
              <w:rPr>
                <w:rFonts w:ascii="仿宋" w:hAnsi="仿宋" w:eastAsia="仿宋"/>
                <w:b w:val="0"/>
                <w:bCs w:val="0"/>
                <w:szCs w:val="21"/>
              </w:rPr>
            </w:pPr>
          </w:p>
        </w:tc>
        <w:tc>
          <w:tcPr>
            <w:tcW w:w="5986" w:type="dxa"/>
          </w:tcPr>
          <w:p w14:paraId="35F36203">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1.5.5▲提供高级漏洞模板过滤器，支持按照风险级别、组织、时间、系统类别、应用类别、威胁类别等多个维度将符合筛选条件的漏洞加入到自定义漏洞模板。内置不同的漏洞模板针对Unix、Windows操作系统、网络设备和防火墙等模板，支持自动匹配模板监测；支持用户自定义模板和漏洞策略并添加生效（投标时提供工具截图）；</w:t>
            </w:r>
          </w:p>
        </w:tc>
      </w:tr>
      <w:tr w14:paraId="22E6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44163EC5">
            <w:pPr>
              <w:jc w:val="center"/>
              <w:rPr>
                <w:rFonts w:ascii="仿宋" w:hAnsi="仿宋" w:eastAsia="仿宋"/>
                <w:b w:val="0"/>
                <w:bCs w:val="0"/>
                <w:szCs w:val="21"/>
              </w:rPr>
            </w:pPr>
          </w:p>
        </w:tc>
        <w:tc>
          <w:tcPr>
            <w:tcW w:w="1476" w:type="dxa"/>
            <w:vMerge w:val="continue"/>
          </w:tcPr>
          <w:p w14:paraId="6CDD81C4">
            <w:pPr>
              <w:rPr>
                <w:rFonts w:ascii="仿宋" w:hAnsi="仿宋" w:eastAsia="仿宋"/>
                <w:b w:val="0"/>
                <w:bCs w:val="0"/>
                <w:szCs w:val="21"/>
              </w:rPr>
            </w:pPr>
          </w:p>
        </w:tc>
        <w:tc>
          <w:tcPr>
            <w:tcW w:w="5986" w:type="dxa"/>
          </w:tcPr>
          <w:p w14:paraId="26B7FC37">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1.5.6支持专门针对DNS服务的安全漏洞监测评估，包括DNS投毒等漏洞检测能力，支持“幽灵木马”检测；</w:t>
            </w:r>
          </w:p>
        </w:tc>
      </w:tr>
      <w:tr w14:paraId="4FA1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2823A828">
            <w:pPr>
              <w:jc w:val="center"/>
              <w:rPr>
                <w:rFonts w:ascii="仿宋" w:hAnsi="仿宋" w:eastAsia="仿宋"/>
                <w:b w:val="0"/>
                <w:bCs w:val="0"/>
                <w:szCs w:val="21"/>
              </w:rPr>
            </w:pPr>
          </w:p>
        </w:tc>
        <w:tc>
          <w:tcPr>
            <w:tcW w:w="1476" w:type="dxa"/>
            <w:vMerge w:val="continue"/>
          </w:tcPr>
          <w:p w14:paraId="23347628">
            <w:pPr>
              <w:rPr>
                <w:rFonts w:ascii="仿宋" w:hAnsi="仿宋" w:eastAsia="仿宋"/>
                <w:b w:val="0"/>
                <w:bCs w:val="0"/>
                <w:szCs w:val="21"/>
              </w:rPr>
            </w:pPr>
          </w:p>
        </w:tc>
        <w:tc>
          <w:tcPr>
            <w:tcW w:w="5986" w:type="dxa"/>
          </w:tcPr>
          <w:p w14:paraId="2B3BAEFC">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1.5.7支持Oracle、MySQL、MS SQL、DB2、Sybase数据库的安全漏洞监测评估；</w:t>
            </w:r>
          </w:p>
        </w:tc>
      </w:tr>
      <w:tr w14:paraId="723D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6B4324D8">
            <w:pPr>
              <w:jc w:val="center"/>
              <w:rPr>
                <w:rFonts w:ascii="仿宋" w:hAnsi="仿宋" w:eastAsia="仿宋"/>
                <w:b w:val="0"/>
                <w:bCs w:val="0"/>
                <w:szCs w:val="21"/>
              </w:rPr>
            </w:pPr>
          </w:p>
        </w:tc>
        <w:tc>
          <w:tcPr>
            <w:tcW w:w="1476" w:type="dxa"/>
            <w:vMerge w:val="continue"/>
          </w:tcPr>
          <w:p w14:paraId="70154C64">
            <w:pPr>
              <w:rPr>
                <w:rFonts w:ascii="仿宋" w:hAnsi="仿宋" w:eastAsia="仿宋"/>
                <w:b w:val="0"/>
                <w:bCs w:val="0"/>
                <w:szCs w:val="21"/>
              </w:rPr>
            </w:pPr>
          </w:p>
        </w:tc>
        <w:tc>
          <w:tcPr>
            <w:tcW w:w="5986" w:type="dxa"/>
          </w:tcPr>
          <w:p w14:paraId="744C82FF">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1.5.8▲支持通过多种维度搜索定位资产和查看资产风险，包括并不限于：节点或设备名称、资产IP范围、资产管理员、资产操作系统类型、资产风险等级、漏洞名称、开放的端口、资产banner信息等；支持风险告警和风险闭环处理，可在集中告警平台灵活配置告警内容、告警方式、告警资产范围等，支持邮件和页面告警，支持单个或批量修改风险状态（投标时提供工具截图）；</w:t>
            </w:r>
          </w:p>
        </w:tc>
      </w:tr>
      <w:tr w14:paraId="3243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0CD20ED3">
            <w:pPr>
              <w:jc w:val="center"/>
              <w:rPr>
                <w:rFonts w:ascii="仿宋" w:hAnsi="仿宋" w:eastAsia="仿宋"/>
                <w:b w:val="0"/>
                <w:bCs w:val="0"/>
                <w:szCs w:val="21"/>
              </w:rPr>
            </w:pPr>
          </w:p>
        </w:tc>
        <w:tc>
          <w:tcPr>
            <w:tcW w:w="1476" w:type="dxa"/>
            <w:vMerge w:val="continue"/>
          </w:tcPr>
          <w:p w14:paraId="151BCFA2">
            <w:pPr>
              <w:rPr>
                <w:rFonts w:ascii="仿宋" w:hAnsi="仿宋" w:eastAsia="仿宋"/>
                <w:b w:val="0"/>
                <w:bCs w:val="0"/>
                <w:szCs w:val="21"/>
              </w:rPr>
            </w:pPr>
          </w:p>
        </w:tc>
        <w:tc>
          <w:tcPr>
            <w:tcW w:w="5986" w:type="dxa"/>
          </w:tcPr>
          <w:p w14:paraId="6445915B">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1.5.9支持自定义风险值计算标准配置，可对主机风险等级评定标准和网络风险等级评定标准进行自定义；</w:t>
            </w:r>
          </w:p>
        </w:tc>
      </w:tr>
      <w:tr w14:paraId="3ED6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2659C2B7">
            <w:pPr>
              <w:jc w:val="center"/>
              <w:rPr>
                <w:rFonts w:ascii="仿宋" w:hAnsi="仿宋" w:eastAsia="仿宋"/>
                <w:b w:val="0"/>
                <w:bCs w:val="0"/>
                <w:szCs w:val="21"/>
              </w:rPr>
            </w:pPr>
          </w:p>
        </w:tc>
        <w:tc>
          <w:tcPr>
            <w:tcW w:w="1476" w:type="dxa"/>
            <w:vMerge w:val="continue"/>
          </w:tcPr>
          <w:p w14:paraId="174ACEB3">
            <w:pPr>
              <w:rPr>
                <w:rFonts w:ascii="仿宋" w:hAnsi="仿宋" w:eastAsia="仿宋"/>
                <w:b w:val="0"/>
                <w:bCs w:val="0"/>
                <w:szCs w:val="21"/>
              </w:rPr>
            </w:pPr>
          </w:p>
        </w:tc>
        <w:tc>
          <w:tcPr>
            <w:tcW w:w="5986" w:type="dxa"/>
          </w:tcPr>
          <w:p w14:paraId="08D86A3F">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1.5.10可扩展支持配置核查功能、应用漏洞监测功能，并在同一界面、同一账号实现登录，并同一报表展现漏洞监测评估结果和配置核查结果，非采用单点登录方式或非三种系统独立界面方式实现；</w:t>
            </w:r>
          </w:p>
        </w:tc>
      </w:tr>
      <w:tr w14:paraId="3BF0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7BC385D8">
            <w:pPr>
              <w:jc w:val="center"/>
              <w:rPr>
                <w:rFonts w:ascii="仿宋" w:hAnsi="仿宋" w:eastAsia="仿宋"/>
                <w:b w:val="0"/>
                <w:bCs w:val="0"/>
                <w:szCs w:val="21"/>
              </w:rPr>
            </w:pPr>
          </w:p>
        </w:tc>
        <w:tc>
          <w:tcPr>
            <w:tcW w:w="1476" w:type="dxa"/>
            <w:vMerge w:val="continue"/>
          </w:tcPr>
          <w:p w14:paraId="29A36E61">
            <w:pPr>
              <w:rPr>
                <w:rFonts w:ascii="仿宋" w:hAnsi="仿宋" w:eastAsia="仿宋"/>
                <w:b w:val="0"/>
                <w:bCs w:val="0"/>
                <w:szCs w:val="21"/>
              </w:rPr>
            </w:pPr>
          </w:p>
        </w:tc>
        <w:tc>
          <w:tcPr>
            <w:tcW w:w="5986" w:type="dxa"/>
          </w:tcPr>
          <w:p w14:paraId="245C3470">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1.5.11支持将按IP范围、起止时间、任务名称、任务状态、漏洞模板、用户等筛选监测评估任务，并对筛选结果进行汇总，生成在线或离线报表；</w:t>
            </w:r>
          </w:p>
        </w:tc>
      </w:tr>
      <w:tr w14:paraId="4486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0218A940">
            <w:pPr>
              <w:jc w:val="center"/>
              <w:rPr>
                <w:rFonts w:ascii="仿宋" w:hAnsi="仿宋" w:eastAsia="仿宋"/>
                <w:b w:val="0"/>
                <w:bCs w:val="0"/>
                <w:szCs w:val="21"/>
              </w:rPr>
            </w:pPr>
          </w:p>
        </w:tc>
        <w:tc>
          <w:tcPr>
            <w:tcW w:w="1476" w:type="dxa"/>
            <w:vMerge w:val="continue"/>
          </w:tcPr>
          <w:p w14:paraId="79D66F31">
            <w:pPr>
              <w:rPr>
                <w:rFonts w:ascii="仿宋" w:hAnsi="仿宋" w:eastAsia="仿宋"/>
                <w:b w:val="0"/>
                <w:bCs w:val="0"/>
                <w:szCs w:val="21"/>
              </w:rPr>
            </w:pPr>
          </w:p>
        </w:tc>
        <w:tc>
          <w:tcPr>
            <w:tcW w:w="5986" w:type="dxa"/>
          </w:tcPr>
          <w:p w14:paraId="237BCD7F">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1.5.12▲具备单独口令猜测监测与评估任务，支持多种口令监测评估方式，支持SMB、TELNET、FTP、SSH、POP3、TOMCAT、SQL SERVER、MYSQL、ORACLE、SYBASE、DB2、SNMP等协议，支持用户字典和密码字典的组合模式。支持和微软WSUS补丁系统的联动，能够在发给主机管理员的邮件中附带自动配置WSUS的注册表文件，方便进行自动化的漏洞补丁修补（投标时提供工具截图）；</w:t>
            </w:r>
          </w:p>
        </w:tc>
      </w:tr>
      <w:tr w14:paraId="1917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7BFD6D66">
            <w:pPr>
              <w:jc w:val="center"/>
              <w:rPr>
                <w:rFonts w:ascii="仿宋" w:hAnsi="仿宋" w:eastAsia="仿宋"/>
                <w:b w:val="0"/>
                <w:bCs w:val="0"/>
                <w:szCs w:val="21"/>
              </w:rPr>
            </w:pPr>
          </w:p>
        </w:tc>
        <w:tc>
          <w:tcPr>
            <w:tcW w:w="1476" w:type="dxa"/>
            <w:vMerge w:val="continue"/>
          </w:tcPr>
          <w:p w14:paraId="75CB008D">
            <w:pPr>
              <w:rPr>
                <w:rFonts w:ascii="仿宋" w:hAnsi="仿宋" w:eastAsia="仿宋"/>
                <w:b w:val="0"/>
                <w:bCs w:val="0"/>
                <w:szCs w:val="21"/>
              </w:rPr>
            </w:pPr>
          </w:p>
        </w:tc>
        <w:tc>
          <w:tcPr>
            <w:tcW w:w="5986" w:type="dxa"/>
          </w:tcPr>
          <w:p w14:paraId="7732D704">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1.5.13支持多用户分级权限管理，可为每个用户角色分配账号、任务级的权限分配、允许登录的IP范围和允许监测的IP范围等。支持不同用户角色权限管理，区分系统管理员、普通用户、审计管理员等角色，不同管理员拥有不同的管理权限；</w:t>
            </w:r>
          </w:p>
        </w:tc>
      </w:tr>
      <w:tr w14:paraId="5BE8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72DA29FA">
            <w:pPr>
              <w:jc w:val="center"/>
              <w:rPr>
                <w:rFonts w:ascii="仿宋" w:hAnsi="仿宋" w:eastAsia="仿宋"/>
                <w:b w:val="0"/>
                <w:bCs w:val="0"/>
                <w:szCs w:val="21"/>
              </w:rPr>
            </w:pPr>
          </w:p>
        </w:tc>
        <w:tc>
          <w:tcPr>
            <w:tcW w:w="1476" w:type="dxa"/>
            <w:vMerge w:val="continue"/>
          </w:tcPr>
          <w:p w14:paraId="1800BCF4">
            <w:pPr>
              <w:rPr>
                <w:rFonts w:ascii="仿宋" w:hAnsi="仿宋" w:eastAsia="仿宋"/>
                <w:b w:val="0"/>
                <w:bCs w:val="0"/>
                <w:szCs w:val="21"/>
              </w:rPr>
            </w:pPr>
          </w:p>
        </w:tc>
        <w:tc>
          <w:tcPr>
            <w:tcW w:w="5986" w:type="dxa"/>
          </w:tcPr>
          <w:p w14:paraId="116F7581">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1.5.14提供通过资产树对资产进行分级管理，支持设备权重设置和可信设备登记，支持将资产信息批量导入资产树，在资产树上直接指定主机开展监测评估任务；</w:t>
            </w:r>
          </w:p>
        </w:tc>
      </w:tr>
      <w:tr w14:paraId="62B5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595894F7">
            <w:pPr>
              <w:jc w:val="center"/>
              <w:rPr>
                <w:rFonts w:ascii="仿宋" w:hAnsi="仿宋" w:eastAsia="仿宋"/>
                <w:b w:val="0"/>
                <w:bCs w:val="0"/>
                <w:szCs w:val="21"/>
              </w:rPr>
            </w:pPr>
          </w:p>
        </w:tc>
        <w:tc>
          <w:tcPr>
            <w:tcW w:w="1476" w:type="dxa"/>
            <w:vMerge w:val="continue"/>
          </w:tcPr>
          <w:p w14:paraId="332F2D73">
            <w:pPr>
              <w:rPr>
                <w:rFonts w:ascii="仿宋" w:hAnsi="仿宋" w:eastAsia="仿宋"/>
                <w:b w:val="0"/>
                <w:bCs w:val="0"/>
                <w:szCs w:val="21"/>
              </w:rPr>
            </w:pPr>
          </w:p>
        </w:tc>
        <w:tc>
          <w:tcPr>
            <w:tcW w:w="5986" w:type="dxa"/>
          </w:tcPr>
          <w:p w14:paraId="0F8206E6">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1.5.15支持通过集中仪表盘界面直观展示资产风险值、主机风险等级分布、资产风险趋势、资产风险分布趋势等内容，并可查看详情；</w:t>
            </w:r>
          </w:p>
        </w:tc>
      </w:tr>
      <w:tr w14:paraId="4F10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40B91355">
            <w:pPr>
              <w:jc w:val="center"/>
              <w:rPr>
                <w:rFonts w:ascii="仿宋" w:hAnsi="仿宋" w:eastAsia="仿宋"/>
                <w:b w:val="0"/>
                <w:bCs w:val="0"/>
                <w:szCs w:val="21"/>
              </w:rPr>
            </w:pPr>
          </w:p>
        </w:tc>
        <w:tc>
          <w:tcPr>
            <w:tcW w:w="1476" w:type="dxa"/>
            <w:vMerge w:val="continue"/>
          </w:tcPr>
          <w:p w14:paraId="0FC611EC">
            <w:pPr>
              <w:rPr>
                <w:rFonts w:ascii="仿宋" w:hAnsi="仿宋" w:eastAsia="仿宋"/>
                <w:b w:val="0"/>
                <w:bCs w:val="0"/>
                <w:szCs w:val="21"/>
              </w:rPr>
            </w:pPr>
          </w:p>
        </w:tc>
        <w:tc>
          <w:tcPr>
            <w:tcW w:w="5986" w:type="dxa"/>
          </w:tcPr>
          <w:p w14:paraId="6A1CAA99">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1.5.16支持在线报表，在线查看展示各节点和主机资产风险分布、漏洞分布、配置合规和脆弱账号信息，在线查看设备风险详情。提供多种报表类型，包括独立的综述报表和主机报表。提供灵活的报表自定义，可定制报表标题、封面logo、报表页眉和页脚、报表各章节显示内容；</w:t>
            </w:r>
          </w:p>
        </w:tc>
      </w:tr>
      <w:tr w14:paraId="2F82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55EA4E5F">
            <w:pPr>
              <w:jc w:val="center"/>
              <w:rPr>
                <w:rFonts w:ascii="仿宋" w:hAnsi="仿宋" w:eastAsia="仿宋"/>
                <w:b w:val="0"/>
                <w:bCs w:val="0"/>
                <w:szCs w:val="21"/>
              </w:rPr>
            </w:pPr>
          </w:p>
        </w:tc>
        <w:tc>
          <w:tcPr>
            <w:tcW w:w="1476" w:type="dxa"/>
            <w:vMerge w:val="continue"/>
          </w:tcPr>
          <w:p w14:paraId="774843C8">
            <w:pPr>
              <w:rPr>
                <w:rFonts w:ascii="仿宋" w:hAnsi="仿宋" w:eastAsia="仿宋"/>
                <w:b w:val="0"/>
                <w:bCs w:val="0"/>
                <w:szCs w:val="21"/>
              </w:rPr>
            </w:pPr>
          </w:p>
        </w:tc>
        <w:tc>
          <w:tcPr>
            <w:tcW w:w="5986" w:type="dxa"/>
          </w:tcPr>
          <w:p w14:paraId="567A1AF6">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1.5.17支持监测评估任务完成后自动生成报表和发送到指定邮箱或上传到FTP服务器，实现漏洞预警，便于及时响应处置；</w:t>
            </w:r>
          </w:p>
        </w:tc>
      </w:tr>
      <w:tr w14:paraId="0E18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34B92BD0">
            <w:pPr>
              <w:jc w:val="center"/>
              <w:rPr>
                <w:rFonts w:ascii="仿宋" w:hAnsi="仿宋" w:eastAsia="仿宋"/>
                <w:b w:val="0"/>
                <w:bCs w:val="0"/>
                <w:szCs w:val="21"/>
              </w:rPr>
            </w:pPr>
          </w:p>
        </w:tc>
        <w:tc>
          <w:tcPr>
            <w:tcW w:w="1476" w:type="dxa"/>
            <w:vMerge w:val="continue"/>
          </w:tcPr>
          <w:p w14:paraId="5DD673FE">
            <w:pPr>
              <w:rPr>
                <w:rFonts w:ascii="仿宋" w:hAnsi="仿宋" w:eastAsia="仿宋"/>
                <w:b w:val="0"/>
                <w:bCs w:val="0"/>
                <w:szCs w:val="21"/>
              </w:rPr>
            </w:pPr>
          </w:p>
        </w:tc>
        <w:tc>
          <w:tcPr>
            <w:tcW w:w="5986" w:type="dxa"/>
          </w:tcPr>
          <w:p w14:paraId="70A43773">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1.5.18支持监测评估平台手动和自动升级。自动定时升级支持Http代理方式，立即升级支持一键式更新；</w:t>
            </w:r>
          </w:p>
        </w:tc>
      </w:tr>
      <w:tr w14:paraId="6643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2F681604">
            <w:pPr>
              <w:jc w:val="center"/>
              <w:rPr>
                <w:rFonts w:ascii="仿宋" w:hAnsi="仿宋" w:eastAsia="仿宋"/>
                <w:b w:val="0"/>
                <w:bCs w:val="0"/>
                <w:szCs w:val="21"/>
              </w:rPr>
            </w:pPr>
          </w:p>
        </w:tc>
        <w:tc>
          <w:tcPr>
            <w:tcW w:w="1476" w:type="dxa"/>
            <w:vMerge w:val="continue"/>
          </w:tcPr>
          <w:p w14:paraId="547AABD4">
            <w:pPr>
              <w:rPr>
                <w:rFonts w:ascii="仿宋" w:hAnsi="仿宋" w:eastAsia="仿宋"/>
                <w:b w:val="0"/>
                <w:bCs w:val="0"/>
                <w:szCs w:val="21"/>
              </w:rPr>
            </w:pPr>
          </w:p>
        </w:tc>
        <w:tc>
          <w:tcPr>
            <w:tcW w:w="5986" w:type="dxa"/>
          </w:tcPr>
          <w:p w14:paraId="5F852CE5">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1.5.19评估工具具有中国信息安全测评中心颁发的《国家信息安全测评信息技术产品安全测评证书(EAL3+级)》、中国网络安全审查认证和市场监管大数据中心（原中国网络安全审查技术与认证中心）颁发的《网络关键设备和网络安全专用产品安全认证证书》（投标时提供有效证书复印件）；</w:t>
            </w:r>
          </w:p>
        </w:tc>
      </w:tr>
      <w:tr w14:paraId="1511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900" w:type="dxa"/>
            <w:vMerge w:val="continue"/>
            <w:vAlign w:val="center"/>
          </w:tcPr>
          <w:p w14:paraId="0DD1F91A">
            <w:pPr>
              <w:jc w:val="center"/>
              <w:rPr>
                <w:rFonts w:ascii="仿宋" w:hAnsi="仿宋" w:eastAsia="仿宋"/>
                <w:b w:val="0"/>
                <w:bCs w:val="0"/>
                <w:szCs w:val="21"/>
              </w:rPr>
            </w:pPr>
          </w:p>
        </w:tc>
        <w:tc>
          <w:tcPr>
            <w:tcW w:w="1476" w:type="dxa"/>
            <w:vMerge w:val="continue"/>
          </w:tcPr>
          <w:p w14:paraId="27764E17">
            <w:pPr>
              <w:rPr>
                <w:rFonts w:ascii="仿宋" w:hAnsi="仿宋" w:eastAsia="仿宋"/>
                <w:b w:val="0"/>
                <w:bCs w:val="0"/>
                <w:szCs w:val="21"/>
              </w:rPr>
            </w:pPr>
          </w:p>
        </w:tc>
        <w:tc>
          <w:tcPr>
            <w:tcW w:w="5986" w:type="dxa"/>
          </w:tcPr>
          <w:p w14:paraId="4530636F">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1.5.20▲评估工具厂商具有中国网络安全审查认证和市场监管大数据中心（原中国网络安全审查技术与认证中心）颁发的信息安全服务资质认证证书(应急处理一级、风险评估一级、安全集成一级、安全运维一级)（投标时提供有效证书复印件）。</w:t>
            </w:r>
          </w:p>
        </w:tc>
      </w:tr>
      <w:tr w14:paraId="0CA8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14:paraId="1E770156">
            <w:pPr>
              <w:jc w:val="center"/>
              <w:rPr>
                <w:rFonts w:ascii="仿宋" w:hAnsi="仿宋" w:eastAsia="仿宋"/>
                <w:b w:val="0"/>
                <w:bCs w:val="0"/>
                <w:szCs w:val="21"/>
              </w:rPr>
            </w:pPr>
          </w:p>
        </w:tc>
        <w:tc>
          <w:tcPr>
            <w:tcW w:w="1476" w:type="dxa"/>
            <w:vMerge w:val="continue"/>
          </w:tcPr>
          <w:p w14:paraId="38EC34CB">
            <w:pPr>
              <w:rPr>
                <w:rFonts w:ascii="仿宋" w:hAnsi="仿宋" w:eastAsia="仿宋"/>
                <w:b w:val="0"/>
                <w:bCs w:val="0"/>
                <w:szCs w:val="21"/>
              </w:rPr>
            </w:pPr>
          </w:p>
        </w:tc>
        <w:tc>
          <w:tcPr>
            <w:tcW w:w="5986" w:type="dxa"/>
          </w:tcPr>
          <w:p w14:paraId="094A721A">
            <w:pPr>
              <w:rPr>
                <w:rFonts w:hint="default" w:ascii="仿宋" w:hAnsi="仿宋" w:eastAsia="仿宋" w:cs="Times New Roman"/>
                <w:b w:val="0"/>
                <w:bCs w:val="0"/>
                <w:szCs w:val="21"/>
                <w:lang w:val="en-US" w:eastAsia="zh-CN"/>
              </w:rPr>
            </w:pPr>
            <w:r>
              <w:rPr>
                <w:rFonts w:hint="eastAsia" w:ascii="仿宋" w:hAnsi="仿宋" w:eastAsia="仿宋"/>
                <w:b w:val="0"/>
                <w:bCs w:val="0"/>
                <w:szCs w:val="21"/>
                <w:lang w:val="en-US" w:eastAsia="zh-CN"/>
              </w:rPr>
              <w:t>1.6依据中华人民共和国网络安全法和等级保护标准规范要求，通过云监测服务平台给学校网站提供安全状态监测预警和评估服务，实时发现潜在安全隐患，有效预警安全风险，及时提出处理建议。每周和每月提供安全监测报告。</w:t>
            </w:r>
          </w:p>
        </w:tc>
      </w:tr>
      <w:tr w14:paraId="4BB7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14:paraId="1E6F6F74">
            <w:pPr>
              <w:jc w:val="center"/>
              <w:rPr>
                <w:rFonts w:ascii="仿宋" w:hAnsi="仿宋" w:eastAsia="仿宋"/>
                <w:b w:val="0"/>
                <w:bCs w:val="0"/>
                <w:szCs w:val="21"/>
              </w:rPr>
            </w:pPr>
          </w:p>
        </w:tc>
        <w:tc>
          <w:tcPr>
            <w:tcW w:w="1476" w:type="dxa"/>
            <w:vMerge w:val="continue"/>
          </w:tcPr>
          <w:p w14:paraId="795FEF87">
            <w:pPr>
              <w:rPr>
                <w:rFonts w:ascii="仿宋" w:hAnsi="仿宋" w:eastAsia="仿宋"/>
                <w:b w:val="0"/>
                <w:bCs w:val="0"/>
                <w:szCs w:val="21"/>
              </w:rPr>
            </w:pPr>
          </w:p>
        </w:tc>
        <w:tc>
          <w:tcPr>
            <w:tcW w:w="5986" w:type="dxa"/>
          </w:tcPr>
          <w:p w14:paraId="74BDEC05">
            <w:pPr>
              <w:rPr>
                <w:rFonts w:hint="eastAsia" w:ascii="仿宋" w:hAnsi="仿宋" w:eastAsia="仿宋" w:cs="Times New Roman"/>
                <w:b w:val="0"/>
                <w:bCs w:val="0"/>
                <w:szCs w:val="21"/>
                <w:lang w:val="en-US" w:eastAsia="zh-CN"/>
              </w:rPr>
            </w:pPr>
            <w:r>
              <w:rPr>
                <w:rFonts w:hint="eastAsia" w:ascii="仿宋" w:hAnsi="仿宋" w:eastAsia="仿宋"/>
                <w:b w:val="0"/>
                <w:bCs w:val="0"/>
                <w:szCs w:val="21"/>
                <w:lang w:val="en-US" w:eastAsia="zh-CN"/>
              </w:rPr>
              <w:t>1.7云监测服务内容及功能效果具体要求如下：</w:t>
            </w:r>
          </w:p>
        </w:tc>
      </w:tr>
      <w:tr w14:paraId="0F11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14:paraId="5EB532B9">
            <w:pPr>
              <w:jc w:val="center"/>
              <w:rPr>
                <w:rFonts w:ascii="仿宋" w:hAnsi="仿宋" w:eastAsia="仿宋"/>
                <w:b w:val="0"/>
                <w:bCs w:val="0"/>
                <w:szCs w:val="21"/>
              </w:rPr>
            </w:pPr>
          </w:p>
        </w:tc>
        <w:tc>
          <w:tcPr>
            <w:tcW w:w="1476" w:type="dxa"/>
            <w:vMerge w:val="continue"/>
          </w:tcPr>
          <w:p w14:paraId="28076F5B">
            <w:pPr>
              <w:rPr>
                <w:rFonts w:ascii="仿宋" w:hAnsi="仿宋" w:eastAsia="仿宋"/>
                <w:b w:val="0"/>
                <w:bCs w:val="0"/>
                <w:szCs w:val="21"/>
              </w:rPr>
            </w:pPr>
          </w:p>
        </w:tc>
        <w:tc>
          <w:tcPr>
            <w:tcW w:w="5986" w:type="dxa"/>
          </w:tcPr>
          <w:p w14:paraId="0D94974D">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1.7.1能够对网站常见的隐患和安全灾害事故进行监测：常见的灾害事故包括挂马网页、篡改网页、含敏感内容网页。</w:t>
            </w:r>
          </w:p>
        </w:tc>
      </w:tr>
      <w:tr w14:paraId="035D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14:paraId="448A8D32">
            <w:pPr>
              <w:jc w:val="center"/>
              <w:rPr>
                <w:rFonts w:ascii="仿宋" w:hAnsi="仿宋" w:eastAsia="仿宋"/>
                <w:b w:val="0"/>
                <w:bCs w:val="0"/>
                <w:szCs w:val="21"/>
              </w:rPr>
            </w:pPr>
          </w:p>
        </w:tc>
        <w:tc>
          <w:tcPr>
            <w:tcW w:w="1476" w:type="dxa"/>
            <w:vMerge w:val="continue"/>
          </w:tcPr>
          <w:p w14:paraId="471C816E">
            <w:pPr>
              <w:rPr>
                <w:rFonts w:ascii="仿宋" w:hAnsi="仿宋" w:eastAsia="仿宋"/>
                <w:b w:val="0"/>
                <w:bCs w:val="0"/>
                <w:szCs w:val="21"/>
              </w:rPr>
            </w:pPr>
          </w:p>
        </w:tc>
        <w:tc>
          <w:tcPr>
            <w:tcW w:w="5986" w:type="dxa"/>
          </w:tcPr>
          <w:p w14:paraId="364463FE">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1.7.2对网站主要页面提供挂马监测能力，检测网页中嵌入的恶意代码，例如JS挂马，恶意加密挂马，框架隐藏，挖矿脚本，搜索引擎劫持等。根据不同页面的重要等级提供不同频率监测，提供事件验证能力，排除误报。</w:t>
            </w:r>
          </w:p>
        </w:tc>
      </w:tr>
      <w:tr w14:paraId="2E96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14:paraId="2A198F4A">
            <w:pPr>
              <w:jc w:val="center"/>
              <w:rPr>
                <w:rFonts w:ascii="仿宋" w:hAnsi="仿宋" w:eastAsia="仿宋"/>
                <w:b w:val="0"/>
                <w:bCs w:val="0"/>
                <w:szCs w:val="21"/>
              </w:rPr>
            </w:pPr>
          </w:p>
        </w:tc>
        <w:tc>
          <w:tcPr>
            <w:tcW w:w="1476" w:type="dxa"/>
            <w:vMerge w:val="continue"/>
          </w:tcPr>
          <w:p w14:paraId="3D844930">
            <w:pPr>
              <w:rPr>
                <w:rFonts w:ascii="仿宋" w:hAnsi="仿宋" w:eastAsia="仿宋"/>
                <w:b w:val="0"/>
                <w:bCs w:val="0"/>
                <w:szCs w:val="21"/>
              </w:rPr>
            </w:pPr>
          </w:p>
        </w:tc>
        <w:tc>
          <w:tcPr>
            <w:tcW w:w="5986" w:type="dxa"/>
          </w:tcPr>
          <w:p w14:paraId="6F78F45E">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1.7.3对网站主要页面提供黑链监测能力，检测网页中嵌入的恶意链接（黄赌毒私服等）。根据不同页面的重要等级提供不同频率监测，提供事件验证能力，排除误报。链接范围包括暗链，以及第三方明链。</w:t>
            </w:r>
          </w:p>
        </w:tc>
      </w:tr>
      <w:tr w14:paraId="33D1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14:paraId="2F30B899">
            <w:pPr>
              <w:jc w:val="center"/>
              <w:rPr>
                <w:rFonts w:ascii="仿宋" w:hAnsi="仿宋" w:eastAsia="仿宋"/>
                <w:b w:val="0"/>
                <w:bCs w:val="0"/>
                <w:szCs w:val="21"/>
              </w:rPr>
            </w:pPr>
          </w:p>
        </w:tc>
        <w:tc>
          <w:tcPr>
            <w:tcW w:w="1476" w:type="dxa"/>
            <w:vMerge w:val="continue"/>
          </w:tcPr>
          <w:p w14:paraId="12055D22">
            <w:pPr>
              <w:rPr>
                <w:rFonts w:ascii="仿宋" w:hAnsi="仿宋" w:eastAsia="仿宋"/>
                <w:b w:val="0"/>
                <w:bCs w:val="0"/>
                <w:szCs w:val="21"/>
              </w:rPr>
            </w:pPr>
          </w:p>
        </w:tc>
        <w:tc>
          <w:tcPr>
            <w:tcW w:w="5986" w:type="dxa"/>
          </w:tcPr>
          <w:p w14:paraId="09CCC018">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1.7.4对网站主要页面提供篡改监测能力，根据不同页面的重要等级提供不同频率监测，提供事件验证能力，排除误报。</w:t>
            </w:r>
          </w:p>
        </w:tc>
      </w:tr>
      <w:tr w14:paraId="0A55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14:paraId="7FC551AF">
            <w:pPr>
              <w:jc w:val="center"/>
              <w:rPr>
                <w:rFonts w:ascii="仿宋" w:hAnsi="仿宋" w:eastAsia="仿宋"/>
                <w:b w:val="0"/>
                <w:bCs w:val="0"/>
                <w:szCs w:val="21"/>
              </w:rPr>
            </w:pPr>
          </w:p>
        </w:tc>
        <w:tc>
          <w:tcPr>
            <w:tcW w:w="1476" w:type="dxa"/>
            <w:vMerge w:val="continue"/>
          </w:tcPr>
          <w:p w14:paraId="42AA6915">
            <w:pPr>
              <w:rPr>
                <w:rFonts w:ascii="仿宋" w:hAnsi="仿宋" w:eastAsia="仿宋"/>
                <w:b w:val="0"/>
                <w:bCs w:val="0"/>
                <w:szCs w:val="21"/>
              </w:rPr>
            </w:pPr>
          </w:p>
        </w:tc>
        <w:tc>
          <w:tcPr>
            <w:tcW w:w="5986" w:type="dxa"/>
          </w:tcPr>
          <w:p w14:paraId="4BD5EE6B">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1.7.5对网站主要页面提供敏感内容监测能力，根据不同页面的重要等级提供不同频率监测，提供事件验证能力，排除误报。</w:t>
            </w:r>
          </w:p>
        </w:tc>
      </w:tr>
      <w:tr w14:paraId="0A42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14:paraId="4E4B07CB">
            <w:pPr>
              <w:jc w:val="center"/>
              <w:rPr>
                <w:rFonts w:ascii="仿宋" w:hAnsi="仿宋" w:eastAsia="仿宋"/>
                <w:b w:val="0"/>
                <w:bCs w:val="0"/>
                <w:szCs w:val="21"/>
              </w:rPr>
            </w:pPr>
          </w:p>
        </w:tc>
        <w:tc>
          <w:tcPr>
            <w:tcW w:w="1476" w:type="dxa"/>
            <w:vMerge w:val="continue"/>
          </w:tcPr>
          <w:p w14:paraId="79253067">
            <w:pPr>
              <w:rPr>
                <w:rFonts w:ascii="仿宋" w:hAnsi="仿宋" w:eastAsia="仿宋"/>
                <w:b w:val="0"/>
                <w:bCs w:val="0"/>
                <w:szCs w:val="21"/>
              </w:rPr>
            </w:pPr>
          </w:p>
        </w:tc>
        <w:tc>
          <w:tcPr>
            <w:tcW w:w="5986" w:type="dxa"/>
          </w:tcPr>
          <w:p w14:paraId="2BA94B15">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1.7.6对网站域名解析异常和解析失败提供监测能力。提供全国多线路监测。</w:t>
            </w:r>
          </w:p>
        </w:tc>
      </w:tr>
      <w:tr w14:paraId="23D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14:paraId="32003320">
            <w:pPr>
              <w:jc w:val="center"/>
              <w:rPr>
                <w:rFonts w:ascii="仿宋" w:hAnsi="仿宋" w:eastAsia="仿宋"/>
                <w:b w:val="0"/>
                <w:bCs w:val="0"/>
                <w:szCs w:val="21"/>
              </w:rPr>
            </w:pPr>
          </w:p>
        </w:tc>
        <w:tc>
          <w:tcPr>
            <w:tcW w:w="1476" w:type="dxa"/>
            <w:vMerge w:val="continue"/>
          </w:tcPr>
          <w:p w14:paraId="13D72EEA">
            <w:pPr>
              <w:rPr>
                <w:rFonts w:ascii="仿宋" w:hAnsi="仿宋" w:eastAsia="仿宋"/>
                <w:b w:val="0"/>
                <w:bCs w:val="0"/>
                <w:szCs w:val="21"/>
              </w:rPr>
            </w:pPr>
          </w:p>
        </w:tc>
        <w:tc>
          <w:tcPr>
            <w:tcW w:w="5986" w:type="dxa"/>
          </w:tcPr>
          <w:p w14:paraId="335CC9CE">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1.7.7支持通过用户提供的关键信息，对Github平台持续监测，发现泄露的源代码信息，并对泄露代码信息的发布者进行溯源。</w:t>
            </w:r>
          </w:p>
        </w:tc>
      </w:tr>
      <w:tr w14:paraId="576F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14:paraId="5060EBD3">
            <w:pPr>
              <w:jc w:val="center"/>
              <w:rPr>
                <w:rFonts w:ascii="仿宋" w:hAnsi="仿宋" w:eastAsia="仿宋"/>
                <w:b w:val="0"/>
                <w:bCs w:val="0"/>
                <w:szCs w:val="21"/>
              </w:rPr>
            </w:pPr>
          </w:p>
        </w:tc>
        <w:tc>
          <w:tcPr>
            <w:tcW w:w="1476" w:type="dxa"/>
            <w:vMerge w:val="continue"/>
          </w:tcPr>
          <w:p w14:paraId="19FDAD5D">
            <w:pPr>
              <w:rPr>
                <w:rFonts w:ascii="仿宋" w:hAnsi="仿宋" w:eastAsia="仿宋"/>
                <w:b w:val="0"/>
                <w:bCs w:val="0"/>
                <w:szCs w:val="21"/>
              </w:rPr>
            </w:pPr>
          </w:p>
        </w:tc>
        <w:tc>
          <w:tcPr>
            <w:tcW w:w="5986" w:type="dxa"/>
          </w:tcPr>
          <w:p w14:paraId="1F1AF326">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1.7.8提供安全态势展示，能够按照单位组织架构维度、中国地图维度展示各省、各地级市漏洞曝出多寡的态势，事故曝出多寡的态势。</w:t>
            </w:r>
          </w:p>
        </w:tc>
      </w:tr>
      <w:tr w14:paraId="2BA4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restart"/>
            <w:vAlign w:val="center"/>
          </w:tcPr>
          <w:p w14:paraId="5493AE6F">
            <w:pPr>
              <w:jc w:val="center"/>
              <w:rPr>
                <w:rFonts w:hint="eastAsia" w:ascii="仿宋" w:hAnsi="仿宋" w:eastAsia="仿宋"/>
                <w:b w:val="0"/>
                <w:bCs w:val="0"/>
                <w:szCs w:val="21"/>
                <w:lang w:eastAsia="zh-CN"/>
              </w:rPr>
            </w:pPr>
            <w:r>
              <w:rPr>
                <w:rFonts w:hint="eastAsia" w:ascii="仿宋" w:hAnsi="仿宋" w:eastAsia="仿宋"/>
                <w:b w:val="0"/>
                <w:bCs w:val="0"/>
                <w:szCs w:val="21"/>
                <w:lang w:val="en-US" w:eastAsia="zh-CN"/>
              </w:rPr>
              <w:t>2</w:t>
            </w:r>
          </w:p>
        </w:tc>
        <w:tc>
          <w:tcPr>
            <w:tcW w:w="1476" w:type="dxa"/>
            <w:vMerge w:val="restart"/>
            <w:vAlign w:val="center"/>
          </w:tcPr>
          <w:p w14:paraId="078F496D">
            <w:pPr>
              <w:jc w:val="center"/>
              <w:rPr>
                <w:rFonts w:ascii="仿宋" w:hAnsi="仿宋" w:eastAsia="仿宋"/>
                <w:b w:val="0"/>
                <w:bCs w:val="0"/>
                <w:szCs w:val="21"/>
              </w:rPr>
            </w:pPr>
            <w:r>
              <w:rPr>
                <w:rFonts w:hint="eastAsia" w:ascii="仿宋" w:hAnsi="仿宋" w:eastAsia="仿宋"/>
                <w:b w:val="0"/>
                <w:bCs w:val="0"/>
                <w:szCs w:val="21"/>
              </w:rPr>
              <w:t>网络入侵防护续保升级服务</w:t>
            </w:r>
          </w:p>
        </w:tc>
        <w:tc>
          <w:tcPr>
            <w:tcW w:w="5986" w:type="dxa"/>
          </w:tcPr>
          <w:p w14:paraId="6F540935">
            <w:pPr>
              <w:rPr>
                <w:rFonts w:hint="eastAsia" w:ascii="仿宋" w:hAnsi="仿宋" w:eastAsia="仿宋"/>
                <w:b w:val="0"/>
                <w:bCs w:val="0"/>
                <w:szCs w:val="21"/>
                <w:lang w:eastAsia="zh-CN"/>
              </w:rPr>
            </w:pPr>
            <w:r>
              <w:rPr>
                <w:rFonts w:hint="eastAsia" w:ascii="仿宋" w:hAnsi="仿宋" w:eastAsia="仿宋"/>
                <w:b w:val="0"/>
                <w:bCs w:val="0"/>
                <w:szCs w:val="21"/>
                <w:lang w:val="en-US" w:eastAsia="zh-CN"/>
              </w:rPr>
              <w:t>2.1</w:t>
            </w:r>
            <w:r>
              <w:rPr>
                <w:rFonts w:hint="eastAsia" w:ascii="仿宋" w:hAnsi="仿宋" w:eastAsia="仿宋"/>
                <w:b w:val="0"/>
                <w:bCs w:val="0"/>
                <w:szCs w:val="21"/>
              </w:rPr>
              <w:t>对学校的1台绿盟网络入侵防护系统进行原厂续保升级服务</w:t>
            </w:r>
            <w:r>
              <w:rPr>
                <w:rFonts w:hint="eastAsia" w:ascii="仿宋" w:hAnsi="仿宋" w:eastAsia="仿宋"/>
                <w:b w:val="0"/>
                <w:bCs w:val="0"/>
                <w:szCs w:val="21"/>
                <w:lang w:eastAsia="zh-CN"/>
              </w:rPr>
              <w:t>。</w:t>
            </w:r>
          </w:p>
        </w:tc>
      </w:tr>
      <w:tr w14:paraId="380F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5F9D2DE8">
            <w:pPr>
              <w:jc w:val="center"/>
              <w:rPr>
                <w:rFonts w:hint="eastAsia" w:ascii="仿宋" w:hAnsi="仿宋" w:eastAsia="仿宋"/>
                <w:b w:val="0"/>
                <w:bCs w:val="0"/>
                <w:szCs w:val="21"/>
                <w:lang w:val="en-US" w:eastAsia="zh-CN"/>
              </w:rPr>
            </w:pPr>
          </w:p>
        </w:tc>
        <w:tc>
          <w:tcPr>
            <w:tcW w:w="1476" w:type="dxa"/>
            <w:vMerge w:val="continue"/>
            <w:vAlign w:val="center"/>
          </w:tcPr>
          <w:p w14:paraId="39B9AC8B">
            <w:pPr>
              <w:jc w:val="center"/>
              <w:rPr>
                <w:rFonts w:hint="eastAsia" w:ascii="仿宋" w:hAnsi="仿宋" w:eastAsia="仿宋"/>
                <w:b w:val="0"/>
                <w:bCs w:val="0"/>
                <w:szCs w:val="21"/>
              </w:rPr>
            </w:pPr>
          </w:p>
        </w:tc>
        <w:tc>
          <w:tcPr>
            <w:tcW w:w="5986" w:type="dxa"/>
          </w:tcPr>
          <w:p w14:paraId="5443402B">
            <w:pPr>
              <w:rPr>
                <w:rFonts w:hint="default" w:ascii="仿宋" w:hAnsi="仿宋" w:eastAsia="仿宋"/>
                <w:b w:val="0"/>
                <w:bCs w:val="0"/>
                <w:szCs w:val="21"/>
                <w:lang w:val="en-US" w:eastAsia="zh-CN"/>
              </w:rPr>
            </w:pPr>
            <w:r>
              <w:rPr>
                <w:rFonts w:hint="eastAsia" w:ascii="仿宋" w:hAnsi="仿宋" w:eastAsia="仿宋"/>
                <w:b w:val="0"/>
                <w:bCs w:val="0"/>
                <w:szCs w:val="21"/>
                <w:lang w:val="en-US" w:eastAsia="zh-CN"/>
              </w:rPr>
              <w:t>2.2</w:t>
            </w:r>
            <w:r>
              <w:rPr>
                <w:rFonts w:hint="eastAsia" w:ascii="仿宋" w:hAnsi="仿宋" w:eastAsia="仿宋"/>
                <w:b w:val="0"/>
                <w:bCs w:val="0"/>
                <w:szCs w:val="21"/>
                <w:lang w:eastAsia="zh-CN"/>
              </w:rPr>
              <w:t>续保升级服务技术要求如下：</w:t>
            </w:r>
          </w:p>
        </w:tc>
      </w:tr>
      <w:tr w14:paraId="289C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041CA379">
            <w:pPr>
              <w:jc w:val="center"/>
              <w:rPr>
                <w:rFonts w:hint="eastAsia" w:ascii="仿宋" w:hAnsi="仿宋" w:eastAsia="仿宋"/>
                <w:b w:val="0"/>
                <w:bCs w:val="0"/>
                <w:szCs w:val="21"/>
              </w:rPr>
            </w:pPr>
          </w:p>
        </w:tc>
        <w:tc>
          <w:tcPr>
            <w:tcW w:w="1476" w:type="dxa"/>
            <w:vMerge w:val="continue"/>
          </w:tcPr>
          <w:p w14:paraId="01A2FE52">
            <w:pPr>
              <w:rPr>
                <w:rFonts w:ascii="仿宋" w:hAnsi="仿宋" w:eastAsia="仿宋"/>
                <w:b w:val="0"/>
                <w:bCs w:val="0"/>
                <w:szCs w:val="21"/>
              </w:rPr>
            </w:pPr>
          </w:p>
        </w:tc>
        <w:tc>
          <w:tcPr>
            <w:tcW w:w="5986" w:type="dxa"/>
          </w:tcPr>
          <w:p w14:paraId="3B25D172">
            <w:pPr>
              <w:rPr>
                <w:rFonts w:hint="default"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2.2.1▲攻击特征库数量至少为9500种以上。支持基于SCADA等工控协议的相关漏洞攻击检测与防护（投标时提供功能截图）；</w:t>
            </w:r>
          </w:p>
        </w:tc>
      </w:tr>
      <w:tr w14:paraId="3FA2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3CA3F8DE">
            <w:pPr>
              <w:jc w:val="center"/>
              <w:rPr>
                <w:rFonts w:hint="eastAsia" w:ascii="仿宋" w:hAnsi="仿宋" w:eastAsia="仿宋"/>
                <w:b w:val="0"/>
                <w:bCs w:val="0"/>
                <w:szCs w:val="21"/>
              </w:rPr>
            </w:pPr>
          </w:p>
        </w:tc>
        <w:tc>
          <w:tcPr>
            <w:tcW w:w="1476" w:type="dxa"/>
            <w:vMerge w:val="continue"/>
          </w:tcPr>
          <w:p w14:paraId="0B7250FD">
            <w:pPr>
              <w:rPr>
                <w:rFonts w:ascii="仿宋" w:hAnsi="仿宋" w:eastAsia="仿宋"/>
                <w:b w:val="0"/>
                <w:bCs w:val="0"/>
                <w:szCs w:val="21"/>
              </w:rPr>
            </w:pPr>
          </w:p>
        </w:tc>
        <w:tc>
          <w:tcPr>
            <w:tcW w:w="5986" w:type="dxa"/>
          </w:tcPr>
          <w:p w14:paraId="67A192D6">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2.2.2支持内置7个模版本（Default、DMZ区服务器版、内网客户端、Web服务器、Windows服务器、通用服务器、UNIX类服务器）可以灵活调用；</w:t>
            </w:r>
          </w:p>
        </w:tc>
      </w:tr>
      <w:tr w14:paraId="7CEE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2A0A2FA1">
            <w:pPr>
              <w:jc w:val="center"/>
              <w:rPr>
                <w:rFonts w:hint="eastAsia" w:ascii="仿宋" w:hAnsi="仿宋" w:eastAsia="仿宋"/>
                <w:b w:val="0"/>
                <w:bCs w:val="0"/>
                <w:szCs w:val="21"/>
              </w:rPr>
            </w:pPr>
          </w:p>
        </w:tc>
        <w:tc>
          <w:tcPr>
            <w:tcW w:w="1476" w:type="dxa"/>
            <w:vMerge w:val="continue"/>
          </w:tcPr>
          <w:p w14:paraId="037DEFB2">
            <w:pPr>
              <w:rPr>
                <w:rFonts w:ascii="仿宋" w:hAnsi="仿宋" w:eastAsia="仿宋"/>
                <w:b w:val="0"/>
                <w:bCs w:val="0"/>
                <w:szCs w:val="21"/>
              </w:rPr>
            </w:pPr>
          </w:p>
        </w:tc>
        <w:tc>
          <w:tcPr>
            <w:tcW w:w="5986" w:type="dxa"/>
          </w:tcPr>
          <w:p w14:paraId="33750030">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2.2.3支持通过管理平台实现集中策略的下发，对象模版配置、用户规则模版配置、自定义模版配置、例外规则配置等。</w:t>
            </w:r>
          </w:p>
        </w:tc>
      </w:tr>
      <w:tr w14:paraId="4A54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6BCE55B6">
            <w:pPr>
              <w:jc w:val="center"/>
              <w:rPr>
                <w:rFonts w:hint="eastAsia" w:ascii="仿宋" w:hAnsi="仿宋" w:eastAsia="仿宋"/>
                <w:b w:val="0"/>
                <w:bCs w:val="0"/>
                <w:szCs w:val="21"/>
              </w:rPr>
            </w:pPr>
          </w:p>
        </w:tc>
        <w:tc>
          <w:tcPr>
            <w:tcW w:w="1476" w:type="dxa"/>
            <w:vMerge w:val="continue"/>
          </w:tcPr>
          <w:p w14:paraId="4073922A">
            <w:pPr>
              <w:rPr>
                <w:rFonts w:ascii="仿宋" w:hAnsi="仿宋" w:eastAsia="仿宋"/>
                <w:b w:val="0"/>
                <w:bCs w:val="0"/>
                <w:szCs w:val="21"/>
              </w:rPr>
            </w:pPr>
          </w:p>
        </w:tc>
        <w:tc>
          <w:tcPr>
            <w:tcW w:w="5986" w:type="dxa"/>
          </w:tcPr>
          <w:p w14:paraId="4029F71F">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2.2.4支持与云端威胁情报联动，实现恶意IP防护，僵尸网络防护（C&amp;C）。</w:t>
            </w:r>
          </w:p>
        </w:tc>
      </w:tr>
      <w:tr w14:paraId="2722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2B1DEA2B">
            <w:pPr>
              <w:jc w:val="center"/>
              <w:rPr>
                <w:rFonts w:hint="eastAsia" w:ascii="仿宋" w:hAnsi="仿宋" w:eastAsia="仿宋"/>
                <w:b w:val="0"/>
                <w:bCs w:val="0"/>
                <w:szCs w:val="21"/>
              </w:rPr>
            </w:pPr>
          </w:p>
        </w:tc>
        <w:tc>
          <w:tcPr>
            <w:tcW w:w="1476" w:type="dxa"/>
            <w:vMerge w:val="continue"/>
          </w:tcPr>
          <w:p w14:paraId="5684797B">
            <w:pPr>
              <w:rPr>
                <w:rFonts w:ascii="仿宋" w:hAnsi="仿宋" w:eastAsia="仿宋"/>
                <w:b w:val="0"/>
                <w:bCs w:val="0"/>
                <w:szCs w:val="21"/>
              </w:rPr>
            </w:pPr>
          </w:p>
        </w:tc>
        <w:tc>
          <w:tcPr>
            <w:tcW w:w="5986" w:type="dxa"/>
          </w:tcPr>
          <w:p w14:paraId="365CCCF4">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2.2.5系统可建立服务器动态基线功能，通过学习服务器的正常通信行为，当检测到异常连接时，及时发出警告，避免服务器外联导致的信息泄露。提供服务器异常外联告警功能，可以自学习服务器正常工作行为，并以此为基线检测处服务器非法外联行为；</w:t>
            </w:r>
          </w:p>
        </w:tc>
      </w:tr>
      <w:tr w14:paraId="293E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7653ECB5">
            <w:pPr>
              <w:jc w:val="center"/>
              <w:rPr>
                <w:rFonts w:hint="eastAsia" w:ascii="仿宋" w:hAnsi="仿宋" w:eastAsia="仿宋"/>
                <w:b w:val="0"/>
                <w:bCs w:val="0"/>
                <w:szCs w:val="21"/>
              </w:rPr>
            </w:pPr>
          </w:p>
        </w:tc>
        <w:tc>
          <w:tcPr>
            <w:tcW w:w="1476" w:type="dxa"/>
            <w:vMerge w:val="continue"/>
          </w:tcPr>
          <w:p w14:paraId="52F73A32">
            <w:pPr>
              <w:rPr>
                <w:rFonts w:ascii="仿宋" w:hAnsi="仿宋" w:eastAsia="仿宋"/>
                <w:b w:val="0"/>
                <w:bCs w:val="0"/>
                <w:szCs w:val="21"/>
              </w:rPr>
            </w:pPr>
          </w:p>
        </w:tc>
        <w:tc>
          <w:tcPr>
            <w:tcW w:w="5986" w:type="dxa"/>
          </w:tcPr>
          <w:p w14:paraId="174A3621">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2.2.6▲敏感数据保护策略能配置HTTP、FTP、EMAIL传输的敏感数据，如银行卡和身份证等，防止财务、隐私等信息的外泄（投标时提供功能截图）；</w:t>
            </w:r>
          </w:p>
        </w:tc>
      </w:tr>
      <w:tr w14:paraId="350C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4F242FD1">
            <w:pPr>
              <w:jc w:val="center"/>
              <w:rPr>
                <w:rFonts w:hint="eastAsia" w:ascii="仿宋" w:hAnsi="仿宋" w:eastAsia="仿宋"/>
                <w:b w:val="0"/>
                <w:bCs w:val="0"/>
                <w:szCs w:val="21"/>
              </w:rPr>
            </w:pPr>
          </w:p>
        </w:tc>
        <w:tc>
          <w:tcPr>
            <w:tcW w:w="1476" w:type="dxa"/>
            <w:vMerge w:val="continue"/>
          </w:tcPr>
          <w:p w14:paraId="4F0075E4">
            <w:pPr>
              <w:rPr>
                <w:rFonts w:ascii="仿宋" w:hAnsi="仿宋" w:eastAsia="仿宋"/>
                <w:b w:val="0"/>
                <w:bCs w:val="0"/>
                <w:szCs w:val="21"/>
              </w:rPr>
            </w:pPr>
          </w:p>
        </w:tc>
        <w:tc>
          <w:tcPr>
            <w:tcW w:w="5986" w:type="dxa"/>
          </w:tcPr>
          <w:p w14:paraId="2F4B455A">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2.2.7支持与本地沙箱的联动配置；支持与云端沙箱系统进行联动；</w:t>
            </w:r>
          </w:p>
        </w:tc>
      </w:tr>
      <w:tr w14:paraId="2C50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3EC4872E">
            <w:pPr>
              <w:jc w:val="center"/>
              <w:rPr>
                <w:rFonts w:hint="eastAsia" w:ascii="仿宋" w:hAnsi="仿宋" w:eastAsia="仿宋"/>
                <w:b w:val="0"/>
                <w:bCs w:val="0"/>
                <w:szCs w:val="21"/>
              </w:rPr>
            </w:pPr>
          </w:p>
        </w:tc>
        <w:tc>
          <w:tcPr>
            <w:tcW w:w="1476" w:type="dxa"/>
            <w:vMerge w:val="continue"/>
          </w:tcPr>
          <w:p w14:paraId="2BB8BFAD">
            <w:pPr>
              <w:rPr>
                <w:rFonts w:ascii="仿宋" w:hAnsi="仿宋" w:eastAsia="仿宋"/>
                <w:b w:val="0"/>
                <w:bCs w:val="0"/>
                <w:szCs w:val="21"/>
              </w:rPr>
            </w:pPr>
          </w:p>
        </w:tc>
        <w:tc>
          <w:tcPr>
            <w:tcW w:w="5986" w:type="dxa"/>
          </w:tcPr>
          <w:p w14:paraId="7430A1F6">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2.2.8支持用户以安全区、IP地址（网段）、时间、用户、应用多维度的对流量进行管理和控制，保证应用上下行最小带宽、保证带宽下的优先级排序以及每IP进行应用流量控制（投标时提供功能截图）；</w:t>
            </w:r>
          </w:p>
        </w:tc>
      </w:tr>
      <w:tr w14:paraId="0373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6D043F99">
            <w:pPr>
              <w:jc w:val="center"/>
              <w:rPr>
                <w:rFonts w:hint="eastAsia" w:ascii="仿宋" w:hAnsi="仿宋" w:eastAsia="仿宋"/>
                <w:b w:val="0"/>
                <w:bCs w:val="0"/>
                <w:szCs w:val="21"/>
              </w:rPr>
            </w:pPr>
          </w:p>
        </w:tc>
        <w:tc>
          <w:tcPr>
            <w:tcW w:w="1476" w:type="dxa"/>
            <w:vMerge w:val="continue"/>
          </w:tcPr>
          <w:p w14:paraId="4443FC8C">
            <w:pPr>
              <w:rPr>
                <w:rFonts w:ascii="仿宋" w:hAnsi="仿宋" w:eastAsia="仿宋"/>
                <w:b w:val="0"/>
                <w:bCs w:val="0"/>
                <w:szCs w:val="21"/>
              </w:rPr>
            </w:pPr>
          </w:p>
        </w:tc>
        <w:tc>
          <w:tcPr>
            <w:tcW w:w="5986" w:type="dxa"/>
          </w:tcPr>
          <w:p w14:paraId="425436A5">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2.2.9系统应具备攻击快照功能，详细记录触发告警的数据特征，以便做进一步的事件分析；</w:t>
            </w:r>
          </w:p>
        </w:tc>
      </w:tr>
      <w:tr w14:paraId="3A0A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7DB819C9">
            <w:pPr>
              <w:jc w:val="center"/>
              <w:rPr>
                <w:rFonts w:hint="eastAsia" w:ascii="仿宋" w:hAnsi="仿宋" w:eastAsia="仿宋"/>
                <w:b w:val="0"/>
                <w:bCs w:val="0"/>
                <w:szCs w:val="21"/>
              </w:rPr>
            </w:pPr>
          </w:p>
        </w:tc>
        <w:tc>
          <w:tcPr>
            <w:tcW w:w="1476" w:type="dxa"/>
            <w:vMerge w:val="continue"/>
          </w:tcPr>
          <w:p w14:paraId="537D2C8E">
            <w:pPr>
              <w:rPr>
                <w:rFonts w:ascii="仿宋" w:hAnsi="仿宋" w:eastAsia="仿宋"/>
                <w:b w:val="0"/>
                <w:bCs w:val="0"/>
                <w:szCs w:val="21"/>
              </w:rPr>
            </w:pPr>
          </w:p>
        </w:tc>
        <w:tc>
          <w:tcPr>
            <w:tcW w:w="5986" w:type="dxa"/>
          </w:tcPr>
          <w:p w14:paraId="5F80C978">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2.2.10设备硬件异常状态监控，可监控设备CPU温度，主板温度，风扇的转速；</w:t>
            </w:r>
          </w:p>
        </w:tc>
      </w:tr>
      <w:tr w14:paraId="1123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2DD80CA5">
            <w:pPr>
              <w:jc w:val="center"/>
              <w:rPr>
                <w:rFonts w:hint="eastAsia" w:ascii="仿宋" w:hAnsi="仿宋" w:eastAsia="仿宋"/>
                <w:b w:val="0"/>
                <w:bCs w:val="0"/>
                <w:szCs w:val="21"/>
              </w:rPr>
            </w:pPr>
          </w:p>
        </w:tc>
        <w:tc>
          <w:tcPr>
            <w:tcW w:w="1476" w:type="dxa"/>
            <w:vMerge w:val="continue"/>
          </w:tcPr>
          <w:p w14:paraId="596BBBBC">
            <w:pPr>
              <w:rPr>
                <w:rFonts w:ascii="仿宋" w:hAnsi="仿宋" w:eastAsia="仿宋"/>
                <w:b w:val="0"/>
                <w:bCs w:val="0"/>
                <w:szCs w:val="21"/>
              </w:rPr>
            </w:pPr>
          </w:p>
        </w:tc>
        <w:tc>
          <w:tcPr>
            <w:tcW w:w="5986" w:type="dxa"/>
          </w:tcPr>
          <w:p w14:paraId="17A88EF1">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2.2.11支持中英文web页面管理。</w:t>
            </w:r>
          </w:p>
        </w:tc>
      </w:tr>
      <w:tr w14:paraId="1BEE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restart"/>
            <w:vAlign w:val="center"/>
          </w:tcPr>
          <w:p w14:paraId="33BA2E47">
            <w:pPr>
              <w:jc w:val="center"/>
              <w:rPr>
                <w:rFonts w:hint="eastAsia" w:ascii="仿宋" w:hAnsi="仿宋" w:eastAsia="仿宋"/>
                <w:b w:val="0"/>
                <w:bCs w:val="0"/>
                <w:szCs w:val="21"/>
                <w:lang w:val="en-US" w:eastAsia="zh-CN"/>
              </w:rPr>
            </w:pPr>
            <w:r>
              <w:rPr>
                <w:rFonts w:hint="eastAsia" w:ascii="仿宋" w:hAnsi="仿宋" w:eastAsia="仿宋"/>
                <w:b w:val="0"/>
                <w:bCs w:val="0"/>
                <w:szCs w:val="21"/>
                <w:lang w:val="en-US" w:eastAsia="zh-CN"/>
              </w:rPr>
              <w:t>3</w:t>
            </w:r>
          </w:p>
        </w:tc>
        <w:tc>
          <w:tcPr>
            <w:tcW w:w="1476" w:type="dxa"/>
            <w:vMerge w:val="restart"/>
            <w:vAlign w:val="center"/>
          </w:tcPr>
          <w:p w14:paraId="5211A1A0">
            <w:pPr>
              <w:jc w:val="center"/>
              <w:rPr>
                <w:rFonts w:ascii="仿宋" w:hAnsi="仿宋" w:eastAsia="仿宋"/>
                <w:b w:val="0"/>
                <w:bCs w:val="0"/>
                <w:szCs w:val="21"/>
              </w:rPr>
            </w:pPr>
            <w:r>
              <w:rPr>
                <w:rFonts w:hint="eastAsia" w:ascii="仿宋" w:hAnsi="仿宋" w:eastAsia="仿宋"/>
                <w:b w:val="0"/>
                <w:bCs w:val="0"/>
                <w:szCs w:val="21"/>
              </w:rPr>
              <w:t>web应用安全防护系统续保升级服务</w:t>
            </w:r>
          </w:p>
        </w:tc>
        <w:tc>
          <w:tcPr>
            <w:tcW w:w="5986" w:type="dxa"/>
          </w:tcPr>
          <w:p w14:paraId="01C86716">
            <w:pPr>
              <w:rPr>
                <w:rFonts w:hint="default" w:ascii="仿宋" w:hAnsi="仿宋" w:eastAsia="仿宋"/>
                <w:b w:val="0"/>
                <w:bCs w:val="0"/>
                <w:szCs w:val="21"/>
                <w:lang w:val="en-US" w:eastAsia="zh-CN"/>
              </w:rPr>
            </w:pPr>
            <w:r>
              <w:rPr>
                <w:rFonts w:hint="eastAsia" w:ascii="仿宋" w:hAnsi="仿宋" w:eastAsia="仿宋"/>
                <w:b w:val="0"/>
                <w:bCs w:val="0"/>
                <w:szCs w:val="21"/>
                <w:lang w:val="en-US" w:eastAsia="zh-CN"/>
              </w:rPr>
              <w:t>3.1对学校的1台绿盟web应用安全防护系统进行原厂续保升级服务</w:t>
            </w:r>
          </w:p>
        </w:tc>
      </w:tr>
      <w:tr w14:paraId="2679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0DFCD4A5">
            <w:pPr>
              <w:jc w:val="center"/>
              <w:rPr>
                <w:rFonts w:hint="eastAsia" w:ascii="仿宋" w:hAnsi="仿宋" w:eastAsia="仿宋"/>
                <w:b w:val="0"/>
                <w:bCs w:val="0"/>
                <w:szCs w:val="21"/>
              </w:rPr>
            </w:pPr>
          </w:p>
        </w:tc>
        <w:tc>
          <w:tcPr>
            <w:tcW w:w="1476" w:type="dxa"/>
            <w:vMerge w:val="continue"/>
          </w:tcPr>
          <w:p w14:paraId="254203DF">
            <w:pPr>
              <w:rPr>
                <w:rFonts w:ascii="仿宋" w:hAnsi="仿宋" w:eastAsia="仿宋"/>
                <w:b w:val="0"/>
                <w:bCs w:val="0"/>
                <w:szCs w:val="21"/>
              </w:rPr>
            </w:pPr>
          </w:p>
        </w:tc>
        <w:tc>
          <w:tcPr>
            <w:tcW w:w="5986" w:type="dxa"/>
          </w:tcPr>
          <w:p w14:paraId="6CECE617">
            <w:pPr>
              <w:rPr>
                <w:rFonts w:hint="default" w:ascii="仿宋" w:hAnsi="仿宋" w:eastAsia="仿宋"/>
                <w:b w:val="0"/>
                <w:bCs w:val="0"/>
                <w:szCs w:val="21"/>
                <w:lang w:val="en-US" w:eastAsia="zh-CN"/>
              </w:rPr>
            </w:pPr>
            <w:r>
              <w:rPr>
                <w:rFonts w:hint="eastAsia" w:ascii="仿宋" w:hAnsi="仿宋" w:eastAsia="仿宋"/>
                <w:b w:val="0"/>
                <w:bCs w:val="0"/>
                <w:szCs w:val="21"/>
                <w:lang w:val="en-US" w:eastAsia="zh-CN"/>
              </w:rPr>
              <w:t>3.2续保升级服务技术要求如下：</w:t>
            </w:r>
          </w:p>
        </w:tc>
      </w:tr>
      <w:tr w14:paraId="05DE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0407519F">
            <w:pPr>
              <w:jc w:val="center"/>
              <w:rPr>
                <w:rFonts w:hint="eastAsia" w:ascii="仿宋" w:hAnsi="仿宋" w:eastAsia="仿宋"/>
                <w:b w:val="0"/>
                <w:bCs w:val="0"/>
                <w:szCs w:val="21"/>
              </w:rPr>
            </w:pPr>
          </w:p>
        </w:tc>
        <w:tc>
          <w:tcPr>
            <w:tcW w:w="1476" w:type="dxa"/>
            <w:vMerge w:val="continue"/>
          </w:tcPr>
          <w:p w14:paraId="54077400">
            <w:pPr>
              <w:rPr>
                <w:rFonts w:ascii="仿宋" w:hAnsi="仿宋" w:eastAsia="仿宋"/>
                <w:b w:val="0"/>
                <w:bCs w:val="0"/>
                <w:szCs w:val="21"/>
              </w:rPr>
            </w:pPr>
          </w:p>
        </w:tc>
        <w:tc>
          <w:tcPr>
            <w:tcW w:w="5986" w:type="dxa"/>
          </w:tcPr>
          <w:p w14:paraId="0B457C1B">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3.2.1支持针对主流Web服务器及插件的已知漏洞防护。Web服务器应覆盖主流服务器：apache、tomcat、lightpd、NGINX、IIS等；插件应覆盖：dedecms、phpmuadmin、PHPWind、shopex、discuz、echsop、vbulletin、wordpress等；</w:t>
            </w:r>
          </w:p>
        </w:tc>
      </w:tr>
      <w:tr w14:paraId="0F09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7ABBDA35">
            <w:pPr>
              <w:jc w:val="center"/>
              <w:rPr>
                <w:rFonts w:hint="eastAsia" w:ascii="仿宋" w:hAnsi="仿宋" w:eastAsia="仿宋"/>
                <w:b w:val="0"/>
                <w:bCs w:val="0"/>
                <w:szCs w:val="21"/>
              </w:rPr>
            </w:pPr>
          </w:p>
        </w:tc>
        <w:tc>
          <w:tcPr>
            <w:tcW w:w="1476" w:type="dxa"/>
            <w:vMerge w:val="continue"/>
          </w:tcPr>
          <w:p w14:paraId="7234014B">
            <w:pPr>
              <w:rPr>
                <w:rFonts w:ascii="仿宋" w:hAnsi="仿宋" w:eastAsia="仿宋"/>
                <w:b w:val="0"/>
                <w:bCs w:val="0"/>
                <w:szCs w:val="21"/>
              </w:rPr>
            </w:pPr>
          </w:p>
        </w:tc>
        <w:tc>
          <w:tcPr>
            <w:tcW w:w="5986" w:type="dxa"/>
          </w:tcPr>
          <w:p w14:paraId="3CE2A537">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3.2.2支持爬虫防护，实现对100种以上的爬虫特征进行识别和阻断，防止页面因爬虫而引起信息泄露等问题；</w:t>
            </w:r>
          </w:p>
        </w:tc>
      </w:tr>
      <w:tr w14:paraId="59BA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6B7AAA87">
            <w:pPr>
              <w:jc w:val="center"/>
              <w:rPr>
                <w:rFonts w:hint="eastAsia" w:ascii="仿宋" w:hAnsi="仿宋" w:eastAsia="仿宋"/>
                <w:b w:val="0"/>
                <w:bCs w:val="0"/>
                <w:szCs w:val="21"/>
              </w:rPr>
            </w:pPr>
          </w:p>
        </w:tc>
        <w:tc>
          <w:tcPr>
            <w:tcW w:w="1476" w:type="dxa"/>
            <w:vMerge w:val="continue"/>
          </w:tcPr>
          <w:p w14:paraId="3A7748EB">
            <w:pPr>
              <w:rPr>
                <w:rFonts w:ascii="仿宋" w:hAnsi="仿宋" w:eastAsia="仿宋"/>
                <w:b w:val="0"/>
                <w:bCs w:val="0"/>
                <w:szCs w:val="21"/>
              </w:rPr>
            </w:pPr>
          </w:p>
        </w:tc>
        <w:tc>
          <w:tcPr>
            <w:tcW w:w="5986" w:type="dxa"/>
          </w:tcPr>
          <w:p w14:paraId="454FD76B">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3.2.3支持盗链防护，有效识别网页盗链行为，避免用户网页资源被滥用；</w:t>
            </w:r>
          </w:p>
        </w:tc>
      </w:tr>
      <w:tr w14:paraId="6856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6C174A0F">
            <w:pPr>
              <w:jc w:val="center"/>
              <w:rPr>
                <w:rFonts w:hint="eastAsia" w:ascii="仿宋" w:hAnsi="仿宋" w:eastAsia="仿宋"/>
                <w:b w:val="0"/>
                <w:bCs w:val="0"/>
                <w:szCs w:val="21"/>
              </w:rPr>
            </w:pPr>
          </w:p>
        </w:tc>
        <w:tc>
          <w:tcPr>
            <w:tcW w:w="1476" w:type="dxa"/>
            <w:vMerge w:val="continue"/>
          </w:tcPr>
          <w:p w14:paraId="712C80E6">
            <w:pPr>
              <w:rPr>
                <w:rFonts w:ascii="仿宋" w:hAnsi="仿宋" w:eastAsia="仿宋"/>
                <w:b w:val="0"/>
                <w:bCs w:val="0"/>
                <w:szCs w:val="21"/>
              </w:rPr>
            </w:pPr>
          </w:p>
        </w:tc>
        <w:tc>
          <w:tcPr>
            <w:tcW w:w="5986" w:type="dxa"/>
          </w:tcPr>
          <w:p w14:paraId="364AAB2B">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3.2.4支持扫描防护；</w:t>
            </w:r>
          </w:p>
        </w:tc>
      </w:tr>
      <w:tr w14:paraId="2015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05549161">
            <w:pPr>
              <w:jc w:val="center"/>
              <w:rPr>
                <w:rFonts w:hint="eastAsia" w:ascii="仿宋" w:hAnsi="仿宋" w:eastAsia="仿宋"/>
                <w:b w:val="0"/>
                <w:bCs w:val="0"/>
                <w:szCs w:val="21"/>
              </w:rPr>
            </w:pPr>
          </w:p>
        </w:tc>
        <w:tc>
          <w:tcPr>
            <w:tcW w:w="1476" w:type="dxa"/>
            <w:vMerge w:val="continue"/>
          </w:tcPr>
          <w:p w14:paraId="5D60ABAF">
            <w:pPr>
              <w:rPr>
                <w:rFonts w:ascii="仿宋" w:hAnsi="仿宋" w:eastAsia="仿宋"/>
                <w:b w:val="0"/>
                <w:bCs w:val="0"/>
                <w:szCs w:val="21"/>
              </w:rPr>
            </w:pPr>
          </w:p>
        </w:tc>
        <w:tc>
          <w:tcPr>
            <w:tcW w:w="5986" w:type="dxa"/>
          </w:tcPr>
          <w:p w14:paraId="181CEDA8">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3.2.5支持对HTTP协议的异常元素、异常参数、非法编码和解码的灵活控制与处理（投标时提供功能截图）；</w:t>
            </w:r>
          </w:p>
        </w:tc>
      </w:tr>
      <w:tr w14:paraId="24AD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1620CF24">
            <w:pPr>
              <w:jc w:val="center"/>
              <w:rPr>
                <w:rFonts w:hint="eastAsia" w:ascii="仿宋" w:hAnsi="仿宋" w:eastAsia="仿宋"/>
                <w:b w:val="0"/>
                <w:bCs w:val="0"/>
                <w:szCs w:val="21"/>
              </w:rPr>
            </w:pPr>
          </w:p>
        </w:tc>
        <w:tc>
          <w:tcPr>
            <w:tcW w:w="1476" w:type="dxa"/>
            <w:vMerge w:val="continue"/>
          </w:tcPr>
          <w:p w14:paraId="3EEF937C">
            <w:pPr>
              <w:rPr>
                <w:rFonts w:ascii="仿宋" w:hAnsi="仿宋" w:eastAsia="仿宋"/>
                <w:b w:val="0"/>
                <w:bCs w:val="0"/>
                <w:szCs w:val="21"/>
              </w:rPr>
            </w:pPr>
          </w:p>
        </w:tc>
        <w:tc>
          <w:tcPr>
            <w:tcW w:w="5986" w:type="dxa"/>
          </w:tcPr>
          <w:p w14:paraId="73FE1853">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3.2.6▲支持对注入、XSS、SSI指令、Webshell防护、路径穿越及远程文件包含的攻击防护，CSRF（跨站请求伪造）防护（投标时提供功能截图）；</w:t>
            </w:r>
          </w:p>
        </w:tc>
      </w:tr>
      <w:tr w14:paraId="6DDF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5A1BE8EC">
            <w:pPr>
              <w:jc w:val="center"/>
              <w:rPr>
                <w:rFonts w:hint="eastAsia" w:ascii="仿宋" w:hAnsi="仿宋" w:eastAsia="仿宋"/>
                <w:b w:val="0"/>
                <w:bCs w:val="0"/>
                <w:szCs w:val="21"/>
              </w:rPr>
            </w:pPr>
          </w:p>
        </w:tc>
        <w:tc>
          <w:tcPr>
            <w:tcW w:w="1476" w:type="dxa"/>
            <w:vMerge w:val="continue"/>
          </w:tcPr>
          <w:p w14:paraId="2A3D897E">
            <w:pPr>
              <w:rPr>
                <w:rFonts w:ascii="仿宋" w:hAnsi="仿宋" w:eastAsia="仿宋"/>
                <w:b w:val="0"/>
                <w:bCs w:val="0"/>
                <w:szCs w:val="21"/>
              </w:rPr>
            </w:pPr>
          </w:p>
        </w:tc>
        <w:tc>
          <w:tcPr>
            <w:tcW w:w="5986" w:type="dxa"/>
          </w:tcPr>
          <w:p w14:paraId="1260085A">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3.2.7支持URL ACL。对多种HTTP方法执行访问控制，包括：GET、POST、HEAD、PUT、DELETE等。</w:t>
            </w:r>
          </w:p>
        </w:tc>
      </w:tr>
      <w:tr w14:paraId="2327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1EC572A0">
            <w:pPr>
              <w:jc w:val="center"/>
              <w:rPr>
                <w:rFonts w:hint="eastAsia" w:ascii="仿宋" w:hAnsi="仿宋" w:eastAsia="仿宋"/>
                <w:b w:val="0"/>
                <w:bCs w:val="0"/>
                <w:szCs w:val="21"/>
              </w:rPr>
            </w:pPr>
          </w:p>
        </w:tc>
        <w:tc>
          <w:tcPr>
            <w:tcW w:w="1476" w:type="dxa"/>
            <w:vMerge w:val="continue"/>
          </w:tcPr>
          <w:p w14:paraId="67DA3695">
            <w:pPr>
              <w:rPr>
                <w:rFonts w:ascii="仿宋" w:hAnsi="仿宋" w:eastAsia="仿宋"/>
                <w:b w:val="0"/>
                <w:bCs w:val="0"/>
                <w:szCs w:val="21"/>
              </w:rPr>
            </w:pPr>
          </w:p>
        </w:tc>
        <w:tc>
          <w:tcPr>
            <w:tcW w:w="5986" w:type="dxa"/>
          </w:tcPr>
          <w:p w14:paraId="33833EE5">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3.2.8支持TCP Flood防护和HTTP Flood防护，并说明HTTP Flood防护的检测算法。</w:t>
            </w:r>
          </w:p>
        </w:tc>
      </w:tr>
      <w:tr w14:paraId="0A99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68EEB8AC">
            <w:pPr>
              <w:jc w:val="center"/>
              <w:rPr>
                <w:rFonts w:hint="eastAsia" w:ascii="仿宋" w:hAnsi="仿宋" w:eastAsia="仿宋"/>
                <w:b w:val="0"/>
                <w:bCs w:val="0"/>
                <w:szCs w:val="21"/>
              </w:rPr>
            </w:pPr>
          </w:p>
        </w:tc>
        <w:tc>
          <w:tcPr>
            <w:tcW w:w="1476" w:type="dxa"/>
            <w:vMerge w:val="continue"/>
          </w:tcPr>
          <w:p w14:paraId="7F0C7A25">
            <w:pPr>
              <w:rPr>
                <w:rFonts w:ascii="仿宋" w:hAnsi="仿宋" w:eastAsia="仿宋"/>
                <w:b w:val="0"/>
                <w:bCs w:val="0"/>
                <w:szCs w:val="21"/>
              </w:rPr>
            </w:pPr>
          </w:p>
        </w:tc>
        <w:tc>
          <w:tcPr>
            <w:tcW w:w="5986" w:type="dxa"/>
          </w:tcPr>
          <w:p w14:paraId="3D1D17BF">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3.2.9支持基于五元组（源IP地址、目的IP地址、源端口、目的源口、协议类型）及接口的网络防火墙功能。</w:t>
            </w:r>
          </w:p>
        </w:tc>
      </w:tr>
      <w:tr w14:paraId="308C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59A9D040">
            <w:pPr>
              <w:jc w:val="center"/>
              <w:rPr>
                <w:rFonts w:hint="eastAsia" w:ascii="仿宋" w:hAnsi="仿宋" w:eastAsia="仿宋"/>
                <w:b w:val="0"/>
                <w:bCs w:val="0"/>
                <w:szCs w:val="21"/>
              </w:rPr>
            </w:pPr>
          </w:p>
        </w:tc>
        <w:tc>
          <w:tcPr>
            <w:tcW w:w="1476" w:type="dxa"/>
            <w:vMerge w:val="continue"/>
          </w:tcPr>
          <w:p w14:paraId="67C0AFCC">
            <w:pPr>
              <w:rPr>
                <w:rFonts w:ascii="仿宋" w:hAnsi="仿宋" w:eastAsia="仿宋"/>
                <w:b w:val="0"/>
                <w:bCs w:val="0"/>
                <w:szCs w:val="21"/>
              </w:rPr>
            </w:pPr>
          </w:p>
        </w:tc>
        <w:tc>
          <w:tcPr>
            <w:tcW w:w="5986" w:type="dxa"/>
          </w:tcPr>
          <w:p w14:paraId="24A296F1">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3.2.10▲支持VRRP协议。支持在安全日志中带有客户端真实IP地址，便于IP溯源。支持日志分时段导出、全部导出或者清空（投标时提供功能截图）；</w:t>
            </w:r>
          </w:p>
        </w:tc>
      </w:tr>
      <w:tr w14:paraId="581D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5C3C1792">
            <w:pPr>
              <w:jc w:val="center"/>
              <w:rPr>
                <w:rFonts w:hint="eastAsia" w:ascii="仿宋" w:hAnsi="仿宋" w:eastAsia="仿宋"/>
                <w:b w:val="0"/>
                <w:bCs w:val="0"/>
                <w:szCs w:val="21"/>
              </w:rPr>
            </w:pPr>
          </w:p>
        </w:tc>
        <w:tc>
          <w:tcPr>
            <w:tcW w:w="1476" w:type="dxa"/>
            <w:vMerge w:val="continue"/>
          </w:tcPr>
          <w:p w14:paraId="33B9F8C6">
            <w:pPr>
              <w:rPr>
                <w:rFonts w:ascii="仿宋" w:hAnsi="仿宋" w:eastAsia="仿宋"/>
                <w:b w:val="0"/>
                <w:bCs w:val="0"/>
                <w:szCs w:val="21"/>
              </w:rPr>
            </w:pPr>
          </w:p>
        </w:tc>
        <w:tc>
          <w:tcPr>
            <w:tcW w:w="5986" w:type="dxa"/>
          </w:tcPr>
          <w:p w14:paraId="3842A6C6">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3.2.11支持基于时间、IP、端口、动作、事件类型、URI、方法等条件的日志查询；</w:t>
            </w:r>
          </w:p>
        </w:tc>
      </w:tr>
      <w:tr w14:paraId="1E0C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63619397">
            <w:pPr>
              <w:jc w:val="center"/>
              <w:rPr>
                <w:rFonts w:hint="eastAsia" w:ascii="仿宋" w:hAnsi="仿宋" w:eastAsia="仿宋"/>
                <w:b w:val="0"/>
                <w:bCs w:val="0"/>
                <w:szCs w:val="21"/>
              </w:rPr>
            </w:pPr>
          </w:p>
        </w:tc>
        <w:tc>
          <w:tcPr>
            <w:tcW w:w="1476" w:type="dxa"/>
            <w:vMerge w:val="continue"/>
          </w:tcPr>
          <w:p w14:paraId="0F42956B">
            <w:pPr>
              <w:rPr>
                <w:rFonts w:ascii="仿宋" w:hAnsi="仿宋" w:eastAsia="仿宋"/>
                <w:b w:val="0"/>
                <w:bCs w:val="0"/>
                <w:szCs w:val="21"/>
              </w:rPr>
            </w:pPr>
          </w:p>
        </w:tc>
        <w:tc>
          <w:tcPr>
            <w:tcW w:w="5986" w:type="dxa"/>
          </w:tcPr>
          <w:p w14:paraId="2C0A6178">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3.2.12支持标准SNMP trap和Syslog接口；</w:t>
            </w:r>
          </w:p>
        </w:tc>
      </w:tr>
      <w:tr w14:paraId="648A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09FA3053">
            <w:pPr>
              <w:jc w:val="center"/>
              <w:rPr>
                <w:rFonts w:hint="eastAsia" w:ascii="仿宋" w:hAnsi="仿宋" w:eastAsia="仿宋"/>
                <w:b w:val="0"/>
                <w:bCs w:val="0"/>
                <w:szCs w:val="21"/>
              </w:rPr>
            </w:pPr>
          </w:p>
        </w:tc>
        <w:tc>
          <w:tcPr>
            <w:tcW w:w="1476" w:type="dxa"/>
            <w:vMerge w:val="continue"/>
          </w:tcPr>
          <w:p w14:paraId="4A72432D">
            <w:pPr>
              <w:rPr>
                <w:rFonts w:ascii="仿宋" w:hAnsi="仿宋" w:eastAsia="仿宋"/>
                <w:b w:val="0"/>
                <w:bCs w:val="0"/>
                <w:szCs w:val="21"/>
              </w:rPr>
            </w:pPr>
          </w:p>
        </w:tc>
        <w:tc>
          <w:tcPr>
            <w:tcW w:w="5986" w:type="dxa"/>
          </w:tcPr>
          <w:p w14:paraId="6C792172">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3.2.13能对账户进行安全策略配置，包括口令复杂度和口令生存期；</w:t>
            </w:r>
          </w:p>
        </w:tc>
      </w:tr>
      <w:tr w14:paraId="39EC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restart"/>
            <w:vAlign w:val="center"/>
          </w:tcPr>
          <w:p w14:paraId="398B4435">
            <w:pPr>
              <w:jc w:val="center"/>
              <w:rPr>
                <w:rFonts w:hint="eastAsia" w:ascii="仿宋" w:hAnsi="仿宋" w:eastAsia="仿宋"/>
                <w:b w:val="0"/>
                <w:bCs w:val="0"/>
                <w:szCs w:val="21"/>
                <w:lang w:val="en-US" w:eastAsia="zh-CN"/>
              </w:rPr>
            </w:pPr>
            <w:r>
              <w:rPr>
                <w:rFonts w:hint="eastAsia" w:ascii="仿宋" w:hAnsi="仿宋" w:eastAsia="仿宋"/>
                <w:b w:val="0"/>
                <w:bCs w:val="0"/>
                <w:szCs w:val="21"/>
                <w:lang w:val="en-US" w:eastAsia="zh-CN"/>
              </w:rPr>
              <w:t>4</w:t>
            </w:r>
          </w:p>
        </w:tc>
        <w:tc>
          <w:tcPr>
            <w:tcW w:w="1476" w:type="dxa"/>
            <w:vMerge w:val="restart"/>
            <w:vAlign w:val="center"/>
          </w:tcPr>
          <w:p w14:paraId="79600A7A">
            <w:pPr>
              <w:jc w:val="center"/>
              <w:rPr>
                <w:rFonts w:ascii="仿宋" w:hAnsi="仿宋" w:eastAsia="仿宋"/>
                <w:b w:val="0"/>
                <w:bCs w:val="0"/>
                <w:szCs w:val="21"/>
              </w:rPr>
            </w:pPr>
            <w:r>
              <w:rPr>
                <w:rFonts w:hint="eastAsia" w:ascii="仿宋" w:hAnsi="仿宋" w:eastAsia="仿宋"/>
                <w:b w:val="0"/>
                <w:bCs w:val="0"/>
                <w:szCs w:val="21"/>
              </w:rPr>
              <w:t>运维审计堡垒机续保升级服务</w:t>
            </w:r>
          </w:p>
        </w:tc>
        <w:tc>
          <w:tcPr>
            <w:tcW w:w="5986" w:type="dxa"/>
          </w:tcPr>
          <w:p w14:paraId="50F40AB8">
            <w:pPr>
              <w:rPr>
                <w:rFonts w:ascii="仿宋" w:hAnsi="仿宋" w:eastAsia="仿宋"/>
                <w:b w:val="0"/>
                <w:bCs w:val="0"/>
                <w:szCs w:val="21"/>
              </w:rPr>
            </w:pPr>
            <w:r>
              <w:rPr>
                <w:rFonts w:hint="eastAsia" w:ascii="仿宋" w:hAnsi="仿宋" w:eastAsia="仿宋"/>
                <w:b w:val="0"/>
                <w:bCs w:val="0"/>
                <w:szCs w:val="21"/>
                <w:lang w:val="en-US" w:eastAsia="zh-CN"/>
              </w:rPr>
              <w:t>4.1</w:t>
            </w:r>
            <w:r>
              <w:rPr>
                <w:rFonts w:hint="eastAsia" w:ascii="仿宋" w:hAnsi="仿宋" w:eastAsia="仿宋"/>
                <w:b w:val="0"/>
                <w:bCs w:val="0"/>
                <w:szCs w:val="21"/>
              </w:rPr>
              <w:t>对学校的1台绿盟运维审计堡垒机进行原厂续保升级服务。</w:t>
            </w:r>
          </w:p>
        </w:tc>
      </w:tr>
      <w:tr w14:paraId="7C4F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2E8E0FA0">
            <w:pPr>
              <w:jc w:val="center"/>
              <w:rPr>
                <w:rFonts w:hint="eastAsia" w:ascii="仿宋" w:hAnsi="仿宋" w:eastAsia="仿宋"/>
                <w:b w:val="0"/>
                <w:bCs w:val="0"/>
                <w:szCs w:val="21"/>
              </w:rPr>
            </w:pPr>
          </w:p>
        </w:tc>
        <w:tc>
          <w:tcPr>
            <w:tcW w:w="1476" w:type="dxa"/>
            <w:vMerge w:val="continue"/>
          </w:tcPr>
          <w:p w14:paraId="4D6F3A6F">
            <w:pPr>
              <w:rPr>
                <w:rFonts w:ascii="仿宋" w:hAnsi="仿宋" w:eastAsia="仿宋"/>
                <w:b w:val="0"/>
                <w:bCs w:val="0"/>
                <w:szCs w:val="21"/>
              </w:rPr>
            </w:pPr>
          </w:p>
        </w:tc>
        <w:tc>
          <w:tcPr>
            <w:tcW w:w="5986" w:type="dxa"/>
          </w:tcPr>
          <w:p w14:paraId="1686CA1C">
            <w:pPr>
              <w:rPr>
                <w:rFonts w:hint="default" w:ascii="仿宋" w:hAnsi="仿宋" w:eastAsia="仿宋"/>
                <w:b w:val="0"/>
                <w:bCs w:val="0"/>
                <w:szCs w:val="21"/>
                <w:lang w:val="en-US" w:eastAsia="zh-CN"/>
              </w:rPr>
            </w:pPr>
            <w:r>
              <w:rPr>
                <w:rFonts w:hint="eastAsia" w:ascii="仿宋" w:hAnsi="仿宋" w:eastAsia="仿宋"/>
                <w:b w:val="0"/>
                <w:bCs w:val="0"/>
                <w:szCs w:val="21"/>
                <w:lang w:val="en-US" w:eastAsia="zh-CN"/>
              </w:rPr>
              <w:t>4.2续保升级服务技术要求如下：</w:t>
            </w:r>
          </w:p>
        </w:tc>
      </w:tr>
      <w:tr w14:paraId="51D5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20B2192E">
            <w:pPr>
              <w:jc w:val="center"/>
              <w:rPr>
                <w:rFonts w:hint="eastAsia" w:ascii="仿宋" w:hAnsi="仿宋" w:eastAsia="仿宋"/>
                <w:b w:val="0"/>
                <w:bCs w:val="0"/>
                <w:szCs w:val="21"/>
              </w:rPr>
            </w:pPr>
          </w:p>
        </w:tc>
        <w:tc>
          <w:tcPr>
            <w:tcW w:w="1476" w:type="dxa"/>
            <w:vMerge w:val="continue"/>
          </w:tcPr>
          <w:p w14:paraId="7F9D0F33">
            <w:pPr>
              <w:rPr>
                <w:rFonts w:ascii="仿宋" w:hAnsi="仿宋" w:eastAsia="仿宋"/>
                <w:b w:val="0"/>
                <w:bCs w:val="0"/>
                <w:szCs w:val="21"/>
              </w:rPr>
            </w:pPr>
          </w:p>
        </w:tc>
        <w:tc>
          <w:tcPr>
            <w:tcW w:w="5986" w:type="dxa"/>
          </w:tcPr>
          <w:p w14:paraId="3A2EAFD5">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4.2.1系统默认自带三权分立用户，系统管理员、运维管理员和审计管理员权限相互制约。具有用户角色权限自定义功能，可对用户进行细粒度权限划分，可细分用户录入管理员，设备录入管理员，设备账号管理员，运维权限管理员，运维审批管理员，运维审计管理员，普通运维人员和审计员；</w:t>
            </w:r>
          </w:p>
        </w:tc>
      </w:tr>
      <w:tr w14:paraId="787C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4E9ACBD5">
            <w:pPr>
              <w:jc w:val="center"/>
              <w:rPr>
                <w:rFonts w:hint="eastAsia" w:ascii="仿宋" w:hAnsi="仿宋" w:eastAsia="仿宋"/>
                <w:b w:val="0"/>
                <w:bCs w:val="0"/>
                <w:szCs w:val="21"/>
              </w:rPr>
            </w:pPr>
          </w:p>
        </w:tc>
        <w:tc>
          <w:tcPr>
            <w:tcW w:w="1476" w:type="dxa"/>
            <w:vMerge w:val="continue"/>
          </w:tcPr>
          <w:p w14:paraId="434BAF33">
            <w:pPr>
              <w:rPr>
                <w:rFonts w:ascii="仿宋" w:hAnsi="仿宋" w:eastAsia="仿宋"/>
                <w:b w:val="0"/>
                <w:bCs w:val="0"/>
                <w:szCs w:val="21"/>
              </w:rPr>
            </w:pPr>
          </w:p>
        </w:tc>
        <w:tc>
          <w:tcPr>
            <w:tcW w:w="5986" w:type="dxa"/>
          </w:tcPr>
          <w:p w14:paraId="618DF743">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4.2.2▲除用户身份认证外，对特定目标设备访问还需要高级管理员授权才能访问。授权审批方式支持web和手机APP审批。除用户身份认证外，对特定命令的执行需要更高级管理员授权才能执行。授权审批方式支持web和手机APP方式操作（投标时提供功能截图）；</w:t>
            </w:r>
          </w:p>
        </w:tc>
      </w:tr>
      <w:tr w14:paraId="7A6F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054FF916">
            <w:pPr>
              <w:jc w:val="center"/>
              <w:rPr>
                <w:rFonts w:hint="eastAsia" w:ascii="仿宋" w:hAnsi="仿宋" w:eastAsia="仿宋"/>
                <w:b w:val="0"/>
                <w:bCs w:val="0"/>
                <w:szCs w:val="21"/>
              </w:rPr>
            </w:pPr>
          </w:p>
        </w:tc>
        <w:tc>
          <w:tcPr>
            <w:tcW w:w="1476" w:type="dxa"/>
            <w:vMerge w:val="continue"/>
          </w:tcPr>
          <w:p w14:paraId="50202662">
            <w:pPr>
              <w:rPr>
                <w:rFonts w:ascii="仿宋" w:hAnsi="仿宋" w:eastAsia="仿宋"/>
                <w:b w:val="0"/>
                <w:bCs w:val="0"/>
                <w:szCs w:val="21"/>
              </w:rPr>
            </w:pPr>
          </w:p>
        </w:tc>
        <w:tc>
          <w:tcPr>
            <w:tcW w:w="5986" w:type="dxa"/>
          </w:tcPr>
          <w:p w14:paraId="6C4AF353">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4.2.3用户登录堡垒机支持多种认证方式，包括本地静态密码认证、LDAP认证、RADIUS认证、证书认证、USBKEY认证、短信认证、手机APP动态密码认证等身份认证方式；支持可知因素和不可知因素的双因素认证；支持对不同用户设置不同的认证方式，即可配置用户使用本地认证，用户2使用LDAP认证，其他所有用户使用RADIUS认证；</w:t>
            </w:r>
          </w:p>
        </w:tc>
      </w:tr>
      <w:tr w14:paraId="5AFC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4509610C">
            <w:pPr>
              <w:jc w:val="center"/>
              <w:rPr>
                <w:rFonts w:hint="eastAsia" w:ascii="仿宋" w:hAnsi="仿宋" w:eastAsia="仿宋"/>
                <w:b w:val="0"/>
                <w:bCs w:val="0"/>
                <w:szCs w:val="21"/>
              </w:rPr>
            </w:pPr>
          </w:p>
        </w:tc>
        <w:tc>
          <w:tcPr>
            <w:tcW w:w="1476" w:type="dxa"/>
            <w:vMerge w:val="continue"/>
          </w:tcPr>
          <w:p w14:paraId="4EA0E64C">
            <w:pPr>
              <w:rPr>
                <w:rFonts w:ascii="仿宋" w:hAnsi="仿宋" w:eastAsia="仿宋"/>
                <w:b w:val="0"/>
                <w:bCs w:val="0"/>
                <w:szCs w:val="21"/>
              </w:rPr>
            </w:pPr>
          </w:p>
        </w:tc>
        <w:tc>
          <w:tcPr>
            <w:tcW w:w="5986" w:type="dxa"/>
          </w:tcPr>
          <w:p w14:paraId="5935D0CC">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4.2.4支持自动扫描发现托管设备中的所有设备系统账号，并以列表方式向设备管理员展示托管设备中的所有运维的系统账号。支持自动定期或手动批量修改托管设备账号密码信息，改密完成后支持站内消息、邮件和APP等方式推送改密结果。支持自动发现指定网络中存活的设备，并自动添加到系统中进行托管。支持对托管设备所有账号密码自动定期或手动批量验证；</w:t>
            </w:r>
          </w:p>
        </w:tc>
      </w:tr>
      <w:tr w14:paraId="43AC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3B10C292">
            <w:pPr>
              <w:jc w:val="center"/>
              <w:rPr>
                <w:rFonts w:hint="eastAsia" w:ascii="仿宋" w:hAnsi="仿宋" w:eastAsia="仿宋"/>
                <w:b w:val="0"/>
                <w:bCs w:val="0"/>
                <w:szCs w:val="21"/>
              </w:rPr>
            </w:pPr>
          </w:p>
        </w:tc>
        <w:tc>
          <w:tcPr>
            <w:tcW w:w="1476" w:type="dxa"/>
            <w:vMerge w:val="continue"/>
          </w:tcPr>
          <w:p w14:paraId="58A4F3C2">
            <w:pPr>
              <w:rPr>
                <w:rFonts w:ascii="仿宋" w:hAnsi="仿宋" w:eastAsia="仿宋"/>
                <w:b w:val="0"/>
                <w:bCs w:val="0"/>
                <w:szCs w:val="21"/>
              </w:rPr>
            </w:pPr>
          </w:p>
        </w:tc>
        <w:tc>
          <w:tcPr>
            <w:tcW w:w="5986" w:type="dxa"/>
          </w:tcPr>
          <w:p w14:paraId="41664F46">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4.2.5▲支持通过基于时间、IP/IP段、用户/用户组、设备/设备组、设备账号、命令关键字、命令关键字正则表达式、内置命令集、危险级别（按危险程度分为高、中、低）等组合访问控制策略，授权用户可访问的目标设备。支持基于访问权限定义高危操作。支持基于时间、IP/IP段、用户/用户组、设备/设备组、设备账号、命令关键字、命令关键字正则表达式、危险级别等组合条件设置告警规则 ，当用户越权执行某些特定命令或者使用特权的时候进行告警、记录及阻断（投标时提供功能截图）；</w:t>
            </w:r>
          </w:p>
        </w:tc>
      </w:tr>
      <w:tr w14:paraId="0E44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24D20C65">
            <w:pPr>
              <w:jc w:val="center"/>
              <w:rPr>
                <w:rFonts w:hint="eastAsia" w:ascii="仿宋" w:hAnsi="仿宋" w:eastAsia="仿宋"/>
                <w:b w:val="0"/>
                <w:bCs w:val="0"/>
                <w:szCs w:val="21"/>
              </w:rPr>
            </w:pPr>
          </w:p>
        </w:tc>
        <w:tc>
          <w:tcPr>
            <w:tcW w:w="1476" w:type="dxa"/>
            <w:vMerge w:val="continue"/>
          </w:tcPr>
          <w:p w14:paraId="4DD4C387">
            <w:pPr>
              <w:rPr>
                <w:rFonts w:ascii="仿宋" w:hAnsi="仿宋" w:eastAsia="仿宋"/>
                <w:b w:val="0"/>
                <w:bCs w:val="0"/>
                <w:szCs w:val="21"/>
              </w:rPr>
            </w:pPr>
          </w:p>
        </w:tc>
        <w:tc>
          <w:tcPr>
            <w:tcW w:w="5986" w:type="dxa"/>
          </w:tcPr>
          <w:p w14:paraId="7BFCA1C7">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4.2.6支持WEB调用本地客户端程序，如putty,securecrt,xshell,winscp,xftp,mstsc等客户端单点登录堡垒机运维目标设备。支持本地图形客户端程序，如mstsc等客户端直接访问堡垒机选取托管设备运维。支持本地字符客户端程序，如putty,xshell,securecrt等客户端直接访问堡垒机选取托管设备运维。支持本地文件客户端程序，如winscp,xftp等客户端直接访问堡垒机选取托管设备运维。支持本地字符客户端程序一键快速访问目标托管设备运维；</w:t>
            </w:r>
          </w:p>
        </w:tc>
      </w:tr>
      <w:tr w14:paraId="3028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70DFCFBD">
            <w:pPr>
              <w:jc w:val="center"/>
              <w:rPr>
                <w:rFonts w:hint="eastAsia" w:ascii="仿宋" w:hAnsi="仿宋" w:eastAsia="仿宋"/>
                <w:b w:val="0"/>
                <w:bCs w:val="0"/>
                <w:szCs w:val="21"/>
              </w:rPr>
            </w:pPr>
          </w:p>
        </w:tc>
        <w:tc>
          <w:tcPr>
            <w:tcW w:w="1476" w:type="dxa"/>
            <w:vMerge w:val="continue"/>
          </w:tcPr>
          <w:p w14:paraId="709F7F8B">
            <w:pPr>
              <w:rPr>
                <w:rFonts w:ascii="仿宋" w:hAnsi="仿宋" w:eastAsia="仿宋"/>
                <w:b w:val="0"/>
                <w:bCs w:val="0"/>
                <w:szCs w:val="21"/>
              </w:rPr>
            </w:pPr>
          </w:p>
        </w:tc>
        <w:tc>
          <w:tcPr>
            <w:tcW w:w="5986" w:type="dxa"/>
          </w:tcPr>
          <w:p w14:paraId="3E3A821C">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4.2.7可控制用户访问web服务器的url地址，防范运维人员违规访问web服务器，可控制用户上传/下载文件到web服务器（投标时提供功能截图）；</w:t>
            </w:r>
          </w:p>
        </w:tc>
      </w:tr>
      <w:tr w14:paraId="054E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6D46F805">
            <w:pPr>
              <w:jc w:val="center"/>
              <w:rPr>
                <w:rFonts w:hint="eastAsia" w:ascii="仿宋" w:hAnsi="仿宋" w:eastAsia="仿宋"/>
                <w:b w:val="0"/>
                <w:bCs w:val="0"/>
                <w:szCs w:val="21"/>
              </w:rPr>
            </w:pPr>
          </w:p>
        </w:tc>
        <w:tc>
          <w:tcPr>
            <w:tcW w:w="1476" w:type="dxa"/>
            <w:vMerge w:val="continue"/>
          </w:tcPr>
          <w:p w14:paraId="3117A7EF">
            <w:pPr>
              <w:rPr>
                <w:rFonts w:ascii="仿宋" w:hAnsi="仿宋" w:eastAsia="仿宋"/>
                <w:b w:val="0"/>
                <w:bCs w:val="0"/>
                <w:szCs w:val="21"/>
              </w:rPr>
            </w:pPr>
          </w:p>
        </w:tc>
        <w:tc>
          <w:tcPr>
            <w:tcW w:w="5986" w:type="dxa"/>
          </w:tcPr>
          <w:p w14:paraId="413DD29C">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4.2.8字符型远程操作协议：SSH(V1、V2)、TELNET， Rlogin；图形化远程操作协议：RDP、VNC、X11，其支持文件共享；可支持RDP、VNC的客户端直接访问堡垒机；文件传输协议：FTP、SFTP、SCP、Samba；可支持FTP客户端Wincp直接访问堡垒机。支持Oracle、MS SQL Server、IBM DB2、Sybase、IBM Informix Dynamic Server、MySql、PostgreSQL等数据库。支持HTTP/HTTPS操作审计，HTTP/HTTPS协议可以直接代理；</w:t>
            </w:r>
          </w:p>
        </w:tc>
      </w:tr>
      <w:tr w14:paraId="7857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restart"/>
            <w:vAlign w:val="center"/>
          </w:tcPr>
          <w:p w14:paraId="5CD4F702">
            <w:pPr>
              <w:jc w:val="center"/>
              <w:rPr>
                <w:rFonts w:hint="eastAsia" w:ascii="仿宋" w:hAnsi="仿宋" w:eastAsia="仿宋"/>
                <w:b w:val="0"/>
                <w:bCs w:val="0"/>
                <w:szCs w:val="21"/>
                <w:lang w:val="en-US" w:eastAsia="zh-CN"/>
              </w:rPr>
            </w:pPr>
            <w:r>
              <w:rPr>
                <w:rFonts w:hint="eastAsia" w:ascii="仿宋" w:hAnsi="仿宋" w:eastAsia="仿宋"/>
                <w:b w:val="0"/>
                <w:bCs w:val="0"/>
                <w:szCs w:val="21"/>
                <w:lang w:val="en-US" w:eastAsia="zh-CN"/>
              </w:rPr>
              <w:t>5</w:t>
            </w:r>
          </w:p>
        </w:tc>
        <w:tc>
          <w:tcPr>
            <w:tcW w:w="1476" w:type="dxa"/>
            <w:vMerge w:val="restart"/>
            <w:vAlign w:val="center"/>
          </w:tcPr>
          <w:p w14:paraId="190616ED">
            <w:pPr>
              <w:jc w:val="center"/>
              <w:rPr>
                <w:rFonts w:ascii="仿宋" w:hAnsi="仿宋" w:eastAsia="仿宋"/>
                <w:b w:val="0"/>
                <w:bCs w:val="0"/>
                <w:szCs w:val="21"/>
              </w:rPr>
            </w:pPr>
            <w:r>
              <w:rPr>
                <w:rFonts w:hint="eastAsia" w:ascii="仿宋" w:hAnsi="仿宋" w:eastAsia="仿宋"/>
                <w:b w:val="0"/>
                <w:bCs w:val="0"/>
                <w:szCs w:val="21"/>
              </w:rPr>
              <w:t>数据库审计系统续保升级服务</w:t>
            </w:r>
          </w:p>
        </w:tc>
        <w:tc>
          <w:tcPr>
            <w:tcW w:w="5986" w:type="dxa"/>
          </w:tcPr>
          <w:p w14:paraId="1EBCE575">
            <w:pPr>
              <w:rPr>
                <w:rFonts w:hint="default" w:ascii="仿宋" w:hAnsi="仿宋" w:eastAsia="仿宋"/>
                <w:b w:val="0"/>
                <w:bCs w:val="0"/>
                <w:szCs w:val="21"/>
                <w:lang w:val="en-US" w:eastAsia="zh-CN"/>
              </w:rPr>
            </w:pPr>
            <w:r>
              <w:rPr>
                <w:rFonts w:hint="eastAsia" w:ascii="仿宋" w:hAnsi="仿宋" w:eastAsia="仿宋"/>
                <w:b w:val="0"/>
                <w:bCs w:val="0"/>
                <w:szCs w:val="21"/>
                <w:lang w:val="en-US" w:eastAsia="zh-CN"/>
              </w:rPr>
              <w:t>5.1对学校的1台绿盟数据库审计系统进行原厂续保升级服务。</w:t>
            </w:r>
          </w:p>
        </w:tc>
      </w:tr>
      <w:tr w14:paraId="1692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0BEA50F4">
            <w:pPr>
              <w:jc w:val="center"/>
              <w:rPr>
                <w:rFonts w:hint="eastAsia" w:ascii="仿宋" w:hAnsi="仿宋" w:eastAsia="仿宋"/>
                <w:b w:val="0"/>
                <w:bCs w:val="0"/>
                <w:szCs w:val="21"/>
              </w:rPr>
            </w:pPr>
          </w:p>
        </w:tc>
        <w:tc>
          <w:tcPr>
            <w:tcW w:w="1476" w:type="dxa"/>
            <w:vMerge w:val="continue"/>
          </w:tcPr>
          <w:p w14:paraId="05B7E15A">
            <w:pPr>
              <w:rPr>
                <w:rFonts w:ascii="仿宋" w:hAnsi="仿宋" w:eastAsia="仿宋"/>
                <w:b w:val="0"/>
                <w:bCs w:val="0"/>
                <w:szCs w:val="21"/>
              </w:rPr>
            </w:pPr>
          </w:p>
        </w:tc>
        <w:tc>
          <w:tcPr>
            <w:tcW w:w="5986" w:type="dxa"/>
          </w:tcPr>
          <w:p w14:paraId="7B271486">
            <w:pPr>
              <w:rPr>
                <w:rFonts w:hint="default" w:ascii="仿宋" w:hAnsi="仿宋" w:eastAsia="仿宋"/>
                <w:b w:val="0"/>
                <w:bCs w:val="0"/>
                <w:szCs w:val="21"/>
                <w:lang w:val="en-US" w:eastAsia="zh-CN"/>
              </w:rPr>
            </w:pPr>
            <w:r>
              <w:rPr>
                <w:rFonts w:hint="eastAsia" w:ascii="仿宋" w:hAnsi="仿宋" w:eastAsia="仿宋"/>
                <w:b w:val="0"/>
                <w:bCs w:val="0"/>
                <w:szCs w:val="21"/>
                <w:lang w:val="en-US" w:eastAsia="zh-CN"/>
              </w:rPr>
              <w:t>5.2续保升级服务技术要求如下：</w:t>
            </w:r>
          </w:p>
        </w:tc>
      </w:tr>
      <w:tr w14:paraId="0B5F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1548662F">
            <w:pPr>
              <w:jc w:val="center"/>
              <w:rPr>
                <w:rFonts w:hint="eastAsia" w:ascii="仿宋" w:hAnsi="仿宋" w:eastAsia="仿宋"/>
                <w:b w:val="0"/>
                <w:bCs w:val="0"/>
                <w:szCs w:val="21"/>
              </w:rPr>
            </w:pPr>
          </w:p>
        </w:tc>
        <w:tc>
          <w:tcPr>
            <w:tcW w:w="1476" w:type="dxa"/>
            <w:vMerge w:val="continue"/>
          </w:tcPr>
          <w:p w14:paraId="28BA27B8">
            <w:pPr>
              <w:rPr>
                <w:rFonts w:ascii="仿宋" w:hAnsi="仿宋" w:eastAsia="仿宋"/>
                <w:b w:val="0"/>
                <w:bCs w:val="0"/>
                <w:szCs w:val="21"/>
              </w:rPr>
            </w:pPr>
          </w:p>
        </w:tc>
        <w:tc>
          <w:tcPr>
            <w:tcW w:w="5986" w:type="dxa"/>
          </w:tcPr>
          <w:p w14:paraId="52620175">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5.2.1支持Agent部署和分布式部署：支持在目标数据库安装Agent解决无法通过旁路镜像获取流量的场景，如同服务器部署数据库和应用系统、云环境、虚拟化环境场景下数据库的审计。支持分布式部署，管理中心可实现统一配置、统一报生成、统一查询。分布式部署下，审计引擎和审计中心都可存储审计数据，实现大数据环境下磁盘空间的有效利用和扩展。系统采用大数据架构设计，审计中心支持集群部署，具备平滑升级和扩充存储能力；</w:t>
            </w:r>
          </w:p>
        </w:tc>
      </w:tr>
      <w:tr w14:paraId="359F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0261A050">
            <w:pPr>
              <w:jc w:val="center"/>
              <w:rPr>
                <w:rFonts w:hint="eastAsia" w:ascii="仿宋" w:hAnsi="仿宋" w:eastAsia="仿宋"/>
                <w:b w:val="0"/>
                <w:bCs w:val="0"/>
                <w:szCs w:val="21"/>
              </w:rPr>
            </w:pPr>
          </w:p>
        </w:tc>
        <w:tc>
          <w:tcPr>
            <w:tcW w:w="1476" w:type="dxa"/>
            <w:vMerge w:val="continue"/>
          </w:tcPr>
          <w:p w14:paraId="681A860B">
            <w:pPr>
              <w:rPr>
                <w:rFonts w:ascii="仿宋" w:hAnsi="仿宋" w:eastAsia="仿宋"/>
                <w:b w:val="0"/>
                <w:bCs w:val="0"/>
                <w:szCs w:val="21"/>
              </w:rPr>
            </w:pPr>
          </w:p>
        </w:tc>
        <w:tc>
          <w:tcPr>
            <w:tcW w:w="5986" w:type="dxa"/>
          </w:tcPr>
          <w:p w14:paraId="17535738">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5.2.2支持数据库类型：支持主流数据库：Oracle、SQL Server、MySQL、DB2、Sybase、PostgreSQL、Informix、DM、Oscar、Kingbase、Gbase、Hbase、MongoDB、HIVE、Redis、Cache（投标时提供功能截图）；</w:t>
            </w:r>
          </w:p>
        </w:tc>
      </w:tr>
      <w:tr w14:paraId="1BFC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4A63A69C">
            <w:pPr>
              <w:jc w:val="center"/>
              <w:rPr>
                <w:rFonts w:hint="eastAsia" w:ascii="仿宋" w:hAnsi="仿宋" w:eastAsia="仿宋"/>
                <w:b w:val="0"/>
                <w:bCs w:val="0"/>
                <w:szCs w:val="21"/>
              </w:rPr>
            </w:pPr>
          </w:p>
        </w:tc>
        <w:tc>
          <w:tcPr>
            <w:tcW w:w="1476" w:type="dxa"/>
            <w:vMerge w:val="continue"/>
          </w:tcPr>
          <w:p w14:paraId="5792D14B">
            <w:pPr>
              <w:rPr>
                <w:rFonts w:ascii="仿宋" w:hAnsi="仿宋" w:eastAsia="仿宋"/>
                <w:b w:val="0"/>
                <w:bCs w:val="0"/>
                <w:szCs w:val="21"/>
              </w:rPr>
            </w:pPr>
          </w:p>
        </w:tc>
        <w:tc>
          <w:tcPr>
            <w:tcW w:w="5986" w:type="dxa"/>
          </w:tcPr>
          <w:p w14:paraId="662C72D3">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5.2.3协议支持：支持在IPV4环境中部署，且支持所有数据库IPV4协议的审计。支持在IPV6环境中部署，且支持所有数据库IPV6协议的审计；</w:t>
            </w:r>
          </w:p>
        </w:tc>
      </w:tr>
      <w:tr w14:paraId="417F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39BB5FB7">
            <w:pPr>
              <w:jc w:val="center"/>
              <w:rPr>
                <w:rFonts w:hint="eastAsia" w:ascii="仿宋" w:hAnsi="仿宋" w:eastAsia="仿宋"/>
                <w:b w:val="0"/>
                <w:bCs w:val="0"/>
                <w:szCs w:val="21"/>
              </w:rPr>
            </w:pPr>
          </w:p>
        </w:tc>
        <w:tc>
          <w:tcPr>
            <w:tcW w:w="1476" w:type="dxa"/>
            <w:vMerge w:val="continue"/>
          </w:tcPr>
          <w:p w14:paraId="77EA89C5">
            <w:pPr>
              <w:rPr>
                <w:rFonts w:ascii="仿宋" w:hAnsi="仿宋" w:eastAsia="仿宋"/>
                <w:b w:val="0"/>
                <w:bCs w:val="0"/>
                <w:szCs w:val="21"/>
              </w:rPr>
            </w:pPr>
          </w:p>
        </w:tc>
        <w:tc>
          <w:tcPr>
            <w:tcW w:w="5986" w:type="dxa"/>
          </w:tcPr>
          <w:p w14:paraId="61DA9F8D">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5.2.4▲审计内容支持数据库请求和返回的双向审计，特别是返回字段和结果集、执行状态、返回行数、执行时长等内容，支持通过返回行数和内容大小控制返回结果集大小；会话的终端信息：IP、MAC、Port、工具名称（程序名）。会话的主机信息、IP、MAC、Port、数据库名（实例名）会话的其它信息：登录时间、会话时长。操作信息：操作类型（DDL、DML、DCL等）、操作时间、执行时长、操作成功与失败、操作对象（表、函数、存储过程名称）、SQL语句。操作影响范围信息：查询、修改、删除操作的影响行数,以及返回行数（投标时提供功能截图）；</w:t>
            </w:r>
          </w:p>
        </w:tc>
      </w:tr>
      <w:tr w14:paraId="09CF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081F5733">
            <w:pPr>
              <w:jc w:val="center"/>
              <w:rPr>
                <w:rFonts w:hint="eastAsia" w:ascii="仿宋" w:hAnsi="仿宋" w:eastAsia="仿宋"/>
                <w:b w:val="0"/>
                <w:bCs w:val="0"/>
                <w:szCs w:val="21"/>
              </w:rPr>
            </w:pPr>
          </w:p>
        </w:tc>
        <w:tc>
          <w:tcPr>
            <w:tcW w:w="1476" w:type="dxa"/>
            <w:vMerge w:val="continue"/>
          </w:tcPr>
          <w:p w14:paraId="4F903BBB">
            <w:pPr>
              <w:rPr>
                <w:rFonts w:ascii="仿宋" w:hAnsi="仿宋" w:eastAsia="仿宋"/>
                <w:b w:val="0"/>
                <w:bCs w:val="0"/>
                <w:szCs w:val="21"/>
              </w:rPr>
            </w:pPr>
          </w:p>
        </w:tc>
        <w:tc>
          <w:tcPr>
            <w:tcW w:w="5986" w:type="dxa"/>
          </w:tcPr>
          <w:p w14:paraId="3B16F9CF">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5.2.5复杂SQL语句支持：准确审计长SQL语句；有效分割、准确审计多SQL语句；准确审计绑定变量的SQL语句；</w:t>
            </w:r>
          </w:p>
        </w:tc>
      </w:tr>
      <w:tr w14:paraId="26DD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49728B93">
            <w:pPr>
              <w:jc w:val="center"/>
              <w:rPr>
                <w:rFonts w:hint="eastAsia" w:ascii="仿宋" w:hAnsi="仿宋" w:eastAsia="仿宋"/>
                <w:b w:val="0"/>
                <w:bCs w:val="0"/>
                <w:szCs w:val="21"/>
              </w:rPr>
            </w:pPr>
          </w:p>
        </w:tc>
        <w:tc>
          <w:tcPr>
            <w:tcW w:w="1476" w:type="dxa"/>
            <w:vMerge w:val="continue"/>
          </w:tcPr>
          <w:p w14:paraId="57DFFFB0">
            <w:pPr>
              <w:rPr>
                <w:rFonts w:ascii="仿宋" w:hAnsi="仿宋" w:eastAsia="仿宋"/>
                <w:b w:val="0"/>
                <w:bCs w:val="0"/>
                <w:szCs w:val="21"/>
              </w:rPr>
            </w:pPr>
          </w:p>
        </w:tc>
        <w:tc>
          <w:tcPr>
            <w:tcW w:w="5986" w:type="dxa"/>
          </w:tcPr>
          <w:p w14:paraId="4D23A6B2">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5.2.6▲数据库漏洞攻击监测：能对基于数据库漏洞进行攻击行为监测和告警，默认支持200个以上的数据库漏洞攻击规则库（投标时提供功能截图）；</w:t>
            </w:r>
          </w:p>
        </w:tc>
      </w:tr>
      <w:tr w14:paraId="0D63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334AA9A2">
            <w:pPr>
              <w:jc w:val="center"/>
              <w:rPr>
                <w:rFonts w:hint="eastAsia" w:ascii="仿宋" w:hAnsi="仿宋" w:eastAsia="仿宋"/>
                <w:b w:val="0"/>
                <w:bCs w:val="0"/>
                <w:szCs w:val="21"/>
              </w:rPr>
            </w:pPr>
          </w:p>
        </w:tc>
        <w:tc>
          <w:tcPr>
            <w:tcW w:w="1476" w:type="dxa"/>
            <w:vMerge w:val="continue"/>
          </w:tcPr>
          <w:p w14:paraId="6A22283C">
            <w:pPr>
              <w:rPr>
                <w:rFonts w:ascii="仿宋" w:hAnsi="仿宋" w:eastAsia="仿宋"/>
                <w:b w:val="0"/>
                <w:bCs w:val="0"/>
                <w:szCs w:val="21"/>
              </w:rPr>
            </w:pPr>
          </w:p>
        </w:tc>
        <w:tc>
          <w:tcPr>
            <w:tcW w:w="5986" w:type="dxa"/>
          </w:tcPr>
          <w:p w14:paraId="3B5B0121">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5.2.7应用用户关联审计：能以完全精确方式，审计到应用端相关信息，包括应用用户等。在并发1000个连接的情况下，准确率应达到100%准确。支持Weblogic、tomcat、Websphere、Jboss等主流的应用服务器；</w:t>
            </w:r>
          </w:p>
        </w:tc>
      </w:tr>
      <w:tr w14:paraId="6E0A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40E9B65B">
            <w:pPr>
              <w:jc w:val="center"/>
              <w:rPr>
                <w:rFonts w:hint="eastAsia" w:ascii="仿宋" w:hAnsi="仿宋" w:eastAsia="仿宋"/>
                <w:b w:val="0"/>
                <w:bCs w:val="0"/>
                <w:szCs w:val="21"/>
              </w:rPr>
            </w:pPr>
          </w:p>
        </w:tc>
        <w:tc>
          <w:tcPr>
            <w:tcW w:w="1476" w:type="dxa"/>
            <w:vMerge w:val="continue"/>
          </w:tcPr>
          <w:p w14:paraId="2069E9C2">
            <w:pPr>
              <w:rPr>
                <w:rFonts w:ascii="仿宋" w:hAnsi="仿宋" w:eastAsia="仿宋"/>
                <w:b w:val="0"/>
                <w:bCs w:val="0"/>
                <w:szCs w:val="21"/>
              </w:rPr>
            </w:pPr>
          </w:p>
        </w:tc>
        <w:tc>
          <w:tcPr>
            <w:tcW w:w="5986" w:type="dxa"/>
          </w:tcPr>
          <w:p w14:paraId="4E1302CA">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5.2.8加密链路审计：支持MySQL数据库的SSL/TSL加密链路审计；</w:t>
            </w:r>
          </w:p>
        </w:tc>
      </w:tr>
      <w:tr w14:paraId="5842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restart"/>
            <w:vAlign w:val="center"/>
          </w:tcPr>
          <w:p w14:paraId="71BFF549">
            <w:pPr>
              <w:jc w:val="center"/>
              <w:rPr>
                <w:rFonts w:hint="eastAsia" w:ascii="仿宋" w:hAnsi="仿宋" w:eastAsia="仿宋"/>
                <w:b w:val="0"/>
                <w:bCs w:val="0"/>
                <w:szCs w:val="21"/>
                <w:lang w:val="en-US" w:eastAsia="zh-CN"/>
              </w:rPr>
            </w:pPr>
            <w:r>
              <w:rPr>
                <w:rFonts w:hint="eastAsia" w:ascii="仿宋" w:hAnsi="仿宋" w:eastAsia="仿宋"/>
                <w:b w:val="0"/>
                <w:bCs w:val="0"/>
                <w:szCs w:val="21"/>
                <w:lang w:val="en-US" w:eastAsia="zh-CN"/>
              </w:rPr>
              <w:t>6</w:t>
            </w:r>
          </w:p>
        </w:tc>
        <w:tc>
          <w:tcPr>
            <w:tcW w:w="1476" w:type="dxa"/>
            <w:vMerge w:val="restart"/>
            <w:vAlign w:val="center"/>
          </w:tcPr>
          <w:p w14:paraId="0136BB09">
            <w:pPr>
              <w:jc w:val="center"/>
              <w:rPr>
                <w:rFonts w:ascii="仿宋" w:hAnsi="仿宋" w:eastAsia="仿宋"/>
                <w:b w:val="0"/>
                <w:bCs w:val="0"/>
                <w:szCs w:val="21"/>
              </w:rPr>
            </w:pPr>
            <w:r>
              <w:rPr>
                <w:rFonts w:hint="eastAsia" w:ascii="仿宋" w:hAnsi="仿宋" w:eastAsia="仿宋"/>
                <w:b w:val="0"/>
                <w:bCs w:val="0"/>
                <w:szCs w:val="21"/>
              </w:rPr>
              <w:t>日志审计系统续保升级服务</w:t>
            </w:r>
          </w:p>
        </w:tc>
        <w:tc>
          <w:tcPr>
            <w:tcW w:w="5986" w:type="dxa"/>
          </w:tcPr>
          <w:p w14:paraId="66D7212E">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6.1对学校的1台绿盟日志审计系统进行原厂续保升级服务</w:t>
            </w:r>
          </w:p>
        </w:tc>
      </w:tr>
      <w:tr w14:paraId="272A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217846C1">
            <w:pPr>
              <w:jc w:val="center"/>
              <w:rPr>
                <w:rFonts w:hint="eastAsia" w:ascii="仿宋" w:hAnsi="仿宋" w:eastAsia="仿宋"/>
                <w:b w:val="0"/>
                <w:bCs w:val="0"/>
                <w:szCs w:val="21"/>
              </w:rPr>
            </w:pPr>
          </w:p>
        </w:tc>
        <w:tc>
          <w:tcPr>
            <w:tcW w:w="1476" w:type="dxa"/>
            <w:vMerge w:val="continue"/>
          </w:tcPr>
          <w:p w14:paraId="0D36D7B2">
            <w:pPr>
              <w:rPr>
                <w:rFonts w:ascii="仿宋" w:hAnsi="仿宋" w:eastAsia="仿宋"/>
                <w:b w:val="0"/>
                <w:bCs w:val="0"/>
                <w:szCs w:val="21"/>
              </w:rPr>
            </w:pPr>
          </w:p>
        </w:tc>
        <w:tc>
          <w:tcPr>
            <w:tcW w:w="5986" w:type="dxa"/>
          </w:tcPr>
          <w:p w14:paraId="21EE80A6">
            <w:pPr>
              <w:rPr>
                <w:rFonts w:hint="default"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6.2续保升级服务技术要求如下：</w:t>
            </w:r>
          </w:p>
        </w:tc>
      </w:tr>
      <w:tr w14:paraId="479E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14E7425C">
            <w:pPr>
              <w:jc w:val="center"/>
              <w:rPr>
                <w:rFonts w:hint="eastAsia" w:ascii="仿宋" w:hAnsi="仿宋" w:eastAsia="仿宋"/>
                <w:b w:val="0"/>
                <w:bCs w:val="0"/>
                <w:szCs w:val="21"/>
              </w:rPr>
            </w:pPr>
          </w:p>
        </w:tc>
        <w:tc>
          <w:tcPr>
            <w:tcW w:w="1476" w:type="dxa"/>
            <w:vMerge w:val="continue"/>
          </w:tcPr>
          <w:p w14:paraId="370DC125">
            <w:pPr>
              <w:rPr>
                <w:rFonts w:ascii="仿宋" w:hAnsi="仿宋" w:eastAsia="仿宋"/>
                <w:b w:val="0"/>
                <w:bCs w:val="0"/>
                <w:szCs w:val="21"/>
              </w:rPr>
            </w:pPr>
          </w:p>
        </w:tc>
        <w:tc>
          <w:tcPr>
            <w:tcW w:w="5986" w:type="dxa"/>
          </w:tcPr>
          <w:p w14:paraId="122E511E">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6.2.1▲系统应支持界面配置即可完成未识别日志接入，无需编写xml；支持NAT环境下的Agent部署模式（投标时提供功能截图）；</w:t>
            </w:r>
          </w:p>
        </w:tc>
      </w:tr>
      <w:tr w14:paraId="12D3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5A2FE5BA">
            <w:pPr>
              <w:jc w:val="center"/>
              <w:rPr>
                <w:rFonts w:hint="eastAsia" w:ascii="仿宋" w:hAnsi="仿宋" w:eastAsia="仿宋"/>
                <w:b w:val="0"/>
                <w:bCs w:val="0"/>
                <w:szCs w:val="21"/>
              </w:rPr>
            </w:pPr>
          </w:p>
        </w:tc>
        <w:tc>
          <w:tcPr>
            <w:tcW w:w="1476" w:type="dxa"/>
            <w:vMerge w:val="continue"/>
          </w:tcPr>
          <w:p w14:paraId="648B72C1">
            <w:pPr>
              <w:rPr>
                <w:rFonts w:ascii="仿宋" w:hAnsi="仿宋" w:eastAsia="仿宋"/>
                <w:b w:val="0"/>
                <w:bCs w:val="0"/>
                <w:szCs w:val="21"/>
              </w:rPr>
            </w:pPr>
          </w:p>
        </w:tc>
        <w:tc>
          <w:tcPr>
            <w:tcW w:w="5986" w:type="dxa"/>
          </w:tcPr>
          <w:p w14:paraId="384C6119">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6.2.2系统应支持IPv4、IPv6日志数据的采集、范式化、分析、展示；</w:t>
            </w:r>
          </w:p>
        </w:tc>
      </w:tr>
      <w:tr w14:paraId="2A93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4536641B">
            <w:pPr>
              <w:jc w:val="center"/>
              <w:rPr>
                <w:rFonts w:hint="eastAsia" w:ascii="仿宋" w:hAnsi="仿宋" w:eastAsia="仿宋"/>
                <w:b w:val="0"/>
                <w:bCs w:val="0"/>
                <w:szCs w:val="21"/>
              </w:rPr>
            </w:pPr>
          </w:p>
        </w:tc>
        <w:tc>
          <w:tcPr>
            <w:tcW w:w="1476" w:type="dxa"/>
            <w:vMerge w:val="continue"/>
          </w:tcPr>
          <w:p w14:paraId="4760A1A1">
            <w:pPr>
              <w:rPr>
                <w:rFonts w:ascii="仿宋" w:hAnsi="仿宋" w:eastAsia="仿宋"/>
                <w:b w:val="0"/>
                <w:bCs w:val="0"/>
                <w:szCs w:val="21"/>
              </w:rPr>
            </w:pPr>
          </w:p>
        </w:tc>
        <w:tc>
          <w:tcPr>
            <w:tcW w:w="5986" w:type="dxa"/>
          </w:tcPr>
          <w:p w14:paraId="05B53D1D">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6.2.3系统应支持正则、KV、格式串等多种灵活的提取方式（投标时提供功能截图）；</w:t>
            </w:r>
          </w:p>
        </w:tc>
      </w:tr>
      <w:tr w14:paraId="0832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48C4DA29">
            <w:pPr>
              <w:jc w:val="center"/>
              <w:rPr>
                <w:rFonts w:hint="eastAsia" w:ascii="仿宋" w:hAnsi="仿宋" w:eastAsia="仿宋"/>
                <w:b w:val="0"/>
                <w:bCs w:val="0"/>
                <w:szCs w:val="21"/>
              </w:rPr>
            </w:pPr>
          </w:p>
        </w:tc>
        <w:tc>
          <w:tcPr>
            <w:tcW w:w="1476" w:type="dxa"/>
            <w:vMerge w:val="continue"/>
          </w:tcPr>
          <w:p w14:paraId="7E6547AF">
            <w:pPr>
              <w:rPr>
                <w:rFonts w:ascii="仿宋" w:hAnsi="仿宋" w:eastAsia="仿宋"/>
                <w:b w:val="0"/>
                <w:bCs w:val="0"/>
                <w:szCs w:val="21"/>
              </w:rPr>
            </w:pPr>
          </w:p>
        </w:tc>
        <w:tc>
          <w:tcPr>
            <w:tcW w:w="5986" w:type="dxa"/>
          </w:tcPr>
          <w:p w14:paraId="5FFAF28F">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6.2.4系统应能够实现范式化日志的枚举值管理，实现对范式化日志字段的灵活翻译。</w:t>
            </w:r>
          </w:p>
        </w:tc>
      </w:tr>
      <w:tr w14:paraId="32F0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4FBFA3E9">
            <w:pPr>
              <w:jc w:val="center"/>
              <w:rPr>
                <w:rFonts w:hint="eastAsia" w:ascii="仿宋" w:hAnsi="仿宋" w:eastAsia="仿宋"/>
                <w:b w:val="0"/>
                <w:bCs w:val="0"/>
                <w:szCs w:val="21"/>
              </w:rPr>
            </w:pPr>
          </w:p>
        </w:tc>
        <w:tc>
          <w:tcPr>
            <w:tcW w:w="1476" w:type="dxa"/>
            <w:vMerge w:val="continue"/>
          </w:tcPr>
          <w:p w14:paraId="3CB2D3FC">
            <w:pPr>
              <w:rPr>
                <w:rFonts w:ascii="仿宋" w:hAnsi="仿宋" w:eastAsia="仿宋"/>
                <w:b w:val="0"/>
                <w:bCs w:val="0"/>
                <w:szCs w:val="21"/>
              </w:rPr>
            </w:pPr>
          </w:p>
        </w:tc>
        <w:tc>
          <w:tcPr>
            <w:tcW w:w="5986" w:type="dxa"/>
          </w:tcPr>
          <w:p w14:paraId="023449A9">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6.2.5系统应支持日志源监控能力，包括采集器维度及资产维度的监控，资产维度支持展示资产详细信息。</w:t>
            </w:r>
          </w:p>
        </w:tc>
      </w:tr>
      <w:tr w14:paraId="3426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7C6E3942">
            <w:pPr>
              <w:jc w:val="center"/>
              <w:rPr>
                <w:rFonts w:hint="eastAsia" w:ascii="仿宋" w:hAnsi="仿宋" w:eastAsia="仿宋"/>
                <w:b w:val="0"/>
                <w:bCs w:val="0"/>
                <w:szCs w:val="21"/>
              </w:rPr>
            </w:pPr>
          </w:p>
        </w:tc>
        <w:tc>
          <w:tcPr>
            <w:tcW w:w="1476" w:type="dxa"/>
            <w:vMerge w:val="continue"/>
          </w:tcPr>
          <w:p w14:paraId="083D1EF8">
            <w:pPr>
              <w:rPr>
                <w:rFonts w:ascii="仿宋" w:hAnsi="仿宋" w:eastAsia="仿宋"/>
                <w:b w:val="0"/>
                <w:bCs w:val="0"/>
                <w:szCs w:val="21"/>
              </w:rPr>
            </w:pPr>
          </w:p>
        </w:tc>
        <w:tc>
          <w:tcPr>
            <w:tcW w:w="5986" w:type="dxa"/>
          </w:tcPr>
          <w:p w14:paraId="1215C685">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6.2.6系统应提供日志转发功能，应支持日志转发多个目标地址，可实现原始日志、范式化日志的转发，且不丢失原始日志源IP信息。</w:t>
            </w:r>
          </w:p>
        </w:tc>
      </w:tr>
      <w:tr w14:paraId="4756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0BAE9161">
            <w:pPr>
              <w:jc w:val="center"/>
              <w:rPr>
                <w:rFonts w:hint="eastAsia" w:ascii="仿宋" w:hAnsi="仿宋" w:eastAsia="仿宋"/>
                <w:b w:val="0"/>
                <w:bCs w:val="0"/>
                <w:szCs w:val="21"/>
              </w:rPr>
            </w:pPr>
          </w:p>
        </w:tc>
        <w:tc>
          <w:tcPr>
            <w:tcW w:w="1476" w:type="dxa"/>
            <w:vMerge w:val="continue"/>
          </w:tcPr>
          <w:p w14:paraId="518A8BA7">
            <w:pPr>
              <w:rPr>
                <w:rFonts w:ascii="仿宋" w:hAnsi="仿宋" w:eastAsia="仿宋"/>
                <w:b w:val="0"/>
                <w:bCs w:val="0"/>
                <w:szCs w:val="21"/>
              </w:rPr>
            </w:pPr>
          </w:p>
        </w:tc>
        <w:tc>
          <w:tcPr>
            <w:tcW w:w="5986" w:type="dxa"/>
          </w:tcPr>
          <w:p w14:paraId="19496367">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6.2.7系统应支持日志存储扩展，如NFS网络共享存储扩展（投标时提供功能截图）；</w:t>
            </w:r>
          </w:p>
        </w:tc>
      </w:tr>
      <w:tr w14:paraId="7640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3CF4A7F4">
            <w:pPr>
              <w:jc w:val="center"/>
              <w:rPr>
                <w:rFonts w:hint="eastAsia" w:ascii="仿宋" w:hAnsi="仿宋" w:eastAsia="仿宋"/>
                <w:b w:val="0"/>
                <w:bCs w:val="0"/>
                <w:szCs w:val="21"/>
              </w:rPr>
            </w:pPr>
          </w:p>
        </w:tc>
        <w:tc>
          <w:tcPr>
            <w:tcW w:w="1476" w:type="dxa"/>
            <w:vMerge w:val="continue"/>
          </w:tcPr>
          <w:p w14:paraId="594B1A5A">
            <w:pPr>
              <w:rPr>
                <w:rFonts w:ascii="仿宋" w:hAnsi="仿宋" w:eastAsia="仿宋"/>
                <w:b w:val="0"/>
                <w:bCs w:val="0"/>
                <w:szCs w:val="21"/>
              </w:rPr>
            </w:pPr>
          </w:p>
        </w:tc>
        <w:tc>
          <w:tcPr>
            <w:tcW w:w="5986" w:type="dxa"/>
          </w:tcPr>
          <w:p w14:paraId="209BAE7B">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6.2.8系统应支持全文检索、模糊检索、正则检索等多种方式。</w:t>
            </w:r>
          </w:p>
        </w:tc>
      </w:tr>
      <w:tr w14:paraId="1786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149950CB">
            <w:pPr>
              <w:jc w:val="center"/>
              <w:rPr>
                <w:rFonts w:hint="eastAsia" w:ascii="仿宋" w:hAnsi="仿宋" w:eastAsia="仿宋"/>
                <w:b w:val="0"/>
                <w:bCs w:val="0"/>
                <w:szCs w:val="21"/>
              </w:rPr>
            </w:pPr>
          </w:p>
        </w:tc>
        <w:tc>
          <w:tcPr>
            <w:tcW w:w="1476" w:type="dxa"/>
            <w:vMerge w:val="continue"/>
          </w:tcPr>
          <w:p w14:paraId="1674F535">
            <w:pPr>
              <w:rPr>
                <w:rFonts w:ascii="仿宋" w:hAnsi="仿宋" w:eastAsia="仿宋"/>
                <w:b w:val="0"/>
                <w:bCs w:val="0"/>
                <w:szCs w:val="21"/>
              </w:rPr>
            </w:pPr>
          </w:p>
        </w:tc>
        <w:tc>
          <w:tcPr>
            <w:tcW w:w="5986" w:type="dxa"/>
          </w:tcPr>
          <w:p w14:paraId="43B8F889">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6.2.9系统应内置事件分类，并支持自定义事件分类，可定义事件分类的风险级别。</w:t>
            </w:r>
          </w:p>
        </w:tc>
      </w:tr>
      <w:tr w14:paraId="7A81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763A1004">
            <w:pPr>
              <w:jc w:val="center"/>
              <w:rPr>
                <w:rFonts w:hint="eastAsia" w:ascii="仿宋" w:hAnsi="仿宋" w:eastAsia="仿宋"/>
                <w:b w:val="0"/>
                <w:bCs w:val="0"/>
                <w:szCs w:val="21"/>
              </w:rPr>
            </w:pPr>
          </w:p>
        </w:tc>
        <w:tc>
          <w:tcPr>
            <w:tcW w:w="1476" w:type="dxa"/>
            <w:vMerge w:val="continue"/>
          </w:tcPr>
          <w:p w14:paraId="4C2BBBF4">
            <w:pPr>
              <w:rPr>
                <w:rFonts w:ascii="仿宋" w:hAnsi="仿宋" w:eastAsia="仿宋"/>
                <w:b w:val="0"/>
                <w:bCs w:val="0"/>
                <w:szCs w:val="21"/>
              </w:rPr>
            </w:pPr>
          </w:p>
        </w:tc>
        <w:tc>
          <w:tcPr>
            <w:tcW w:w="5986" w:type="dxa"/>
          </w:tcPr>
          <w:p w14:paraId="3F10702A">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6.2.10系统应支持多源事件关联分析能力，包括单源过滤模式、多源时序模式和多源关联模式。</w:t>
            </w:r>
          </w:p>
        </w:tc>
      </w:tr>
      <w:tr w14:paraId="57FE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6FEFBE6D">
            <w:pPr>
              <w:jc w:val="center"/>
              <w:rPr>
                <w:rFonts w:hint="eastAsia" w:ascii="仿宋" w:hAnsi="仿宋" w:eastAsia="仿宋"/>
                <w:b w:val="0"/>
                <w:bCs w:val="0"/>
                <w:szCs w:val="21"/>
              </w:rPr>
            </w:pPr>
          </w:p>
        </w:tc>
        <w:tc>
          <w:tcPr>
            <w:tcW w:w="1476" w:type="dxa"/>
            <w:vMerge w:val="continue"/>
          </w:tcPr>
          <w:p w14:paraId="1FBBCBD5">
            <w:pPr>
              <w:rPr>
                <w:rFonts w:ascii="仿宋" w:hAnsi="仿宋" w:eastAsia="仿宋"/>
                <w:b w:val="0"/>
                <w:bCs w:val="0"/>
                <w:szCs w:val="21"/>
              </w:rPr>
            </w:pPr>
          </w:p>
        </w:tc>
        <w:tc>
          <w:tcPr>
            <w:tcW w:w="5986" w:type="dxa"/>
          </w:tcPr>
          <w:p w14:paraId="1C9BBC24">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6.2.11系统应支持查询实时事件，并可以很方便的下钻事件规则以及原始日志信息。</w:t>
            </w:r>
          </w:p>
        </w:tc>
      </w:tr>
      <w:tr w14:paraId="612F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4E4A4F4D">
            <w:pPr>
              <w:jc w:val="center"/>
              <w:rPr>
                <w:rFonts w:hint="eastAsia" w:ascii="仿宋" w:hAnsi="仿宋" w:eastAsia="仿宋"/>
                <w:b w:val="0"/>
                <w:bCs w:val="0"/>
                <w:szCs w:val="21"/>
              </w:rPr>
            </w:pPr>
          </w:p>
        </w:tc>
        <w:tc>
          <w:tcPr>
            <w:tcW w:w="1476" w:type="dxa"/>
            <w:vMerge w:val="continue"/>
          </w:tcPr>
          <w:p w14:paraId="6668DB24">
            <w:pPr>
              <w:rPr>
                <w:rFonts w:ascii="仿宋" w:hAnsi="仿宋" w:eastAsia="仿宋"/>
                <w:b w:val="0"/>
                <w:bCs w:val="0"/>
                <w:szCs w:val="21"/>
              </w:rPr>
            </w:pPr>
          </w:p>
        </w:tc>
        <w:tc>
          <w:tcPr>
            <w:tcW w:w="5986" w:type="dxa"/>
          </w:tcPr>
          <w:p w14:paraId="4FE8AAC0">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6.2.12▲系统应支持资产标签，且至少6种标签以上，根据标签可快速查询资产；支持资产以拓扑图形式展示，鼠标移动至资产图标可展示对应的资产信息（投标时提供功能截图）；</w:t>
            </w:r>
          </w:p>
        </w:tc>
      </w:tr>
      <w:tr w14:paraId="37F7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63EFCAE0">
            <w:pPr>
              <w:jc w:val="center"/>
              <w:rPr>
                <w:rFonts w:hint="eastAsia" w:ascii="仿宋" w:hAnsi="仿宋" w:eastAsia="仿宋"/>
                <w:b w:val="0"/>
                <w:bCs w:val="0"/>
                <w:szCs w:val="21"/>
              </w:rPr>
            </w:pPr>
          </w:p>
        </w:tc>
        <w:tc>
          <w:tcPr>
            <w:tcW w:w="1476" w:type="dxa"/>
            <w:vMerge w:val="continue"/>
          </w:tcPr>
          <w:p w14:paraId="17BD2017">
            <w:pPr>
              <w:rPr>
                <w:rFonts w:ascii="仿宋" w:hAnsi="仿宋" w:eastAsia="仿宋"/>
                <w:b w:val="0"/>
                <w:bCs w:val="0"/>
                <w:szCs w:val="21"/>
              </w:rPr>
            </w:pPr>
          </w:p>
        </w:tc>
        <w:tc>
          <w:tcPr>
            <w:tcW w:w="5986" w:type="dxa"/>
          </w:tcPr>
          <w:p w14:paraId="64A51779">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6.2.13系统应能支持自定义报表目录、LOGO等。</w:t>
            </w:r>
          </w:p>
        </w:tc>
      </w:tr>
      <w:tr w14:paraId="5C36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67395BB3">
            <w:pPr>
              <w:jc w:val="center"/>
              <w:rPr>
                <w:rFonts w:hint="eastAsia" w:ascii="仿宋" w:hAnsi="仿宋" w:eastAsia="仿宋"/>
                <w:b w:val="0"/>
                <w:bCs w:val="0"/>
                <w:szCs w:val="21"/>
              </w:rPr>
            </w:pPr>
          </w:p>
        </w:tc>
        <w:tc>
          <w:tcPr>
            <w:tcW w:w="1476" w:type="dxa"/>
            <w:vMerge w:val="continue"/>
          </w:tcPr>
          <w:p w14:paraId="5C5E6662">
            <w:pPr>
              <w:rPr>
                <w:rFonts w:ascii="仿宋" w:hAnsi="仿宋" w:eastAsia="仿宋"/>
                <w:b w:val="0"/>
                <w:bCs w:val="0"/>
                <w:szCs w:val="21"/>
              </w:rPr>
            </w:pPr>
          </w:p>
        </w:tc>
        <w:tc>
          <w:tcPr>
            <w:tcW w:w="5986" w:type="dxa"/>
          </w:tcPr>
          <w:p w14:paraId="75B2210E">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6.2.14系统应支持统计项引用到报表。；</w:t>
            </w:r>
          </w:p>
        </w:tc>
      </w:tr>
      <w:tr w14:paraId="0BED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restart"/>
            <w:vAlign w:val="center"/>
          </w:tcPr>
          <w:p w14:paraId="2EC6804E">
            <w:pPr>
              <w:jc w:val="center"/>
              <w:rPr>
                <w:rFonts w:hint="eastAsia" w:ascii="仿宋" w:hAnsi="仿宋" w:eastAsia="仿宋"/>
                <w:b w:val="0"/>
                <w:bCs w:val="0"/>
                <w:szCs w:val="21"/>
                <w:lang w:val="en-US" w:eastAsia="zh-CN"/>
              </w:rPr>
            </w:pPr>
            <w:r>
              <w:rPr>
                <w:rFonts w:hint="eastAsia" w:ascii="仿宋" w:hAnsi="仿宋" w:eastAsia="仿宋"/>
                <w:b w:val="0"/>
                <w:bCs w:val="0"/>
                <w:szCs w:val="21"/>
                <w:lang w:val="en-US" w:eastAsia="zh-CN"/>
              </w:rPr>
              <w:t>7</w:t>
            </w:r>
          </w:p>
        </w:tc>
        <w:tc>
          <w:tcPr>
            <w:tcW w:w="1476" w:type="dxa"/>
            <w:vMerge w:val="restart"/>
            <w:vAlign w:val="center"/>
          </w:tcPr>
          <w:p w14:paraId="30B3AE38">
            <w:pPr>
              <w:jc w:val="center"/>
              <w:rPr>
                <w:rFonts w:ascii="仿宋" w:hAnsi="仿宋" w:eastAsia="仿宋"/>
                <w:b w:val="0"/>
                <w:bCs w:val="0"/>
                <w:szCs w:val="21"/>
              </w:rPr>
            </w:pPr>
            <w:r>
              <w:rPr>
                <w:rFonts w:hint="eastAsia" w:ascii="仿宋" w:hAnsi="仿宋" w:eastAsia="仿宋"/>
                <w:b w:val="0"/>
                <w:bCs w:val="0"/>
                <w:szCs w:val="21"/>
              </w:rPr>
              <w:t>网络防病毒系统续保升级服务</w:t>
            </w:r>
          </w:p>
        </w:tc>
        <w:tc>
          <w:tcPr>
            <w:tcW w:w="5986" w:type="dxa"/>
          </w:tcPr>
          <w:p w14:paraId="39AE077A">
            <w:pPr>
              <w:rPr>
                <w:rFonts w:hint="default"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7.1对学校的1台金山网络防病毒系统进行原厂续保升级服务。</w:t>
            </w:r>
          </w:p>
        </w:tc>
      </w:tr>
      <w:tr w14:paraId="3D61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459C4724">
            <w:pPr>
              <w:jc w:val="center"/>
              <w:rPr>
                <w:rFonts w:hint="eastAsia" w:ascii="仿宋" w:hAnsi="仿宋" w:eastAsia="仿宋"/>
                <w:b w:val="0"/>
                <w:bCs w:val="0"/>
                <w:szCs w:val="21"/>
                <w:lang w:val="en-US" w:eastAsia="zh-CN"/>
              </w:rPr>
            </w:pPr>
          </w:p>
        </w:tc>
        <w:tc>
          <w:tcPr>
            <w:tcW w:w="1476" w:type="dxa"/>
            <w:vMerge w:val="continue"/>
          </w:tcPr>
          <w:p w14:paraId="65C620CF">
            <w:pPr>
              <w:rPr>
                <w:rFonts w:ascii="仿宋" w:hAnsi="仿宋" w:eastAsia="仿宋"/>
                <w:b w:val="0"/>
                <w:bCs w:val="0"/>
                <w:szCs w:val="21"/>
              </w:rPr>
            </w:pPr>
          </w:p>
        </w:tc>
        <w:tc>
          <w:tcPr>
            <w:tcW w:w="5986" w:type="dxa"/>
          </w:tcPr>
          <w:p w14:paraId="5165DE5A">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7.2续保升级服务技术要求如下：</w:t>
            </w:r>
          </w:p>
        </w:tc>
      </w:tr>
      <w:tr w14:paraId="65E5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49F36AD7">
            <w:pPr>
              <w:jc w:val="center"/>
              <w:rPr>
                <w:rFonts w:hint="eastAsia" w:ascii="仿宋" w:hAnsi="仿宋" w:eastAsia="仿宋"/>
                <w:b w:val="0"/>
                <w:bCs w:val="0"/>
                <w:szCs w:val="21"/>
                <w:lang w:val="en-US" w:eastAsia="zh-CN"/>
              </w:rPr>
            </w:pPr>
          </w:p>
        </w:tc>
        <w:tc>
          <w:tcPr>
            <w:tcW w:w="1476" w:type="dxa"/>
            <w:vMerge w:val="continue"/>
          </w:tcPr>
          <w:p w14:paraId="2B57EA76">
            <w:pPr>
              <w:rPr>
                <w:rFonts w:ascii="仿宋" w:hAnsi="仿宋" w:eastAsia="仿宋"/>
                <w:b w:val="0"/>
                <w:bCs w:val="0"/>
                <w:szCs w:val="21"/>
              </w:rPr>
            </w:pPr>
          </w:p>
        </w:tc>
        <w:tc>
          <w:tcPr>
            <w:tcW w:w="5986" w:type="dxa"/>
          </w:tcPr>
          <w:p w14:paraId="46D02973">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7.2.1可扩展的分级管理架构，通过对系统中心的分级，使用主系统中心来集中管理数据，实现以单个系统中心对多个二级节点及其他特殊防毒节点的集中管理。具有良好可扩展性和可伸缩性，对于网络规模扩大或新增节点可容易实现集中管理；</w:t>
            </w:r>
          </w:p>
        </w:tc>
      </w:tr>
      <w:tr w14:paraId="4DFB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178B714A">
            <w:pPr>
              <w:jc w:val="center"/>
              <w:rPr>
                <w:rFonts w:hint="eastAsia" w:ascii="仿宋" w:hAnsi="仿宋" w:eastAsia="仿宋"/>
                <w:b w:val="0"/>
                <w:bCs w:val="0"/>
                <w:szCs w:val="21"/>
                <w:lang w:val="en-US" w:eastAsia="zh-CN"/>
              </w:rPr>
            </w:pPr>
          </w:p>
        </w:tc>
        <w:tc>
          <w:tcPr>
            <w:tcW w:w="1476" w:type="dxa"/>
            <w:vMerge w:val="continue"/>
          </w:tcPr>
          <w:p w14:paraId="3C01A2CB">
            <w:pPr>
              <w:rPr>
                <w:rFonts w:ascii="仿宋" w:hAnsi="仿宋" w:eastAsia="仿宋"/>
                <w:b w:val="0"/>
                <w:bCs w:val="0"/>
                <w:szCs w:val="21"/>
              </w:rPr>
            </w:pPr>
          </w:p>
        </w:tc>
        <w:tc>
          <w:tcPr>
            <w:tcW w:w="5986" w:type="dxa"/>
          </w:tcPr>
          <w:p w14:paraId="515B7D98">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7.2.2提供文件特征云查询服务器，云查询服务器能够连接厂家共有安全云系统自动进行文件特征查询同步，且能够支持隔离网环境（投标时提供功能截图）；</w:t>
            </w:r>
          </w:p>
        </w:tc>
      </w:tr>
      <w:tr w14:paraId="0105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0A588F97">
            <w:pPr>
              <w:jc w:val="center"/>
              <w:rPr>
                <w:rFonts w:hint="eastAsia" w:ascii="仿宋" w:hAnsi="仿宋" w:eastAsia="仿宋"/>
                <w:b w:val="0"/>
                <w:bCs w:val="0"/>
                <w:szCs w:val="21"/>
                <w:lang w:val="en-US" w:eastAsia="zh-CN"/>
              </w:rPr>
            </w:pPr>
          </w:p>
        </w:tc>
        <w:tc>
          <w:tcPr>
            <w:tcW w:w="1476" w:type="dxa"/>
            <w:vMerge w:val="continue"/>
          </w:tcPr>
          <w:p w14:paraId="3AB316A7">
            <w:pPr>
              <w:rPr>
                <w:rFonts w:ascii="仿宋" w:hAnsi="仿宋" w:eastAsia="仿宋"/>
                <w:b w:val="0"/>
                <w:bCs w:val="0"/>
                <w:szCs w:val="21"/>
              </w:rPr>
            </w:pPr>
          </w:p>
        </w:tc>
        <w:tc>
          <w:tcPr>
            <w:tcW w:w="5986" w:type="dxa"/>
          </w:tcPr>
          <w:p w14:paraId="38EB36A9">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7.2.3提供全网集中漏洞扫描及修复技术（包括隔离网络解决方案），提供网络内客户机存在漏洞补丁汇总报告，远程完成系统补丁程序的安装，以解决网内系统漏洞修复问题。修补过程勿须客户机参与，客户机以非管理员权限登录，也能完成漏洞扫描和修复；</w:t>
            </w:r>
          </w:p>
        </w:tc>
      </w:tr>
      <w:tr w14:paraId="4A70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1B6ED5F8">
            <w:pPr>
              <w:jc w:val="center"/>
              <w:rPr>
                <w:rFonts w:hint="eastAsia" w:ascii="仿宋" w:hAnsi="仿宋" w:eastAsia="仿宋"/>
                <w:b w:val="0"/>
                <w:bCs w:val="0"/>
                <w:szCs w:val="21"/>
                <w:lang w:val="en-US" w:eastAsia="zh-CN"/>
              </w:rPr>
            </w:pPr>
          </w:p>
        </w:tc>
        <w:tc>
          <w:tcPr>
            <w:tcW w:w="1476" w:type="dxa"/>
            <w:vMerge w:val="continue"/>
          </w:tcPr>
          <w:p w14:paraId="155C14B2">
            <w:pPr>
              <w:rPr>
                <w:rFonts w:ascii="仿宋" w:hAnsi="仿宋" w:eastAsia="仿宋"/>
                <w:b w:val="0"/>
                <w:bCs w:val="0"/>
                <w:szCs w:val="21"/>
              </w:rPr>
            </w:pPr>
          </w:p>
        </w:tc>
        <w:tc>
          <w:tcPr>
            <w:tcW w:w="5986" w:type="dxa"/>
          </w:tcPr>
          <w:p w14:paraId="5AEEAB2E">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7.2.4▲支持多种分组规则，如IP分组以及支持与AD、LDAP同步功能，可将用户组织架构同步到终端安全管理系统中，依照用户现有架构进行管理。分组支持无限层次分组，支持生成组安装包，安装后自动进入该分组（投标时提供功能截图）；</w:t>
            </w:r>
          </w:p>
        </w:tc>
      </w:tr>
      <w:tr w14:paraId="3FB9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12FAC9F5">
            <w:pPr>
              <w:jc w:val="center"/>
              <w:rPr>
                <w:rFonts w:hint="eastAsia" w:ascii="仿宋" w:hAnsi="仿宋" w:eastAsia="仿宋"/>
                <w:b w:val="0"/>
                <w:bCs w:val="0"/>
                <w:szCs w:val="21"/>
                <w:lang w:val="en-US" w:eastAsia="zh-CN"/>
              </w:rPr>
            </w:pPr>
          </w:p>
        </w:tc>
        <w:tc>
          <w:tcPr>
            <w:tcW w:w="1476" w:type="dxa"/>
            <w:vMerge w:val="continue"/>
          </w:tcPr>
          <w:p w14:paraId="29425CAF">
            <w:pPr>
              <w:rPr>
                <w:rFonts w:ascii="仿宋" w:hAnsi="仿宋" w:eastAsia="仿宋"/>
                <w:b w:val="0"/>
                <w:bCs w:val="0"/>
                <w:szCs w:val="21"/>
              </w:rPr>
            </w:pPr>
          </w:p>
        </w:tc>
        <w:tc>
          <w:tcPr>
            <w:tcW w:w="5986" w:type="dxa"/>
          </w:tcPr>
          <w:p w14:paraId="3FA11B7F">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7.2.5提供隔离网环境下系统补丁汇总与补丁下载同步工具，在隔离网环境下也能够方便快捷的实现补丁同步功能，提供全网补丁的修复下载；</w:t>
            </w:r>
          </w:p>
        </w:tc>
      </w:tr>
      <w:tr w14:paraId="6E95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127CE8A0">
            <w:pPr>
              <w:jc w:val="center"/>
              <w:rPr>
                <w:rFonts w:hint="eastAsia" w:ascii="仿宋" w:hAnsi="仿宋" w:eastAsia="仿宋"/>
                <w:b w:val="0"/>
                <w:bCs w:val="0"/>
                <w:szCs w:val="21"/>
                <w:lang w:val="en-US" w:eastAsia="zh-CN"/>
              </w:rPr>
            </w:pPr>
          </w:p>
        </w:tc>
        <w:tc>
          <w:tcPr>
            <w:tcW w:w="1476" w:type="dxa"/>
            <w:vMerge w:val="continue"/>
          </w:tcPr>
          <w:p w14:paraId="44BC88DA">
            <w:pPr>
              <w:rPr>
                <w:rFonts w:ascii="仿宋" w:hAnsi="仿宋" w:eastAsia="仿宋"/>
                <w:b w:val="0"/>
                <w:bCs w:val="0"/>
                <w:szCs w:val="21"/>
              </w:rPr>
            </w:pPr>
          </w:p>
        </w:tc>
        <w:tc>
          <w:tcPr>
            <w:tcW w:w="5986" w:type="dxa"/>
          </w:tcPr>
          <w:p w14:paraId="38B496FC">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7.2.6一键式部署功能，产品无论主节点所有组件还是二级节点所有组件均提供一键式安装功能，提供快捷高效的产品部署方式（投标时提供功能截图）；</w:t>
            </w:r>
          </w:p>
        </w:tc>
      </w:tr>
      <w:tr w14:paraId="2061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548A58C3">
            <w:pPr>
              <w:jc w:val="center"/>
              <w:rPr>
                <w:rFonts w:hint="eastAsia" w:ascii="仿宋" w:hAnsi="仿宋" w:eastAsia="仿宋"/>
                <w:b w:val="0"/>
                <w:bCs w:val="0"/>
                <w:szCs w:val="21"/>
                <w:lang w:val="en-US" w:eastAsia="zh-CN"/>
              </w:rPr>
            </w:pPr>
          </w:p>
        </w:tc>
        <w:tc>
          <w:tcPr>
            <w:tcW w:w="1476" w:type="dxa"/>
            <w:vMerge w:val="continue"/>
          </w:tcPr>
          <w:p w14:paraId="078B5055">
            <w:pPr>
              <w:rPr>
                <w:rFonts w:ascii="仿宋" w:hAnsi="仿宋" w:eastAsia="仿宋"/>
                <w:b w:val="0"/>
                <w:bCs w:val="0"/>
                <w:szCs w:val="21"/>
              </w:rPr>
            </w:pPr>
          </w:p>
        </w:tc>
        <w:tc>
          <w:tcPr>
            <w:tcW w:w="5986" w:type="dxa"/>
          </w:tcPr>
          <w:p w14:paraId="7CAAC831">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7.2.7软件禁用，支持厂商预设软件库，可做到按类禁用软件。同时可禁用网内计算机尚未安装的软件（投标时提供功能截图）；</w:t>
            </w:r>
          </w:p>
        </w:tc>
      </w:tr>
      <w:tr w14:paraId="570D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303D9A74">
            <w:pPr>
              <w:jc w:val="center"/>
              <w:rPr>
                <w:rFonts w:hint="eastAsia" w:ascii="仿宋" w:hAnsi="仿宋" w:eastAsia="仿宋"/>
                <w:b w:val="0"/>
                <w:bCs w:val="0"/>
                <w:szCs w:val="21"/>
                <w:lang w:val="en-US" w:eastAsia="zh-CN"/>
              </w:rPr>
            </w:pPr>
          </w:p>
        </w:tc>
        <w:tc>
          <w:tcPr>
            <w:tcW w:w="1476" w:type="dxa"/>
            <w:vMerge w:val="continue"/>
          </w:tcPr>
          <w:p w14:paraId="689EB13C">
            <w:pPr>
              <w:rPr>
                <w:rFonts w:ascii="仿宋" w:hAnsi="仿宋" w:eastAsia="仿宋"/>
                <w:b w:val="0"/>
                <w:bCs w:val="0"/>
                <w:szCs w:val="21"/>
              </w:rPr>
            </w:pPr>
          </w:p>
        </w:tc>
        <w:tc>
          <w:tcPr>
            <w:tcW w:w="5986" w:type="dxa"/>
          </w:tcPr>
          <w:p w14:paraId="432E79C4">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7.2.8支持管理员通过控制台，集中实现所有节点上防毒软件的监控、配置、查询等管理，包括Windows、Linux、虚拟化、移动端等系统上的防病毒软件；</w:t>
            </w:r>
          </w:p>
        </w:tc>
      </w:tr>
      <w:tr w14:paraId="0DF8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58E8F636">
            <w:pPr>
              <w:jc w:val="center"/>
              <w:rPr>
                <w:rFonts w:hint="eastAsia" w:ascii="仿宋" w:hAnsi="仿宋" w:eastAsia="仿宋"/>
                <w:b w:val="0"/>
                <w:bCs w:val="0"/>
                <w:szCs w:val="21"/>
                <w:lang w:val="en-US" w:eastAsia="zh-CN"/>
              </w:rPr>
            </w:pPr>
          </w:p>
        </w:tc>
        <w:tc>
          <w:tcPr>
            <w:tcW w:w="1476" w:type="dxa"/>
            <w:vMerge w:val="continue"/>
          </w:tcPr>
          <w:p w14:paraId="1A7E1D45">
            <w:pPr>
              <w:rPr>
                <w:rFonts w:ascii="仿宋" w:hAnsi="仿宋" w:eastAsia="仿宋"/>
                <w:b w:val="0"/>
                <w:bCs w:val="0"/>
                <w:szCs w:val="21"/>
              </w:rPr>
            </w:pPr>
          </w:p>
        </w:tc>
        <w:tc>
          <w:tcPr>
            <w:tcW w:w="5986" w:type="dxa"/>
          </w:tcPr>
          <w:p w14:paraId="7630C3B6">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7.2.9▲客户端具备系统优化功能，能够统计开机时间，对开机所加载的启动项进行管理，可以关闭无需开机就加载的项目，提升开机速度；能够对启动项、系统服务项、计划任务项以及应用程序的扩展加载项进行开启或关闭处理（投标时提供功能截图）；</w:t>
            </w:r>
          </w:p>
        </w:tc>
      </w:tr>
      <w:tr w14:paraId="09DF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5C96C131">
            <w:pPr>
              <w:jc w:val="center"/>
              <w:rPr>
                <w:rFonts w:hint="eastAsia" w:ascii="仿宋" w:hAnsi="仿宋" w:eastAsia="仿宋"/>
                <w:b w:val="0"/>
                <w:bCs w:val="0"/>
                <w:szCs w:val="21"/>
                <w:lang w:val="en-US" w:eastAsia="zh-CN"/>
              </w:rPr>
            </w:pPr>
          </w:p>
        </w:tc>
        <w:tc>
          <w:tcPr>
            <w:tcW w:w="1476" w:type="dxa"/>
            <w:vMerge w:val="continue"/>
          </w:tcPr>
          <w:p w14:paraId="19872F0C">
            <w:pPr>
              <w:rPr>
                <w:rFonts w:ascii="仿宋" w:hAnsi="仿宋" w:eastAsia="仿宋"/>
                <w:b w:val="0"/>
                <w:bCs w:val="0"/>
                <w:szCs w:val="21"/>
              </w:rPr>
            </w:pPr>
          </w:p>
        </w:tc>
        <w:tc>
          <w:tcPr>
            <w:tcW w:w="5986" w:type="dxa"/>
          </w:tcPr>
          <w:p w14:paraId="191F22F8">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7.2.10客户端程序在监控状态占用系统资源CPU不高于10%，内存占用不超过30MB；</w:t>
            </w:r>
          </w:p>
        </w:tc>
      </w:tr>
      <w:tr w14:paraId="0325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779E2195">
            <w:pPr>
              <w:jc w:val="center"/>
              <w:rPr>
                <w:rFonts w:hint="eastAsia" w:ascii="仿宋" w:hAnsi="仿宋" w:eastAsia="仿宋"/>
                <w:b w:val="0"/>
                <w:bCs w:val="0"/>
                <w:szCs w:val="21"/>
                <w:lang w:val="en-US" w:eastAsia="zh-CN"/>
              </w:rPr>
            </w:pPr>
          </w:p>
        </w:tc>
        <w:tc>
          <w:tcPr>
            <w:tcW w:w="1476" w:type="dxa"/>
            <w:vMerge w:val="continue"/>
          </w:tcPr>
          <w:p w14:paraId="361FE75E">
            <w:pPr>
              <w:rPr>
                <w:rFonts w:ascii="仿宋" w:hAnsi="仿宋" w:eastAsia="仿宋"/>
                <w:b w:val="0"/>
                <w:bCs w:val="0"/>
                <w:szCs w:val="21"/>
              </w:rPr>
            </w:pPr>
          </w:p>
        </w:tc>
        <w:tc>
          <w:tcPr>
            <w:tcW w:w="5986" w:type="dxa"/>
          </w:tcPr>
          <w:p w14:paraId="31A5C62A">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7.2.11客户端须提供进程管理功能，可实时查看系统进程，并提供自动验证进程是否可信，支持一键结束进程（投标时提供功能截图）；</w:t>
            </w:r>
          </w:p>
        </w:tc>
      </w:tr>
      <w:tr w14:paraId="37DD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continue"/>
            <w:vAlign w:val="center"/>
          </w:tcPr>
          <w:p w14:paraId="1B6F0CF3">
            <w:pPr>
              <w:jc w:val="center"/>
              <w:rPr>
                <w:rFonts w:hint="eastAsia" w:ascii="仿宋" w:hAnsi="仿宋" w:eastAsia="仿宋"/>
                <w:b w:val="0"/>
                <w:bCs w:val="0"/>
                <w:szCs w:val="21"/>
                <w:lang w:val="en-US" w:eastAsia="zh-CN"/>
              </w:rPr>
            </w:pPr>
          </w:p>
        </w:tc>
        <w:tc>
          <w:tcPr>
            <w:tcW w:w="1476" w:type="dxa"/>
            <w:vMerge w:val="continue"/>
          </w:tcPr>
          <w:p w14:paraId="4340F8EA">
            <w:pPr>
              <w:rPr>
                <w:rFonts w:ascii="仿宋" w:hAnsi="仿宋" w:eastAsia="仿宋"/>
                <w:b w:val="0"/>
                <w:bCs w:val="0"/>
                <w:szCs w:val="21"/>
              </w:rPr>
            </w:pPr>
          </w:p>
        </w:tc>
        <w:tc>
          <w:tcPr>
            <w:tcW w:w="5986" w:type="dxa"/>
          </w:tcPr>
          <w:p w14:paraId="54877107">
            <w:pPr>
              <w:rPr>
                <w:rFonts w:hint="eastAsia" w:ascii="仿宋" w:hAnsi="仿宋" w:eastAsia="仿宋" w:cs="Times New Roman"/>
                <w:b w:val="0"/>
                <w:bCs w:val="0"/>
                <w:szCs w:val="21"/>
                <w:lang w:val="en-US" w:eastAsia="zh-CN"/>
              </w:rPr>
            </w:pPr>
            <w:r>
              <w:rPr>
                <w:rFonts w:hint="eastAsia" w:ascii="仿宋" w:hAnsi="仿宋" w:eastAsia="仿宋" w:cs="Times New Roman"/>
                <w:b w:val="0"/>
                <w:bCs w:val="0"/>
                <w:szCs w:val="21"/>
                <w:lang w:val="en-US" w:eastAsia="zh-CN"/>
              </w:rPr>
              <w:t>7.2.12客户端提供实时和定时检测、清除病毒功能，实时检测和清除来自各种途径的各类恶意代码和特洛伊木马等黑客程序。对来自Internet、E-mail或是光盘、软盘、移动存储、网络等各种入口渠道的宏病毒、特洛伊木马、黑客程序和有害程序等全面进行实时监控。发现病毒后，提供多种处理方法，例如清除、删除或隔离；</w:t>
            </w:r>
          </w:p>
        </w:tc>
      </w:tr>
    </w:tbl>
    <w:p w14:paraId="1172DE09">
      <w:pPr>
        <w:pStyle w:val="14"/>
        <w:widowControl/>
        <w:shd w:val="clear" w:color="auto" w:fill="FFFFFF"/>
        <w:rPr>
          <w:rStyle w:val="20"/>
          <w:rFonts w:hint="eastAsia" w:ascii="宋体" w:hAnsi="宋体"/>
          <w:sz w:val="28"/>
          <w:szCs w:val="28"/>
          <w:shd w:val="clear" w:color="auto" w:fill="FFFFFF"/>
        </w:rPr>
      </w:pPr>
      <w:r>
        <w:rPr>
          <w:rStyle w:val="20"/>
          <w:rFonts w:hint="eastAsia" w:ascii="宋体" w:hAnsi="宋体"/>
          <w:sz w:val="32"/>
          <w:szCs w:val="32"/>
          <w:shd w:val="clear" w:color="auto" w:fill="FFFFFF"/>
        </w:rPr>
        <w:t xml:space="preserve">                 </w:t>
      </w:r>
      <w:r>
        <w:rPr>
          <w:rStyle w:val="20"/>
          <w:rFonts w:hint="eastAsia" w:ascii="宋体" w:hAnsi="宋体"/>
          <w:sz w:val="28"/>
          <w:szCs w:val="28"/>
          <w:shd w:val="clear" w:color="auto" w:fill="FFFFFF"/>
        </w:rPr>
        <w:t xml:space="preserve"> </w:t>
      </w:r>
    </w:p>
    <w:p w14:paraId="50827AE6">
      <w:pPr>
        <w:pStyle w:val="4"/>
        <w:spacing w:before="156" w:beforeLines="50" w:after="156" w:afterLines="50"/>
        <w:rPr>
          <w:rFonts w:hint="eastAsia" w:cs="宋体"/>
          <w:b/>
          <w:bCs/>
          <w:sz w:val="28"/>
          <w:szCs w:val="28"/>
        </w:rPr>
      </w:pPr>
      <w:r>
        <w:rPr>
          <w:rFonts w:hint="eastAsia" w:cs="宋体"/>
          <w:b/>
          <w:bCs/>
          <w:sz w:val="28"/>
          <w:szCs w:val="28"/>
        </w:rPr>
        <w:t>四、商务需求</w:t>
      </w:r>
    </w:p>
    <w:tbl>
      <w:tblPr>
        <w:tblStyle w:val="18"/>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01"/>
        <w:gridCol w:w="6197"/>
      </w:tblGrid>
      <w:tr w14:paraId="7174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28" w:type="dxa"/>
            <w:vAlign w:val="center"/>
          </w:tcPr>
          <w:p w14:paraId="75AC86A4">
            <w:pPr>
              <w:jc w:val="center"/>
              <w:rPr>
                <w:rFonts w:ascii="仿宋" w:hAnsi="仿宋" w:eastAsia="仿宋"/>
                <w:szCs w:val="21"/>
              </w:rPr>
            </w:pPr>
            <w:r>
              <w:rPr>
                <w:rFonts w:hint="eastAsia" w:ascii="仿宋" w:hAnsi="仿宋" w:eastAsia="仿宋"/>
                <w:szCs w:val="21"/>
              </w:rPr>
              <w:t>1</w:t>
            </w:r>
          </w:p>
        </w:tc>
        <w:tc>
          <w:tcPr>
            <w:tcW w:w="1701" w:type="dxa"/>
            <w:vAlign w:val="center"/>
          </w:tcPr>
          <w:p w14:paraId="517ABB38">
            <w:pPr>
              <w:jc w:val="center"/>
              <w:rPr>
                <w:rFonts w:hint="eastAsia" w:ascii="仿宋" w:hAnsi="仿宋" w:eastAsia="仿宋" w:cs="宋体"/>
                <w:kern w:val="0"/>
                <w:sz w:val="20"/>
                <w:szCs w:val="20"/>
              </w:rPr>
            </w:pPr>
            <w:r>
              <w:rPr>
                <w:rFonts w:hint="eastAsia" w:ascii="仿宋" w:hAnsi="仿宋" w:eastAsia="仿宋" w:cs="Times New Roman"/>
                <w:b w:val="0"/>
                <w:bCs w:val="0"/>
                <w:szCs w:val="21"/>
                <w:lang w:val="en-US" w:eastAsia="zh-CN"/>
              </w:rPr>
              <w:t>▲</w:t>
            </w:r>
            <w:r>
              <w:rPr>
                <w:rFonts w:hint="eastAsia" w:ascii="仿宋" w:hAnsi="仿宋" w:eastAsia="仿宋" w:cs="宋体"/>
                <w:kern w:val="0"/>
                <w:sz w:val="20"/>
                <w:szCs w:val="20"/>
              </w:rPr>
              <w:t>服务期</w:t>
            </w:r>
          </w:p>
        </w:tc>
        <w:tc>
          <w:tcPr>
            <w:tcW w:w="6197" w:type="dxa"/>
          </w:tcPr>
          <w:p w14:paraId="26EAA128">
            <w:pPr>
              <w:rPr>
                <w:rFonts w:hint="eastAsia" w:ascii="仿宋" w:hAnsi="仿宋" w:eastAsia="仿宋" w:cs="宋体"/>
                <w:kern w:val="0"/>
                <w:szCs w:val="21"/>
              </w:rPr>
            </w:pPr>
            <w:r>
              <w:rPr>
                <w:rFonts w:hint="eastAsia" w:ascii="仿宋" w:hAnsi="仿宋" w:eastAsia="仿宋" w:cs="宋体"/>
                <w:kern w:val="0"/>
                <w:szCs w:val="21"/>
              </w:rPr>
              <w:t>1.签订合同之日</w:t>
            </w:r>
            <w:r>
              <w:rPr>
                <w:rFonts w:hint="eastAsia" w:ascii="仿宋" w:hAnsi="仿宋" w:eastAsia="仿宋" w:cs="宋体"/>
                <w:kern w:val="0"/>
                <w:szCs w:val="21"/>
                <w:u w:val="none"/>
              </w:rPr>
              <w:t>起</w:t>
            </w:r>
            <w:r>
              <w:rPr>
                <w:rFonts w:hint="eastAsia" w:ascii="仿宋" w:hAnsi="仿宋" w:eastAsia="仿宋" w:cs="宋体"/>
                <w:kern w:val="0"/>
                <w:szCs w:val="21"/>
                <w:u w:val="none"/>
                <w:lang w:val="en-US" w:eastAsia="zh-CN"/>
              </w:rPr>
              <w:t>一年</w:t>
            </w:r>
            <w:r>
              <w:rPr>
                <w:rFonts w:hint="eastAsia" w:ascii="仿宋" w:hAnsi="仿宋" w:eastAsia="仿宋" w:cs="宋体"/>
                <w:kern w:val="0"/>
                <w:szCs w:val="21"/>
              </w:rPr>
              <w:t>。</w:t>
            </w:r>
          </w:p>
          <w:p w14:paraId="1C9C6F27">
            <w:pPr>
              <w:rPr>
                <w:rFonts w:hint="eastAsia" w:ascii="仿宋" w:hAnsi="仿宋" w:eastAsia="仿宋"/>
                <w:bCs/>
                <w:szCs w:val="21"/>
              </w:rPr>
            </w:pPr>
            <w:r>
              <w:rPr>
                <w:rFonts w:hint="eastAsia" w:ascii="仿宋" w:hAnsi="仿宋" w:eastAsia="仿宋" w:cs="宋体"/>
                <w:kern w:val="0"/>
                <w:szCs w:val="21"/>
              </w:rPr>
              <w:t>2.本项目为长期</w:t>
            </w:r>
            <w:r>
              <w:rPr>
                <w:rFonts w:hint="eastAsia" w:ascii="仿宋" w:hAnsi="仿宋" w:eastAsia="仿宋" w:cs="宋体"/>
                <w:kern w:val="0"/>
                <w:szCs w:val="21"/>
                <w:lang w:val="en-US" w:eastAsia="zh-CN"/>
              </w:rPr>
              <w:t>服务</w:t>
            </w:r>
            <w:r>
              <w:rPr>
                <w:rFonts w:hint="eastAsia" w:ascii="仿宋" w:hAnsi="仿宋" w:eastAsia="仿宋" w:cs="宋体"/>
                <w:kern w:val="0"/>
                <w:szCs w:val="21"/>
              </w:rPr>
              <w:t>项目，合同一年一签，合同期满中标人服务达到要求经采购人</w:t>
            </w:r>
            <w:r>
              <w:rPr>
                <w:rFonts w:hint="eastAsia" w:ascii="仿宋" w:hAnsi="仿宋" w:eastAsia="仿宋" w:cs="宋体"/>
                <w:kern w:val="0"/>
                <w:szCs w:val="21"/>
                <w:lang w:val="en-US" w:eastAsia="zh-CN"/>
              </w:rPr>
              <w:t>验收合格且</w:t>
            </w:r>
            <w:r>
              <w:rPr>
                <w:rFonts w:hint="eastAsia" w:ascii="仿宋" w:hAnsi="仿宋" w:eastAsia="仿宋" w:cs="宋体"/>
                <w:kern w:val="0"/>
                <w:szCs w:val="21"/>
              </w:rPr>
              <w:t>同意可续签合同，但合同履行期限最长不得超过</w:t>
            </w:r>
            <w:r>
              <w:rPr>
                <w:rFonts w:hint="eastAsia" w:ascii="仿宋" w:hAnsi="仿宋" w:eastAsia="仿宋" w:cs="宋体"/>
                <w:kern w:val="0"/>
                <w:szCs w:val="21"/>
                <w:lang w:val="en-US" w:eastAsia="zh-CN"/>
              </w:rPr>
              <w:t>三十六</w:t>
            </w:r>
            <w:r>
              <w:rPr>
                <w:rFonts w:hint="eastAsia" w:ascii="仿宋" w:hAnsi="仿宋" w:eastAsia="仿宋" w:cs="宋体"/>
                <w:kern w:val="0"/>
                <w:szCs w:val="21"/>
              </w:rPr>
              <w:t>个月。如采购人对履约情况不满意，不再续约。</w:t>
            </w:r>
          </w:p>
        </w:tc>
      </w:tr>
      <w:tr w14:paraId="51A5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28" w:type="dxa"/>
            <w:vAlign w:val="center"/>
          </w:tcPr>
          <w:p w14:paraId="60A36AE4">
            <w:pPr>
              <w:jc w:val="center"/>
              <w:rPr>
                <w:rFonts w:ascii="仿宋" w:hAnsi="仿宋" w:eastAsia="仿宋"/>
                <w:szCs w:val="21"/>
              </w:rPr>
            </w:pPr>
            <w:r>
              <w:rPr>
                <w:rFonts w:hint="eastAsia" w:ascii="仿宋" w:hAnsi="仿宋" w:eastAsia="仿宋"/>
                <w:szCs w:val="21"/>
              </w:rPr>
              <w:t>2</w:t>
            </w:r>
          </w:p>
        </w:tc>
        <w:tc>
          <w:tcPr>
            <w:tcW w:w="1701" w:type="dxa"/>
            <w:vAlign w:val="center"/>
          </w:tcPr>
          <w:p w14:paraId="7416CCAC">
            <w:pPr>
              <w:jc w:val="center"/>
              <w:rPr>
                <w:rFonts w:ascii="仿宋" w:hAnsi="仿宋" w:eastAsia="仿宋"/>
                <w:szCs w:val="21"/>
              </w:rPr>
            </w:pPr>
            <w:r>
              <w:rPr>
                <w:rFonts w:hint="eastAsia" w:ascii="仿宋" w:hAnsi="仿宋" w:eastAsia="仿宋"/>
                <w:szCs w:val="21"/>
              </w:rPr>
              <w:t>关于验收</w:t>
            </w:r>
          </w:p>
        </w:tc>
        <w:tc>
          <w:tcPr>
            <w:tcW w:w="6197" w:type="dxa"/>
          </w:tcPr>
          <w:p w14:paraId="64B96000">
            <w:pPr>
              <w:spacing w:line="340" w:lineRule="exact"/>
              <w:rPr>
                <w:rFonts w:ascii="仿宋" w:hAnsi="仿宋" w:eastAsia="仿宋"/>
                <w:bCs/>
                <w:szCs w:val="21"/>
              </w:rPr>
            </w:pPr>
            <w:r>
              <w:rPr>
                <w:rFonts w:hint="eastAsia" w:ascii="仿宋" w:hAnsi="仿宋" w:eastAsia="仿宋"/>
                <w:bCs/>
                <w:szCs w:val="21"/>
              </w:rPr>
              <w:t>当满足以下条件时，采购人才向中标人签发</w:t>
            </w:r>
            <w:r>
              <w:rPr>
                <w:rFonts w:hint="eastAsia" w:ascii="仿宋" w:hAnsi="仿宋" w:eastAsia="仿宋"/>
                <w:bCs/>
                <w:szCs w:val="21"/>
                <w:lang w:val="en-US" w:eastAsia="zh-CN"/>
              </w:rPr>
              <w:t>服务</w:t>
            </w:r>
            <w:r>
              <w:rPr>
                <w:rFonts w:hint="eastAsia" w:ascii="仿宋" w:hAnsi="仿宋" w:eastAsia="仿宋"/>
                <w:bCs/>
                <w:szCs w:val="21"/>
              </w:rPr>
              <w:t>验收报告：</w:t>
            </w:r>
          </w:p>
          <w:p w14:paraId="2F298461">
            <w:pPr>
              <w:tabs>
                <w:tab w:val="left" w:pos="1260"/>
              </w:tabs>
              <w:spacing w:line="340" w:lineRule="exact"/>
              <w:rPr>
                <w:rFonts w:ascii="仿宋" w:hAnsi="仿宋" w:eastAsia="仿宋"/>
                <w:bCs/>
                <w:szCs w:val="21"/>
              </w:rPr>
            </w:pPr>
            <w:r>
              <w:rPr>
                <w:rFonts w:hint="eastAsia" w:ascii="仿宋" w:hAnsi="仿宋" w:eastAsia="仿宋"/>
                <w:bCs/>
                <w:szCs w:val="21"/>
                <w:lang w:val="en-US" w:eastAsia="zh-CN"/>
              </w:rPr>
              <w:t>1.</w:t>
            </w:r>
            <w:r>
              <w:rPr>
                <w:rFonts w:hint="eastAsia" w:ascii="仿宋" w:hAnsi="仿宋" w:eastAsia="仿宋"/>
                <w:bCs/>
                <w:szCs w:val="21"/>
              </w:rPr>
              <w:t>中标人已按照合同规定提供了全部服务。</w:t>
            </w:r>
          </w:p>
          <w:p w14:paraId="17F72133">
            <w:pPr>
              <w:tabs>
                <w:tab w:val="left" w:pos="1260"/>
              </w:tabs>
              <w:spacing w:line="340" w:lineRule="exact"/>
              <w:rPr>
                <w:rFonts w:ascii="仿宋" w:hAnsi="仿宋" w:eastAsia="仿宋"/>
                <w:bCs/>
                <w:szCs w:val="21"/>
              </w:rPr>
            </w:pPr>
            <w:r>
              <w:rPr>
                <w:rFonts w:hint="eastAsia" w:ascii="仿宋" w:hAnsi="仿宋" w:eastAsia="仿宋"/>
                <w:bCs/>
                <w:szCs w:val="21"/>
                <w:lang w:val="en-US" w:eastAsia="zh-CN"/>
              </w:rPr>
              <w:t>2.</w:t>
            </w:r>
            <w:r>
              <w:rPr>
                <w:rFonts w:hint="eastAsia" w:ascii="仿宋" w:hAnsi="仿宋" w:eastAsia="仿宋"/>
                <w:bCs/>
                <w:szCs w:val="21"/>
              </w:rPr>
              <w:t>中标人提供的服务符合招标文件技术、商务的要求。</w:t>
            </w:r>
          </w:p>
        </w:tc>
      </w:tr>
      <w:tr w14:paraId="0CE8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28" w:type="dxa"/>
            <w:vAlign w:val="center"/>
          </w:tcPr>
          <w:p w14:paraId="425A05A0">
            <w:pPr>
              <w:jc w:val="center"/>
              <w:rPr>
                <w:rFonts w:ascii="仿宋" w:hAnsi="仿宋" w:eastAsia="仿宋"/>
                <w:szCs w:val="21"/>
              </w:rPr>
            </w:pPr>
            <w:r>
              <w:rPr>
                <w:rFonts w:hint="eastAsia" w:ascii="仿宋" w:hAnsi="仿宋" w:eastAsia="仿宋"/>
                <w:szCs w:val="21"/>
              </w:rPr>
              <w:t>3</w:t>
            </w:r>
          </w:p>
        </w:tc>
        <w:tc>
          <w:tcPr>
            <w:tcW w:w="1701" w:type="dxa"/>
            <w:vAlign w:val="center"/>
          </w:tcPr>
          <w:p w14:paraId="344CB19D">
            <w:pPr>
              <w:jc w:val="center"/>
              <w:rPr>
                <w:rFonts w:ascii="仿宋" w:hAnsi="仿宋" w:eastAsia="仿宋"/>
                <w:szCs w:val="21"/>
              </w:rPr>
            </w:pPr>
            <w:r>
              <w:rPr>
                <w:rFonts w:hint="eastAsia" w:ascii="仿宋" w:hAnsi="仿宋" w:eastAsia="仿宋" w:cs="Times New Roman"/>
                <w:b w:val="0"/>
                <w:bCs w:val="0"/>
                <w:szCs w:val="21"/>
                <w:lang w:val="en-US" w:eastAsia="zh-CN"/>
              </w:rPr>
              <w:t>▲</w:t>
            </w:r>
            <w:r>
              <w:rPr>
                <w:rFonts w:hint="eastAsia" w:ascii="仿宋" w:hAnsi="仿宋" w:eastAsia="仿宋"/>
                <w:szCs w:val="21"/>
              </w:rPr>
              <w:t>付款方式</w:t>
            </w:r>
          </w:p>
        </w:tc>
        <w:tc>
          <w:tcPr>
            <w:tcW w:w="6197" w:type="dxa"/>
            <w:vAlign w:val="center"/>
          </w:tcPr>
          <w:p w14:paraId="59E6E952">
            <w:pPr>
              <w:rPr>
                <w:rFonts w:hint="eastAsia" w:ascii="仿宋" w:hAnsi="仿宋" w:eastAsia="仿宋" w:cs="宋体"/>
                <w:kern w:val="0"/>
                <w:szCs w:val="21"/>
              </w:rPr>
            </w:pPr>
            <w:r>
              <w:rPr>
                <w:rFonts w:hint="eastAsia" w:ascii="仿宋" w:hAnsi="仿宋" w:eastAsia="仿宋" w:cs="宋体"/>
                <w:kern w:val="0"/>
                <w:szCs w:val="21"/>
              </w:rPr>
              <w:t>本项目采用分期付款方式。</w:t>
            </w:r>
          </w:p>
          <w:p w14:paraId="07670B9B">
            <w:pPr>
              <w:numPr>
                <w:ilvl w:val="0"/>
                <w:numId w:val="2"/>
              </w:numPr>
              <w:rPr>
                <w:rFonts w:hint="eastAsia" w:ascii="仿宋" w:hAnsi="仿宋" w:eastAsia="仿宋" w:cs="宋体"/>
                <w:kern w:val="0"/>
                <w:szCs w:val="21"/>
              </w:rPr>
            </w:pPr>
            <w:r>
              <w:rPr>
                <w:rFonts w:hint="eastAsia" w:ascii="仿宋" w:hAnsi="仿宋" w:eastAsia="仿宋" w:cs="宋体"/>
                <w:kern w:val="0"/>
                <w:szCs w:val="21"/>
              </w:rPr>
              <w:t>合同签订生效后，乙方开始服务工作。乙方在向甲方提供合同总额</w:t>
            </w:r>
            <w:r>
              <w:rPr>
                <w:rFonts w:hint="eastAsia" w:ascii="仿宋" w:hAnsi="仿宋" w:eastAsia="仿宋" w:cs="宋体"/>
                <w:kern w:val="0"/>
                <w:szCs w:val="21"/>
                <w:lang w:val="en-US" w:eastAsia="zh-CN"/>
              </w:rPr>
              <w:t>5</w:t>
            </w:r>
            <w:r>
              <w:rPr>
                <w:rFonts w:hint="eastAsia" w:ascii="仿宋" w:hAnsi="仿宋" w:eastAsia="仿宋" w:cs="宋体"/>
                <w:kern w:val="0"/>
                <w:szCs w:val="21"/>
              </w:rPr>
              <w:t>0%的</w:t>
            </w:r>
            <w:r>
              <w:rPr>
                <w:rFonts w:hint="eastAsia" w:ascii="仿宋" w:hAnsi="仿宋" w:eastAsia="仿宋" w:cs="宋体"/>
                <w:kern w:val="0"/>
                <w:szCs w:val="21"/>
                <w:lang w:val="en-US" w:eastAsia="zh-CN"/>
              </w:rPr>
              <w:t>首期</w:t>
            </w:r>
            <w:r>
              <w:rPr>
                <w:rFonts w:hint="eastAsia" w:ascii="仿宋" w:hAnsi="仿宋" w:eastAsia="仿宋" w:cs="宋体"/>
                <w:kern w:val="0"/>
                <w:szCs w:val="21"/>
              </w:rPr>
              <w:t>付款申请、付款所需要的材料后15个工作日内，甲方向乙方指定账户支付相应款项。</w:t>
            </w:r>
          </w:p>
          <w:p w14:paraId="09768729">
            <w:pPr>
              <w:numPr>
                <w:ilvl w:val="0"/>
                <w:numId w:val="2"/>
              </w:numPr>
              <w:rPr>
                <w:rFonts w:ascii="仿宋" w:hAnsi="仿宋" w:eastAsia="仿宋" w:cs="宋体"/>
                <w:szCs w:val="21"/>
              </w:rPr>
            </w:pPr>
            <w:r>
              <w:rPr>
                <w:rFonts w:hint="eastAsia" w:ascii="仿宋" w:hAnsi="仿宋" w:eastAsia="仿宋" w:cs="宋体"/>
                <w:kern w:val="0"/>
                <w:szCs w:val="21"/>
              </w:rPr>
              <w:t>服务</w:t>
            </w:r>
            <w:r>
              <w:rPr>
                <w:rFonts w:hint="eastAsia" w:ascii="仿宋" w:hAnsi="仿宋" w:eastAsia="仿宋" w:cs="宋体"/>
                <w:kern w:val="0"/>
                <w:szCs w:val="21"/>
                <w:lang w:val="en-US" w:eastAsia="zh-CN"/>
              </w:rPr>
              <w:t>期满半年后，</w:t>
            </w:r>
            <w:r>
              <w:rPr>
                <w:rFonts w:hint="eastAsia" w:ascii="仿宋" w:hAnsi="仿宋" w:eastAsia="仿宋" w:cs="宋体"/>
                <w:kern w:val="0"/>
                <w:szCs w:val="21"/>
              </w:rPr>
              <w:t>经甲方</w:t>
            </w:r>
            <w:r>
              <w:rPr>
                <w:rFonts w:hint="eastAsia" w:ascii="仿宋" w:hAnsi="仿宋" w:eastAsia="仿宋" w:cs="宋体"/>
                <w:kern w:val="0"/>
                <w:szCs w:val="21"/>
                <w:lang w:val="en-US" w:eastAsia="zh-CN"/>
              </w:rPr>
              <w:t>对前半年履约情况评价合格后</w:t>
            </w:r>
            <w:r>
              <w:rPr>
                <w:rFonts w:hint="eastAsia" w:ascii="仿宋" w:hAnsi="仿宋" w:eastAsia="仿宋" w:cs="宋体"/>
                <w:kern w:val="0"/>
                <w:szCs w:val="21"/>
              </w:rPr>
              <w:t>，乙方在向甲方提供合同总额</w:t>
            </w:r>
            <w:r>
              <w:rPr>
                <w:rFonts w:hint="eastAsia" w:ascii="仿宋" w:hAnsi="仿宋" w:eastAsia="仿宋" w:cs="宋体"/>
                <w:kern w:val="0"/>
                <w:szCs w:val="21"/>
                <w:lang w:val="en-US" w:eastAsia="zh-CN"/>
              </w:rPr>
              <w:t>5</w:t>
            </w:r>
            <w:r>
              <w:rPr>
                <w:rFonts w:hint="eastAsia" w:ascii="仿宋" w:hAnsi="仿宋" w:eastAsia="仿宋" w:cs="宋体"/>
                <w:kern w:val="0"/>
                <w:szCs w:val="21"/>
              </w:rPr>
              <w:t>0%的尾款付款申请、付款所需要的材料后15个工作日内，甲方向乙方指定账户支付相应款项。</w:t>
            </w:r>
          </w:p>
        </w:tc>
      </w:tr>
      <w:tr w14:paraId="1578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28" w:type="dxa"/>
            <w:vAlign w:val="center"/>
          </w:tcPr>
          <w:p w14:paraId="41A65062">
            <w:pPr>
              <w:jc w:val="center"/>
              <w:rPr>
                <w:rFonts w:hint="eastAsia" w:ascii="仿宋" w:hAnsi="仿宋" w:eastAsia="仿宋" w:cs="宋体"/>
                <w:kern w:val="0"/>
                <w:szCs w:val="21"/>
                <w:lang w:eastAsia="zh-CN"/>
              </w:rPr>
            </w:pPr>
            <w:r>
              <w:rPr>
                <w:rFonts w:hint="eastAsia" w:ascii="仿宋" w:hAnsi="仿宋" w:eastAsia="仿宋" w:cs="宋体"/>
                <w:kern w:val="0"/>
                <w:szCs w:val="21"/>
                <w:lang w:val="en-US" w:eastAsia="zh-CN"/>
              </w:rPr>
              <w:t>4</w:t>
            </w:r>
          </w:p>
        </w:tc>
        <w:tc>
          <w:tcPr>
            <w:tcW w:w="1701" w:type="dxa"/>
            <w:vAlign w:val="center"/>
          </w:tcPr>
          <w:p w14:paraId="2D3C7A95">
            <w:pPr>
              <w:jc w:val="center"/>
              <w:rPr>
                <w:rFonts w:hint="eastAsia" w:ascii="仿宋" w:hAnsi="仿宋" w:eastAsia="仿宋" w:cs="宋体"/>
                <w:kern w:val="0"/>
                <w:szCs w:val="21"/>
              </w:rPr>
            </w:pPr>
            <w:r>
              <w:rPr>
                <w:rFonts w:hint="eastAsia" w:ascii="仿宋" w:hAnsi="仿宋" w:eastAsia="仿宋" w:cs="宋体"/>
                <w:szCs w:val="21"/>
              </w:rPr>
              <w:t>★</w:t>
            </w:r>
            <w:r>
              <w:rPr>
                <w:rFonts w:hint="eastAsia" w:ascii="仿宋" w:hAnsi="仿宋" w:eastAsia="仿宋" w:cs="宋体"/>
                <w:kern w:val="0"/>
                <w:szCs w:val="21"/>
              </w:rPr>
              <w:t>诚信履约</w:t>
            </w:r>
          </w:p>
        </w:tc>
        <w:tc>
          <w:tcPr>
            <w:tcW w:w="6197" w:type="dxa"/>
            <w:vAlign w:val="center"/>
          </w:tcPr>
          <w:p w14:paraId="6F4F0906">
            <w:pPr>
              <w:rPr>
                <w:rFonts w:hint="eastAsia" w:ascii="仿宋" w:hAnsi="仿宋" w:eastAsia="仿宋" w:cs="宋体"/>
                <w:szCs w:val="21"/>
              </w:rPr>
            </w:pPr>
            <w:r>
              <w:rPr>
                <w:rFonts w:hint="eastAsia" w:ascii="仿宋" w:hAnsi="仿宋" w:eastAsia="仿宋" w:cs="宋体"/>
                <w:szCs w:val="21"/>
              </w:rPr>
              <w:t>投标人承诺</w:t>
            </w:r>
            <w:r>
              <w:rPr>
                <w:rFonts w:ascii="仿宋" w:hAnsi="仿宋" w:eastAsia="仿宋" w:cs="宋体"/>
                <w:szCs w:val="21"/>
              </w:rPr>
              <w:t>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bl>
    <w:p w14:paraId="6B211720">
      <w:pPr>
        <w:rPr>
          <w:rFonts w:hint="eastAsia" w:ascii="宋体" w:hAnsi="宋体" w:cs="宋体"/>
          <w:sz w:val="24"/>
        </w:rPr>
      </w:pPr>
      <w:bookmarkStart w:id="8" w:name="bt附件"/>
      <w:bookmarkEnd w:id="8"/>
      <w:bookmarkStart w:id="9" w:name="bt投标书"/>
      <w:bookmarkEnd w:id="9"/>
    </w:p>
    <w:p w14:paraId="44006512">
      <w:pPr>
        <w:pStyle w:val="2"/>
      </w:pPr>
      <w:r>
        <w:rPr>
          <w:rFonts w:hint="eastAsia"/>
        </w:rPr>
        <w:t>第三章  投标文件格式</w:t>
      </w:r>
    </w:p>
    <w:p w14:paraId="3942278F">
      <w:pPr>
        <w:rPr>
          <w:rStyle w:val="25"/>
          <w:rFonts w:ascii="宋体" w:hAnsi="宋体" w:eastAsia="宋体" w:cs="宋体"/>
          <w:sz w:val="28"/>
          <w:szCs w:val="28"/>
        </w:rPr>
      </w:pPr>
      <w:r>
        <w:rPr>
          <w:rStyle w:val="25"/>
          <w:rFonts w:hint="eastAsia" w:ascii="宋体" w:hAnsi="宋体" w:eastAsia="宋体" w:cs="宋体"/>
          <w:b/>
          <w:bCs w:val="0"/>
          <w:sz w:val="28"/>
          <w:szCs w:val="28"/>
        </w:rPr>
        <w:t>投标文件组成：</w:t>
      </w:r>
    </w:p>
    <w:p w14:paraId="41F4484E">
      <w:pPr>
        <w:rPr>
          <w:rFonts w:ascii="宋体" w:hAnsi="宋体" w:cs="宋体"/>
          <w:sz w:val="24"/>
        </w:rPr>
      </w:pPr>
    </w:p>
    <w:p w14:paraId="34A1D588">
      <w:pPr>
        <w:rPr>
          <w:rFonts w:ascii="宋体" w:hAnsi="宋体" w:cs="宋体"/>
          <w:sz w:val="24"/>
        </w:rPr>
      </w:pPr>
      <w:r>
        <w:rPr>
          <w:rFonts w:hint="eastAsia" w:ascii="宋体" w:hAnsi="宋体" w:cs="宋体"/>
          <w:sz w:val="24"/>
        </w:rPr>
        <w:t>目录</w:t>
      </w:r>
    </w:p>
    <w:p w14:paraId="4DC412EF">
      <w:pPr>
        <w:rPr>
          <w:rFonts w:ascii="宋体" w:hAnsi="宋体" w:cs="宋体"/>
          <w:sz w:val="24"/>
        </w:rPr>
      </w:pPr>
    </w:p>
    <w:p w14:paraId="7E2587CE">
      <w:pPr>
        <w:rPr>
          <w:rFonts w:ascii="宋体" w:hAnsi="宋体" w:cs="宋体"/>
          <w:sz w:val="24"/>
        </w:rPr>
      </w:pPr>
      <w:r>
        <w:rPr>
          <w:rFonts w:hint="eastAsia" w:ascii="宋体" w:hAnsi="宋体" w:cs="宋体"/>
          <w:szCs w:val="21"/>
        </w:rPr>
        <w:t>开标一览表</w:t>
      </w:r>
    </w:p>
    <w:p w14:paraId="0793D89C">
      <w:pPr>
        <w:rPr>
          <w:rFonts w:ascii="宋体" w:hAnsi="宋体" w:cs="宋体"/>
          <w:szCs w:val="21"/>
        </w:rPr>
      </w:pPr>
      <w:r>
        <w:rPr>
          <w:rFonts w:hint="eastAsia" w:ascii="宋体" w:hAnsi="宋体" w:cs="宋体"/>
          <w:szCs w:val="21"/>
        </w:rPr>
        <w:t>一、评标指引表</w:t>
      </w:r>
    </w:p>
    <w:p w14:paraId="6358A171">
      <w:pPr>
        <w:rPr>
          <w:rFonts w:ascii="宋体" w:hAnsi="宋体" w:cs="宋体"/>
          <w:szCs w:val="21"/>
        </w:rPr>
      </w:pPr>
      <w:r>
        <w:rPr>
          <w:rFonts w:hint="eastAsia" w:ascii="宋体" w:hAnsi="宋体" w:cs="宋体"/>
          <w:szCs w:val="21"/>
        </w:rPr>
        <w:t>二、法定代表人（负责人）证明书</w:t>
      </w:r>
    </w:p>
    <w:p w14:paraId="6CA6B821">
      <w:pPr>
        <w:rPr>
          <w:rFonts w:ascii="宋体" w:hAnsi="宋体" w:cs="宋体"/>
          <w:szCs w:val="21"/>
        </w:rPr>
      </w:pPr>
      <w:r>
        <w:rPr>
          <w:rFonts w:hint="eastAsia" w:ascii="宋体" w:hAnsi="宋体" w:cs="宋体"/>
          <w:szCs w:val="21"/>
        </w:rPr>
        <w:t>三、投标文件签署授权委托书</w:t>
      </w:r>
    </w:p>
    <w:p w14:paraId="43CDBA42">
      <w:pPr>
        <w:rPr>
          <w:rFonts w:ascii="宋体" w:hAnsi="宋体" w:cs="宋体"/>
          <w:szCs w:val="21"/>
        </w:rPr>
      </w:pPr>
      <w:r>
        <w:rPr>
          <w:rFonts w:hint="eastAsia" w:ascii="宋体" w:hAnsi="宋体" w:cs="宋体"/>
          <w:szCs w:val="21"/>
        </w:rPr>
        <w:t>四、投标承诺函</w:t>
      </w:r>
    </w:p>
    <w:p w14:paraId="3BEED5A0">
      <w:pPr>
        <w:rPr>
          <w:rFonts w:ascii="宋体" w:hAnsi="宋体" w:cs="宋体"/>
          <w:szCs w:val="21"/>
        </w:rPr>
      </w:pPr>
      <w:r>
        <w:rPr>
          <w:rFonts w:hint="eastAsia" w:ascii="宋体" w:hAnsi="宋体" w:cs="宋体"/>
          <w:szCs w:val="21"/>
        </w:rPr>
        <w:t>五、投标人情况介绍</w:t>
      </w:r>
    </w:p>
    <w:p w14:paraId="31C8D84B">
      <w:pPr>
        <w:rPr>
          <w:rFonts w:ascii="宋体" w:hAnsi="宋体" w:cs="宋体"/>
          <w:szCs w:val="21"/>
        </w:rPr>
      </w:pPr>
      <w:r>
        <w:rPr>
          <w:rFonts w:hint="eastAsia" w:ascii="宋体" w:hAnsi="宋体" w:cs="宋体"/>
          <w:szCs w:val="21"/>
        </w:rPr>
        <w:t>六、分项报价清单表</w:t>
      </w:r>
    </w:p>
    <w:p w14:paraId="2F7CED33">
      <w:pPr>
        <w:rPr>
          <w:rFonts w:ascii="宋体" w:hAnsi="宋体" w:cs="宋体"/>
          <w:szCs w:val="21"/>
        </w:rPr>
      </w:pPr>
      <w:r>
        <w:rPr>
          <w:rFonts w:hint="eastAsia" w:ascii="宋体" w:hAnsi="宋体" w:cs="宋体"/>
          <w:szCs w:val="21"/>
        </w:rPr>
        <w:t>七、技术规格偏离表</w:t>
      </w:r>
    </w:p>
    <w:p w14:paraId="70061E9B">
      <w:pPr>
        <w:rPr>
          <w:rFonts w:ascii="宋体" w:hAnsi="宋体" w:cs="宋体"/>
          <w:szCs w:val="21"/>
        </w:rPr>
      </w:pPr>
      <w:r>
        <w:rPr>
          <w:rFonts w:hint="eastAsia" w:ascii="宋体" w:hAnsi="宋体" w:cs="宋体"/>
          <w:szCs w:val="21"/>
        </w:rPr>
        <w:t>八、商务需求偏离表</w:t>
      </w:r>
    </w:p>
    <w:p w14:paraId="119579AD">
      <w:pPr>
        <w:rPr>
          <w:rFonts w:ascii="宋体" w:hAnsi="宋体" w:cs="宋体"/>
          <w:szCs w:val="21"/>
        </w:rPr>
      </w:pPr>
      <w:r>
        <w:rPr>
          <w:rFonts w:hint="eastAsia" w:ascii="宋体" w:hAnsi="宋体" w:cs="宋体"/>
          <w:szCs w:val="21"/>
        </w:rPr>
        <w:t>九、</w:t>
      </w:r>
      <w:r>
        <w:rPr>
          <w:rFonts w:hint="eastAsia" w:ascii="宋体" w:hAnsi="宋体" w:cs="宋体"/>
          <w:szCs w:val="21"/>
          <w:lang w:val="en-US" w:eastAsia="zh-CN"/>
        </w:rPr>
        <w:t>实施方案</w:t>
      </w:r>
    </w:p>
    <w:p w14:paraId="30C9B768">
      <w:pPr>
        <w:rPr>
          <w:rFonts w:hint="eastAsia" w:ascii="宋体" w:hAnsi="宋体" w:cs="宋体"/>
          <w:szCs w:val="21"/>
          <w:lang w:val="en-US" w:eastAsia="zh-CN"/>
        </w:rPr>
      </w:pPr>
      <w:r>
        <w:rPr>
          <w:rFonts w:hint="eastAsia" w:ascii="宋体" w:hAnsi="宋体" w:cs="宋体"/>
          <w:szCs w:val="21"/>
        </w:rPr>
        <w:t>十、</w:t>
      </w:r>
      <w:r>
        <w:rPr>
          <w:rFonts w:hint="eastAsia" w:ascii="宋体" w:hAnsi="宋体" w:cs="宋体"/>
          <w:szCs w:val="21"/>
          <w:lang w:val="en-US" w:eastAsia="zh-CN"/>
        </w:rPr>
        <w:t>质量保障措施方案</w:t>
      </w:r>
    </w:p>
    <w:p w14:paraId="3879AB0F">
      <w:pPr>
        <w:rPr>
          <w:rFonts w:ascii="宋体" w:hAnsi="宋体" w:cs="宋体"/>
          <w:szCs w:val="21"/>
        </w:rPr>
      </w:pPr>
      <w:r>
        <w:rPr>
          <w:rFonts w:hint="eastAsia" w:ascii="宋体" w:hAnsi="宋体" w:cs="宋体"/>
          <w:szCs w:val="21"/>
        </w:rPr>
        <w:t>十一、其他</w:t>
      </w:r>
    </w:p>
    <w:p w14:paraId="23A2EF02">
      <w:pPr>
        <w:rPr>
          <w:rFonts w:ascii="宋体" w:hAnsi="宋体" w:cs="宋体"/>
          <w:sz w:val="24"/>
        </w:rPr>
      </w:pPr>
    </w:p>
    <w:p w14:paraId="3E9BCA3D">
      <w:pPr>
        <w:outlineLvl w:val="1"/>
        <w:rPr>
          <w:rFonts w:ascii="宋体" w:hAnsi="宋体" w:cs="宋体"/>
          <w:b/>
          <w:sz w:val="28"/>
          <w:szCs w:val="28"/>
        </w:rPr>
      </w:pPr>
      <w:r>
        <w:rPr>
          <w:rFonts w:hint="eastAsia" w:ascii="宋体" w:hAnsi="宋体" w:cs="宋体"/>
          <w:b/>
          <w:sz w:val="28"/>
          <w:szCs w:val="28"/>
        </w:rPr>
        <w:t>投标文件格式：</w:t>
      </w:r>
    </w:p>
    <w:p w14:paraId="7750819F">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14:paraId="4F09F107">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14:paraId="4DC7D2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14:paraId="250CBA32">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14:paraId="772FAB9A">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投标报价/折扣率</w:t>
            </w:r>
          </w:p>
        </w:tc>
        <w:tc>
          <w:tcPr>
            <w:tcW w:w="2217" w:type="dxa"/>
            <w:tcBorders>
              <w:top w:val="double" w:color="auto" w:sz="4" w:space="0"/>
              <w:bottom w:val="single" w:color="auto" w:sz="4" w:space="0"/>
            </w:tcBorders>
            <w:vAlign w:val="center"/>
          </w:tcPr>
          <w:p w14:paraId="38EFFBD8">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14:paraId="09ABE6D6">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14:paraId="7F48D5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14:paraId="327B40FE">
            <w:pPr>
              <w:rPr>
                <w:rFonts w:ascii="宋体" w:hAnsi="宋体" w:cs="宋体"/>
                <w:snapToGrid w:val="0"/>
                <w:color w:val="000000"/>
                <w:kern w:val="0"/>
                <w:szCs w:val="22"/>
                <w:u w:val="single"/>
              </w:rPr>
            </w:pPr>
          </w:p>
        </w:tc>
        <w:tc>
          <w:tcPr>
            <w:tcW w:w="2603" w:type="dxa"/>
            <w:tcBorders>
              <w:top w:val="single" w:color="auto" w:sz="4" w:space="0"/>
            </w:tcBorders>
            <w:vAlign w:val="center"/>
          </w:tcPr>
          <w:p w14:paraId="5C614D5E">
            <w:pPr>
              <w:rPr>
                <w:rFonts w:ascii="宋体" w:hAnsi="宋体" w:cs="宋体"/>
                <w:szCs w:val="21"/>
              </w:rPr>
            </w:pPr>
            <w:r>
              <w:rPr>
                <w:rFonts w:hint="eastAsia" w:ascii="宋体" w:hAnsi="宋体" w:cs="宋体"/>
                <w:szCs w:val="21"/>
              </w:rPr>
              <w:t>大写：</w:t>
            </w:r>
          </w:p>
          <w:p w14:paraId="449FA25B">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14:paraId="751D4D7C">
            <w:pPr>
              <w:ind w:firstLine="281" w:firstLineChars="100"/>
              <w:rPr>
                <w:rFonts w:ascii="宋体" w:hAnsi="宋体" w:cs="宋体"/>
                <w:color w:val="000000"/>
                <w:kern w:val="0"/>
                <w:szCs w:val="21"/>
                <w:lang w:val="zh-CN"/>
              </w:rPr>
            </w:pP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14:paraId="6A424D41">
            <w:pPr>
              <w:rPr>
                <w:rFonts w:ascii="宋体" w:hAnsi="宋体" w:cs="宋体"/>
                <w:snapToGrid w:val="0"/>
                <w:color w:val="000000"/>
                <w:kern w:val="0"/>
                <w:szCs w:val="22"/>
              </w:rPr>
            </w:pPr>
          </w:p>
        </w:tc>
      </w:tr>
    </w:tbl>
    <w:p w14:paraId="6AF20C43">
      <w:pPr>
        <w:rPr>
          <w:rFonts w:ascii="宋体" w:hAnsi="宋体" w:cs="宋体"/>
          <w:snapToGrid w:val="0"/>
          <w:color w:val="000000"/>
          <w:kern w:val="0"/>
          <w:szCs w:val="22"/>
        </w:rPr>
      </w:pPr>
    </w:p>
    <w:p w14:paraId="209B48FF">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14:paraId="662D781A">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14:paraId="6DEF31C3">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14:paraId="2F2C893E">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14:paraId="094A6699">
      <w:pPr>
        <w:snapToGrid w:val="0"/>
        <w:ind w:firstLine="411" w:firstLineChars="196"/>
        <w:rPr>
          <w:rFonts w:ascii="宋体" w:hAnsi="宋体" w:cs="宋体"/>
          <w:szCs w:val="21"/>
        </w:rPr>
      </w:pPr>
    </w:p>
    <w:p w14:paraId="2AB78871">
      <w:pPr>
        <w:ind w:firstLine="420"/>
        <w:rPr>
          <w:rFonts w:ascii="宋体" w:hAnsi="宋体" w:cs="宋体"/>
          <w:szCs w:val="22"/>
        </w:rPr>
      </w:pPr>
    </w:p>
    <w:p w14:paraId="69492E85">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14:paraId="5EFFAB49">
      <w:pPr>
        <w:ind w:right="2100" w:rightChars="1000"/>
        <w:jc w:val="right"/>
        <w:rPr>
          <w:rFonts w:ascii="宋体" w:hAnsi="宋体" w:cs="宋体"/>
          <w:snapToGrid w:val="0"/>
          <w:kern w:val="0"/>
          <w:szCs w:val="22"/>
        </w:rPr>
      </w:pPr>
    </w:p>
    <w:p w14:paraId="458672E0">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14:paraId="2B90F5EA">
      <w:pPr>
        <w:pStyle w:val="17"/>
      </w:pPr>
    </w:p>
    <w:p w14:paraId="79778FDD">
      <w:pPr>
        <w:pStyle w:val="3"/>
        <w:numPr>
          <w:ilvl w:val="0"/>
          <w:numId w:val="3"/>
        </w:numPr>
        <w:jc w:val="center"/>
        <w:rPr>
          <w:rFonts w:cs="宋体"/>
          <w:b/>
          <w:bCs/>
          <w:kern w:val="0"/>
          <w:sz w:val="28"/>
          <w:szCs w:val="28"/>
        </w:rPr>
      </w:pPr>
      <w:r>
        <w:rPr>
          <w:rFonts w:hint="eastAsia" w:cs="宋体"/>
          <w:b/>
          <w:bCs/>
          <w:kern w:val="0"/>
          <w:sz w:val="28"/>
          <w:szCs w:val="28"/>
        </w:rPr>
        <w:t>评标指引表</w:t>
      </w:r>
    </w:p>
    <w:tbl>
      <w:tblPr>
        <w:tblStyle w:val="18"/>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14:paraId="3168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0FB82915">
            <w:pPr>
              <w:jc w:val="center"/>
              <w:rPr>
                <w:color w:val="000000"/>
                <w:szCs w:val="22"/>
              </w:rPr>
            </w:pPr>
            <w:r>
              <w:rPr>
                <w:rFonts w:hint="eastAsia"/>
                <w:b/>
                <w:bCs/>
                <w:color w:val="000000"/>
                <w:szCs w:val="22"/>
              </w:rPr>
              <w:t>一、资格性审查指引</w:t>
            </w:r>
          </w:p>
        </w:tc>
      </w:tr>
      <w:tr w14:paraId="683A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1A44A3CF">
            <w:pPr>
              <w:jc w:val="center"/>
              <w:rPr>
                <w:b/>
                <w:color w:val="000000"/>
                <w:szCs w:val="22"/>
              </w:rPr>
            </w:pPr>
            <w:r>
              <w:rPr>
                <w:rFonts w:hint="eastAsia"/>
                <w:b/>
                <w:color w:val="000000"/>
                <w:szCs w:val="22"/>
              </w:rPr>
              <w:t>序号</w:t>
            </w:r>
          </w:p>
        </w:tc>
        <w:tc>
          <w:tcPr>
            <w:tcW w:w="3786" w:type="dxa"/>
            <w:gridSpan w:val="2"/>
            <w:vAlign w:val="center"/>
          </w:tcPr>
          <w:p w14:paraId="59FE4B97">
            <w:pPr>
              <w:jc w:val="center"/>
              <w:rPr>
                <w:b/>
                <w:color w:val="000000"/>
                <w:szCs w:val="22"/>
              </w:rPr>
            </w:pPr>
            <w:r>
              <w:rPr>
                <w:rFonts w:hint="eastAsia"/>
                <w:b/>
                <w:color w:val="000000"/>
                <w:szCs w:val="22"/>
              </w:rPr>
              <w:t>资格性检查项目</w:t>
            </w:r>
          </w:p>
        </w:tc>
        <w:tc>
          <w:tcPr>
            <w:tcW w:w="3490" w:type="dxa"/>
            <w:gridSpan w:val="2"/>
            <w:vAlign w:val="center"/>
          </w:tcPr>
          <w:p w14:paraId="614CF7CE">
            <w:pPr>
              <w:jc w:val="center"/>
              <w:rPr>
                <w:b/>
                <w:color w:val="000000"/>
                <w:szCs w:val="22"/>
              </w:rPr>
            </w:pPr>
            <w:r>
              <w:rPr>
                <w:rFonts w:hint="eastAsia"/>
                <w:b/>
                <w:color w:val="000000"/>
                <w:szCs w:val="22"/>
              </w:rPr>
              <w:t>证明文件</w:t>
            </w:r>
          </w:p>
        </w:tc>
        <w:tc>
          <w:tcPr>
            <w:tcW w:w="1358" w:type="dxa"/>
            <w:gridSpan w:val="2"/>
            <w:vAlign w:val="center"/>
          </w:tcPr>
          <w:p w14:paraId="54ED80E1">
            <w:pPr>
              <w:jc w:val="center"/>
              <w:rPr>
                <w:b/>
                <w:color w:val="000000"/>
                <w:szCs w:val="22"/>
              </w:rPr>
            </w:pPr>
            <w:r>
              <w:rPr>
                <w:rFonts w:hint="eastAsia"/>
                <w:b/>
                <w:color w:val="000000"/>
                <w:szCs w:val="22"/>
              </w:rPr>
              <w:t>起止页码</w:t>
            </w:r>
          </w:p>
        </w:tc>
      </w:tr>
      <w:tr w14:paraId="44C2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14:paraId="5CD04F16">
            <w:pPr>
              <w:jc w:val="center"/>
              <w:rPr>
                <w:b/>
                <w:color w:val="000000"/>
                <w:szCs w:val="22"/>
              </w:rPr>
            </w:pPr>
            <w:r>
              <w:rPr>
                <w:rFonts w:hint="eastAsia"/>
                <w:b/>
                <w:color w:val="000000"/>
                <w:szCs w:val="22"/>
              </w:rPr>
              <w:t>1</w:t>
            </w:r>
          </w:p>
        </w:tc>
        <w:tc>
          <w:tcPr>
            <w:tcW w:w="3786" w:type="dxa"/>
            <w:gridSpan w:val="2"/>
            <w:vMerge w:val="restart"/>
            <w:vAlign w:val="center"/>
          </w:tcPr>
          <w:p w14:paraId="59BDF3DB">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14:paraId="761F0207">
            <w:pPr>
              <w:jc w:val="center"/>
              <w:rPr>
                <w:color w:val="000000"/>
                <w:szCs w:val="22"/>
              </w:rPr>
            </w:pPr>
            <w:r>
              <w:rPr>
                <w:rFonts w:hint="eastAsia"/>
                <w:color w:val="000000"/>
                <w:szCs w:val="22"/>
              </w:rPr>
              <w:t>营业执照</w:t>
            </w:r>
          </w:p>
        </w:tc>
        <w:tc>
          <w:tcPr>
            <w:tcW w:w="1358" w:type="dxa"/>
            <w:gridSpan w:val="2"/>
            <w:vAlign w:val="center"/>
          </w:tcPr>
          <w:p w14:paraId="7EDD3790">
            <w:pPr>
              <w:jc w:val="center"/>
              <w:rPr>
                <w:b/>
                <w:color w:val="000000"/>
                <w:szCs w:val="22"/>
              </w:rPr>
            </w:pPr>
          </w:p>
        </w:tc>
      </w:tr>
      <w:tr w14:paraId="47C6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464AD6B2">
            <w:pPr>
              <w:jc w:val="center"/>
              <w:rPr>
                <w:b/>
                <w:color w:val="000000"/>
                <w:szCs w:val="22"/>
              </w:rPr>
            </w:pPr>
          </w:p>
        </w:tc>
        <w:tc>
          <w:tcPr>
            <w:tcW w:w="3786" w:type="dxa"/>
            <w:gridSpan w:val="2"/>
            <w:vMerge w:val="continue"/>
            <w:vAlign w:val="center"/>
          </w:tcPr>
          <w:p w14:paraId="7E99E407">
            <w:pPr>
              <w:jc w:val="center"/>
              <w:rPr>
                <w:color w:val="000000"/>
                <w:szCs w:val="22"/>
              </w:rPr>
            </w:pPr>
          </w:p>
        </w:tc>
        <w:tc>
          <w:tcPr>
            <w:tcW w:w="3490" w:type="dxa"/>
            <w:gridSpan w:val="2"/>
            <w:vAlign w:val="center"/>
          </w:tcPr>
          <w:p w14:paraId="72167425">
            <w:pPr>
              <w:jc w:val="center"/>
              <w:rPr>
                <w:color w:val="000000"/>
                <w:szCs w:val="22"/>
              </w:rPr>
            </w:pPr>
          </w:p>
        </w:tc>
        <w:tc>
          <w:tcPr>
            <w:tcW w:w="1358" w:type="dxa"/>
            <w:gridSpan w:val="2"/>
            <w:vAlign w:val="center"/>
          </w:tcPr>
          <w:p w14:paraId="47AF97C7">
            <w:pPr>
              <w:jc w:val="center"/>
              <w:rPr>
                <w:b/>
                <w:color w:val="000000"/>
                <w:szCs w:val="22"/>
              </w:rPr>
            </w:pPr>
          </w:p>
        </w:tc>
      </w:tr>
      <w:tr w14:paraId="50F2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192966DD">
            <w:pPr>
              <w:jc w:val="center"/>
              <w:rPr>
                <w:b/>
                <w:color w:val="000000"/>
                <w:szCs w:val="22"/>
              </w:rPr>
            </w:pPr>
          </w:p>
        </w:tc>
        <w:tc>
          <w:tcPr>
            <w:tcW w:w="3786" w:type="dxa"/>
            <w:gridSpan w:val="2"/>
            <w:vMerge w:val="continue"/>
            <w:vAlign w:val="center"/>
          </w:tcPr>
          <w:p w14:paraId="56ABEBE8">
            <w:pPr>
              <w:jc w:val="center"/>
              <w:rPr>
                <w:color w:val="000000"/>
                <w:szCs w:val="22"/>
              </w:rPr>
            </w:pPr>
          </w:p>
        </w:tc>
        <w:tc>
          <w:tcPr>
            <w:tcW w:w="3490" w:type="dxa"/>
            <w:gridSpan w:val="2"/>
            <w:vAlign w:val="center"/>
          </w:tcPr>
          <w:p w14:paraId="388B0D44">
            <w:pPr>
              <w:jc w:val="center"/>
              <w:rPr>
                <w:color w:val="000000"/>
                <w:szCs w:val="22"/>
              </w:rPr>
            </w:pPr>
            <w:r>
              <w:rPr>
                <w:rFonts w:hint="eastAsia"/>
                <w:color w:val="000000"/>
                <w:szCs w:val="22"/>
              </w:rPr>
              <w:t>...</w:t>
            </w:r>
          </w:p>
        </w:tc>
        <w:tc>
          <w:tcPr>
            <w:tcW w:w="1358" w:type="dxa"/>
            <w:gridSpan w:val="2"/>
            <w:vAlign w:val="center"/>
          </w:tcPr>
          <w:p w14:paraId="746A998F">
            <w:pPr>
              <w:jc w:val="center"/>
              <w:rPr>
                <w:b/>
                <w:color w:val="000000"/>
                <w:szCs w:val="22"/>
              </w:rPr>
            </w:pPr>
          </w:p>
        </w:tc>
      </w:tr>
      <w:tr w14:paraId="1D2A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2C5E9C9B">
            <w:pPr>
              <w:jc w:val="center"/>
              <w:rPr>
                <w:b/>
                <w:color w:val="000000"/>
                <w:szCs w:val="22"/>
              </w:rPr>
            </w:pPr>
            <w:r>
              <w:rPr>
                <w:rFonts w:hint="eastAsia"/>
                <w:b/>
                <w:bCs/>
                <w:color w:val="000000"/>
                <w:szCs w:val="22"/>
              </w:rPr>
              <w:t>二、符合性审查指引</w:t>
            </w:r>
          </w:p>
        </w:tc>
      </w:tr>
      <w:tr w14:paraId="1925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322377B5">
            <w:pPr>
              <w:jc w:val="center"/>
              <w:rPr>
                <w:b/>
                <w:color w:val="000000"/>
                <w:szCs w:val="22"/>
              </w:rPr>
            </w:pPr>
            <w:r>
              <w:rPr>
                <w:rFonts w:hint="eastAsia"/>
                <w:b/>
                <w:color w:val="000000"/>
                <w:szCs w:val="22"/>
              </w:rPr>
              <w:t>序号</w:t>
            </w:r>
          </w:p>
        </w:tc>
        <w:tc>
          <w:tcPr>
            <w:tcW w:w="5854" w:type="dxa"/>
            <w:gridSpan w:val="3"/>
            <w:vAlign w:val="center"/>
          </w:tcPr>
          <w:p w14:paraId="1AF5FD43">
            <w:pPr>
              <w:jc w:val="center"/>
              <w:rPr>
                <w:b/>
                <w:color w:val="000000"/>
                <w:szCs w:val="22"/>
              </w:rPr>
            </w:pPr>
            <w:r>
              <w:rPr>
                <w:rFonts w:hint="eastAsia"/>
                <w:b/>
                <w:color w:val="000000"/>
                <w:szCs w:val="22"/>
              </w:rPr>
              <w:t>符合性审查项目</w:t>
            </w:r>
          </w:p>
        </w:tc>
        <w:tc>
          <w:tcPr>
            <w:tcW w:w="1566" w:type="dxa"/>
            <w:gridSpan w:val="2"/>
            <w:vAlign w:val="center"/>
          </w:tcPr>
          <w:p w14:paraId="46F425F9">
            <w:pPr>
              <w:jc w:val="center"/>
              <w:rPr>
                <w:b/>
                <w:color w:val="000000"/>
                <w:szCs w:val="22"/>
              </w:rPr>
            </w:pPr>
            <w:r>
              <w:rPr>
                <w:rFonts w:hint="eastAsia"/>
                <w:b/>
                <w:color w:val="000000"/>
                <w:szCs w:val="22"/>
              </w:rPr>
              <w:t>说明</w:t>
            </w:r>
          </w:p>
          <w:p w14:paraId="6705AEF8">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14:paraId="7EEFF144">
            <w:pPr>
              <w:widowControl/>
              <w:jc w:val="left"/>
              <w:rPr>
                <w:b/>
                <w:color w:val="000000"/>
                <w:szCs w:val="22"/>
              </w:rPr>
            </w:pPr>
            <w:r>
              <w:rPr>
                <w:rFonts w:hint="eastAsia"/>
                <w:b/>
                <w:color w:val="000000"/>
                <w:szCs w:val="22"/>
              </w:rPr>
              <w:t>起止页码</w:t>
            </w:r>
          </w:p>
        </w:tc>
      </w:tr>
      <w:tr w14:paraId="3290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2AB20DCD">
            <w:pPr>
              <w:jc w:val="center"/>
            </w:pPr>
            <w:r>
              <w:rPr>
                <w:rFonts w:hint="eastAsia"/>
              </w:rPr>
              <w:t>2</w:t>
            </w:r>
          </w:p>
        </w:tc>
        <w:tc>
          <w:tcPr>
            <w:tcW w:w="5854" w:type="dxa"/>
            <w:gridSpan w:val="3"/>
          </w:tcPr>
          <w:p w14:paraId="66B3C1CD">
            <w:r>
              <w:rPr>
                <w:rFonts w:hint="eastAsia"/>
              </w:rPr>
              <w:t>未按招标文件对投标文件组成的要求提供投标文件的（投标文件组成不完整）或未按规定密封、签字、盖章；</w:t>
            </w:r>
          </w:p>
        </w:tc>
        <w:tc>
          <w:tcPr>
            <w:tcW w:w="1566" w:type="dxa"/>
            <w:gridSpan w:val="2"/>
            <w:vAlign w:val="center"/>
          </w:tcPr>
          <w:p w14:paraId="0592EF19">
            <w:pPr>
              <w:jc w:val="center"/>
              <w:rPr>
                <w:szCs w:val="22"/>
              </w:rPr>
            </w:pPr>
          </w:p>
        </w:tc>
        <w:tc>
          <w:tcPr>
            <w:tcW w:w="1214" w:type="dxa"/>
            <w:vAlign w:val="center"/>
          </w:tcPr>
          <w:p w14:paraId="5A0E7507">
            <w:pPr>
              <w:jc w:val="center"/>
              <w:rPr>
                <w:szCs w:val="22"/>
              </w:rPr>
            </w:pPr>
          </w:p>
        </w:tc>
      </w:tr>
      <w:tr w14:paraId="136A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3905A6CB">
            <w:pPr>
              <w:jc w:val="center"/>
            </w:pPr>
            <w:r>
              <w:rPr>
                <w:rFonts w:hint="eastAsia"/>
              </w:rPr>
              <w:t>3</w:t>
            </w:r>
          </w:p>
        </w:tc>
        <w:tc>
          <w:tcPr>
            <w:tcW w:w="5854" w:type="dxa"/>
            <w:gridSpan w:val="3"/>
          </w:tcPr>
          <w:p w14:paraId="245C55D7">
            <w:r>
              <w:rPr>
                <w:rFonts w:hint="eastAsia"/>
              </w:rPr>
              <w:t>《技术规格偏离表》或《商务需求偏离表》填写不全或不实</w:t>
            </w:r>
          </w:p>
        </w:tc>
        <w:tc>
          <w:tcPr>
            <w:tcW w:w="1566" w:type="dxa"/>
            <w:gridSpan w:val="2"/>
            <w:vAlign w:val="center"/>
          </w:tcPr>
          <w:p w14:paraId="118A5BAB">
            <w:pPr>
              <w:jc w:val="center"/>
              <w:rPr>
                <w:szCs w:val="22"/>
              </w:rPr>
            </w:pPr>
          </w:p>
        </w:tc>
        <w:tc>
          <w:tcPr>
            <w:tcW w:w="1214" w:type="dxa"/>
            <w:vAlign w:val="center"/>
          </w:tcPr>
          <w:p w14:paraId="147F78A5">
            <w:pPr>
              <w:jc w:val="center"/>
              <w:rPr>
                <w:szCs w:val="22"/>
              </w:rPr>
            </w:pPr>
          </w:p>
        </w:tc>
      </w:tr>
      <w:tr w14:paraId="3758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5E1E3C66">
            <w:pPr>
              <w:jc w:val="center"/>
            </w:pPr>
            <w:r>
              <w:rPr>
                <w:rFonts w:hint="eastAsia"/>
              </w:rPr>
              <w:t>4</w:t>
            </w:r>
          </w:p>
        </w:tc>
        <w:tc>
          <w:tcPr>
            <w:tcW w:w="5854" w:type="dxa"/>
            <w:gridSpan w:val="3"/>
          </w:tcPr>
          <w:p w14:paraId="6A31CE10">
            <w:r>
              <w:rPr>
                <w:rFonts w:hint="eastAsia"/>
              </w:rPr>
              <w:t>投标总价高于预算限额的或报价低于其成本且不能做出合理说明</w:t>
            </w:r>
          </w:p>
        </w:tc>
        <w:tc>
          <w:tcPr>
            <w:tcW w:w="1566" w:type="dxa"/>
            <w:gridSpan w:val="2"/>
            <w:vAlign w:val="center"/>
          </w:tcPr>
          <w:p w14:paraId="29C42F4C">
            <w:pPr>
              <w:jc w:val="center"/>
              <w:rPr>
                <w:szCs w:val="22"/>
              </w:rPr>
            </w:pPr>
          </w:p>
        </w:tc>
        <w:tc>
          <w:tcPr>
            <w:tcW w:w="1214" w:type="dxa"/>
            <w:vAlign w:val="center"/>
          </w:tcPr>
          <w:p w14:paraId="5D0D88DB">
            <w:pPr>
              <w:jc w:val="center"/>
              <w:rPr>
                <w:szCs w:val="22"/>
              </w:rPr>
            </w:pPr>
          </w:p>
        </w:tc>
      </w:tr>
      <w:tr w14:paraId="30E1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14BC0D30">
            <w:pPr>
              <w:jc w:val="center"/>
            </w:pPr>
            <w:r>
              <w:rPr>
                <w:rFonts w:hint="eastAsia"/>
              </w:rPr>
              <w:t>5</w:t>
            </w:r>
          </w:p>
        </w:tc>
        <w:tc>
          <w:tcPr>
            <w:tcW w:w="5854" w:type="dxa"/>
            <w:gridSpan w:val="3"/>
          </w:tcPr>
          <w:p w14:paraId="2F9E1E7E">
            <w:r>
              <w:rPr>
                <w:rFonts w:hint="eastAsia"/>
              </w:rPr>
              <w:t>投标报价有严重缺漏项目</w:t>
            </w:r>
          </w:p>
        </w:tc>
        <w:tc>
          <w:tcPr>
            <w:tcW w:w="1566" w:type="dxa"/>
            <w:gridSpan w:val="2"/>
            <w:vAlign w:val="center"/>
          </w:tcPr>
          <w:p w14:paraId="45958080">
            <w:pPr>
              <w:jc w:val="center"/>
              <w:rPr>
                <w:b/>
                <w:szCs w:val="22"/>
              </w:rPr>
            </w:pPr>
          </w:p>
        </w:tc>
        <w:tc>
          <w:tcPr>
            <w:tcW w:w="1214" w:type="dxa"/>
            <w:vAlign w:val="center"/>
          </w:tcPr>
          <w:p w14:paraId="4E21AA50">
            <w:pPr>
              <w:jc w:val="center"/>
              <w:rPr>
                <w:b/>
                <w:szCs w:val="22"/>
              </w:rPr>
            </w:pPr>
          </w:p>
        </w:tc>
      </w:tr>
      <w:tr w14:paraId="2A50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5D2F2204">
            <w:pPr>
              <w:jc w:val="center"/>
            </w:pPr>
            <w:r>
              <w:rPr>
                <w:rFonts w:hint="eastAsia"/>
              </w:rPr>
              <w:t>6</w:t>
            </w:r>
          </w:p>
        </w:tc>
        <w:tc>
          <w:tcPr>
            <w:tcW w:w="5854" w:type="dxa"/>
            <w:gridSpan w:val="3"/>
          </w:tcPr>
          <w:p w14:paraId="2EA82639">
            <w:r>
              <w:rPr>
                <w:rFonts w:hint="eastAsia"/>
              </w:rPr>
              <w:t>投标文件载明的交货期超过招标文件规定的期限或免费保修期低于招标文件规定的期限</w:t>
            </w:r>
          </w:p>
        </w:tc>
        <w:tc>
          <w:tcPr>
            <w:tcW w:w="1566" w:type="dxa"/>
            <w:gridSpan w:val="2"/>
            <w:vAlign w:val="center"/>
          </w:tcPr>
          <w:p w14:paraId="482F207F">
            <w:pPr>
              <w:jc w:val="center"/>
              <w:rPr>
                <w:b/>
                <w:szCs w:val="22"/>
              </w:rPr>
            </w:pPr>
          </w:p>
        </w:tc>
        <w:tc>
          <w:tcPr>
            <w:tcW w:w="1214" w:type="dxa"/>
            <w:vAlign w:val="center"/>
          </w:tcPr>
          <w:p w14:paraId="3CB84C99">
            <w:pPr>
              <w:jc w:val="center"/>
              <w:rPr>
                <w:b/>
                <w:szCs w:val="22"/>
              </w:rPr>
            </w:pPr>
          </w:p>
        </w:tc>
      </w:tr>
      <w:tr w14:paraId="2C16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4A61C60C">
            <w:pPr>
              <w:jc w:val="center"/>
            </w:pPr>
            <w:r>
              <w:rPr>
                <w:rFonts w:hint="eastAsia"/>
              </w:rPr>
              <w:t>7</w:t>
            </w:r>
          </w:p>
        </w:tc>
        <w:tc>
          <w:tcPr>
            <w:tcW w:w="5854" w:type="dxa"/>
            <w:gridSpan w:val="3"/>
          </w:tcPr>
          <w:p w14:paraId="70F946AD">
            <w:r>
              <w:rPr>
                <w:rFonts w:hint="eastAsia"/>
              </w:rPr>
              <w:t>所投产品、工程、服务在质量、技术、方案等方面没有实质性满足招标文件要求</w:t>
            </w:r>
          </w:p>
        </w:tc>
        <w:tc>
          <w:tcPr>
            <w:tcW w:w="1566" w:type="dxa"/>
            <w:gridSpan w:val="2"/>
            <w:vAlign w:val="center"/>
          </w:tcPr>
          <w:p w14:paraId="23F48BF8">
            <w:pPr>
              <w:jc w:val="center"/>
              <w:rPr>
                <w:b/>
                <w:szCs w:val="22"/>
              </w:rPr>
            </w:pPr>
          </w:p>
        </w:tc>
        <w:tc>
          <w:tcPr>
            <w:tcW w:w="1214" w:type="dxa"/>
            <w:vAlign w:val="center"/>
          </w:tcPr>
          <w:p w14:paraId="64BC63C2">
            <w:pPr>
              <w:jc w:val="center"/>
              <w:rPr>
                <w:b/>
                <w:szCs w:val="22"/>
              </w:rPr>
            </w:pPr>
          </w:p>
        </w:tc>
      </w:tr>
      <w:tr w14:paraId="549C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447921E8">
            <w:pPr>
              <w:jc w:val="center"/>
              <w:rPr>
                <w:b/>
                <w:color w:val="000000"/>
                <w:szCs w:val="22"/>
              </w:rPr>
            </w:pPr>
            <w:r>
              <w:rPr>
                <w:rFonts w:hint="eastAsia"/>
                <w:b/>
                <w:color w:val="000000"/>
                <w:szCs w:val="22"/>
              </w:rPr>
              <w:t>三、综合评分指引</w:t>
            </w:r>
          </w:p>
        </w:tc>
      </w:tr>
      <w:tr w14:paraId="3D3A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14:paraId="39F32A69">
            <w:pPr>
              <w:jc w:val="center"/>
              <w:rPr>
                <w:b/>
                <w:color w:val="000000"/>
                <w:szCs w:val="22"/>
              </w:rPr>
            </w:pPr>
            <w:r>
              <w:rPr>
                <w:rFonts w:hint="eastAsia"/>
                <w:b/>
                <w:color w:val="000000"/>
                <w:szCs w:val="22"/>
              </w:rPr>
              <w:t>评分类别</w:t>
            </w:r>
          </w:p>
        </w:tc>
        <w:tc>
          <w:tcPr>
            <w:tcW w:w="5510" w:type="dxa"/>
            <w:gridSpan w:val="2"/>
            <w:vAlign w:val="center"/>
          </w:tcPr>
          <w:p w14:paraId="592088F4">
            <w:pPr>
              <w:jc w:val="center"/>
              <w:rPr>
                <w:b/>
                <w:color w:val="000000"/>
                <w:szCs w:val="22"/>
              </w:rPr>
            </w:pPr>
            <w:r>
              <w:rPr>
                <w:rFonts w:hint="eastAsia"/>
                <w:b/>
                <w:color w:val="000000"/>
                <w:szCs w:val="22"/>
              </w:rPr>
              <w:t>评分项目</w:t>
            </w:r>
          </w:p>
        </w:tc>
        <w:tc>
          <w:tcPr>
            <w:tcW w:w="1422" w:type="dxa"/>
            <w:vAlign w:val="center"/>
          </w:tcPr>
          <w:p w14:paraId="4F83A487">
            <w:pPr>
              <w:jc w:val="center"/>
              <w:rPr>
                <w:b/>
                <w:color w:val="000000"/>
                <w:szCs w:val="22"/>
              </w:rPr>
            </w:pPr>
            <w:r>
              <w:rPr>
                <w:rFonts w:hint="eastAsia"/>
                <w:b/>
                <w:color w:val="000000"/>
                <w:szCs w:val="22"/>
              </w:rPr>
              <w:t>对应章节</w:t>
            </w:r>
          </w:p>
        </w:tc>
        <w:tc>
          <w:tcPr>
            <w:tcW w:w="1358" w:type="dxa"/>
            <w:gridSpan w:val="2"/>
            <w:vAlign w:val="center"/>
          </w:tcPr>
          <w:p w14:paraId="38FED62F">
            <w:pPr>
              <w:jc w:val="center"/>
              <w:rPr>
                <w:b/>
                <w:color w:val="000000"/>
                <w:szCs w:val="22"/>
              </w:rPr>
            </w:pPr>
            <w:r>
              <w:rPr>
                <w:rFonts w:hint="eastAsia"/>
                <w:b/>
                <w:color w:val="000000"/>
                <w:szCs w:val="22"/>
              </w:rPr>
              <w:t>起止页码</w:t>
            </w:r>
          </w:p>
        </w:tc>
      </w:tr>
      <w:tr w14:paraId="2BA2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14:paraId="7BDEA4E6">
            <w:pPr>
              <w:jc w:val="center"/>
              <w:rPr>
                <w:b/>
                <w:color w:val="000000"/>
                <w:szCs w:val="22"/>
              </w:rPr>
            </w:pPr>
            <w:r>
              <w:rPr>
                <w:rFonts w:hint="eastAsia"/>
                <w:b/>
                <w:color w:val="000000"/>
                <w:szCs w:val="22"/>
              </w:rPr>
              <w:t>技术部分</w:t>
            </w:r>
          </w:p>
        </w:tc>
        <w:tc>
          <w:tcPr>
            <w:tcW w:w="5510" w:type="dxa"/>
            <w:gridSpan w:val="2"/>
            <w:vAlign w:val="center"/>
          </w:tcPr>
          <w:p w14:paraId="5CE09718">
            <w:pPr>
              <w:rPr>
                <w:rFonts w:ascii="宋体" w:hAnsi="宋体" w:cs="宋体"/>
                <w:color w:val="000000"/>
                <w:szCs w:val="21"/>
              </w:rPr>
            </w:pPr>
          </w:p>
        </w:tc>
        <w:tc>
          <w:tcPr>
            <w:tcW w:w="1422" w:type="dxa"/>
          </w:tcPr>
          <w:p w14:paraId="4E3930C1">
            <w:pPr>
              <w:jc w:val="center"/>
              <w:rPr>
                <w:b/>
                <w:color w:val="000000"/>
                <w:szCs w:val="22"/>
              </w:rPr>
            </w:pPr>
          </w:p>
        </w:tc>
        <w:tc>
          <w:tcPr>
            <w:tcW w:w="1358" w:type="dxa"/>
            <w:gridSpan w:val="2"/>
          </w:tcPr>
          <w:p w14:paraId="307B6086">
            <w:pPr>
              <w:jc w:val="center"/>
              <w:rPr>
                <w:b/>
                <w:color w:val="000000"/>
                <w:szCs w:val="22"/>
              </w:rPr>
            </w:pPr>
          </w:p>
        </w:tc>
      </w:tr>
      <w:tr w14:paraId="67A0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6FDDD69B">
            <w:pPr>
              <w:jc w:val="center"/>
              <w:rPr>
                <w:b/>
                <w:color w:val="000000"/>
                <w:szCs w:val="22"/>
              </w:rPr>
            </w:pPr>
          </w:p>
        </w:tc>
        <w:tc>
          <w:tcPr>
            <w:tcW w:w="5510" w:type="dxa"/>
            <w:gridSpan w:val="2"/>
            <w:vAlign w:val="center"/>
          </w:tcPr>
          <w:p w14:paraId="22262C42">
            <w:pPr>
              <w:rPr>
                <w:rFonts w:ascii="宋体" w:hAnsi="宋体" w:cs="宋体"/>
                <w:color w:val="000000"/>
                <w:szCs w:val="21"/>
              </w:rPr>
            </w:pPr>
          </w:p>
        </w:tc>
        <w:tc>
          <w:tcPr>
            <w:tcW w:w="1422" w:type="dxa"/>
          </w:tcPr>
          <w:p w14:paraId="380E83F7">
            <w:pPr>
              <w:jc w:val="center"/>
              <w:rPr>
                <w:b/>
                <w:color w:val="000000"/>
                <w:szCs w:val="22"/>
              </w:rPr>
            </w:pPr>
          </w:p>
        </w:tc>
        <w:tc>
          <w:tcPr>
            <w:tcW w:w="1358" w:type="dxa"/>
            <w:gridSpan w:val="2"/>
          </w:tcPr>
          <w:p w14:paraId="70E64B2A">
            <w:pPr>
              <w:jc w:val="center"/>
              <w:rPr>
                <w:b/>
                <w:color w:val="000000"/>
                <w:szCs w:val="22"/>
              </w:rPr>
            </w:pPr>
          </w:p>
        </w:tc>
      </w:tr>
      <w:tr w14:paraId="570D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7C0F14FA">
            <w:pPr>
              <w:jc w:val="center"/>
              <w:rPr>
                <w:b/>
                <w:color w:val="000000"/>
                <w:szCs w:val="22"/>
              </w:rPr>
            </w:pPr>
          </w:p>
        </w:tc>
        <w:tc>
          <w:tcPr>
            <w:tcW w:w="5510" w:type="dxa"/>
            <w:gridSpan w:val="2"/>
            <w:vAlign w:val="center"/>
          </w:tcPr>
          <w:p w14:paraId="302A1448">
            <w:pPr>
              <w:rPr>
                <w:rFonts w:ascii="宋体" w:hAnsi="宋体" w:cs="宋体"/>
                <w:color w:val="000000"/>
                <w:szCs w:val="21"/>
              </w:rPr>
            </w:pPr>
          </w:p>
        </w:tc>
        <w:tc>
          <w:tcPr>
            <w:tcW w:w="1422" w:type="dxa"/>
          </w:tcPr>
          <w:p w14:paraId="0A63D748">
            <w:pPr>
              <w:jc w:val="center"/>
              <w:rPr>
                <w:b/>
                <w:color w:val="000000"/>
                <w:szCs w:val="22"/>
              </w:rPr>
            </w:pPr>
          </w:p>
        </w:tc>
        <w:tc>
          <w:tcPr>
            <w:tcW w:w="1358" w:type="dxa"/>
            <w:gridSpan w:val="2"/>
          </w:tcPr>
          <w:p w14:paraId="3602067C">
            <w:pPr>
              <w:jc w:val="center"/>
              <w:rPr>
                <w:b/>
                <w:color w:val="000000"/>
                <w:szCs w:val="22"/>
              </w:rPr>
            </w:pPr>
          </w:p>
        </w:tc>
      </w:tr>
      <w:tr w14:paraId="1636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14:paraId="0A53AE72">
            <w:pPr>
              <w:jc w:val="center"/>
              <w:rPr>
                <w:b/>
                <w:color w:val="000000"/>
                <w:szCs w:val="22"/>
              </w:rPr>
            </w:pPr>
            <w:r>
              <w:rPr>
                <w:rFonts w:hint="eastAsia"/>
                <w:b/>
                <w:color w:val="000000"/>
                <w:szCs w:val="22"/>
              </w:rPr>
              <w:t>商务部分</w:t>
            </w:r>
          </w:p>
        </w:tc>
        <w:tc>
          <w:tcPr>
            <w:tcW w:w="5510" w:type="dxa"/>
            <w:gridSpan w:val="2"/>
            <w:vAlign w:val="center"/>
          </w:tcPr>
          <w:p w14:paraId="20836287">
            <w:pPr>
              <w:rPr>
                <w:rFonts w:ascii="宋体"/>
                <w:color w:val="000000"/>
                <w:szCs w:val="21"/>
              </w:rPr>
            </w:pPr>
          </w:p>
        </w:tc>
        <w:tc>
          <w:tcPr>
            <w:tcW w:w="1422" w:type="dxa"/>
          </w:tcPr>
          <w:p w14:paraId="06783B1D">
            <w:pPr>
              <w:jc w:val="center"/>
              <w:rPr>
                <w:b/>
                <w:color w:val="000000"/>
                <w:szCs w:val="22"/>
              </w:rPr>
            </w:pPr>
          </w:p>
        </w:tc>
        <w:tc>
          <w:tcPr>
            <w:tcW w:w="1358" w:type="dxa"/>
            <w:gridSpan w:val="2"/>
          </w:tcPr>
          <w:p w14:paraId="4B2A1DC9">
            <w:pPr>
              <w:jc w:val="center"/>
              <w:rPr>
                <w:b/>
                <w:color w:val="000000"/>
                <w:szCs w:val="22"/>
              </w:rPr>
            </w:pPr>
          </w:p>
        </w:tc>
      </w:tr>
      <w:tr w14:paraId="6374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004EAA94">
            <w:pPr>
              <w:jc w:val="center"/>
              <w:rPr>
                <w:b/>
                <w:color w:val="000000"/>
                <w:szCs w:val="22"/>
              </w:rPr>
            </w:pPr>
          </w:p>
        </w:tc>
        <w:tc>
          <w:tcPr>
            <w:tcW w:w="5510" w:type="dxa"/>
            <w:gridSpan w:val="2"/>
            <w:vAlign w:val="center"/>
          </w:tcPr>
          <w:p w14:paraId="704EE199">
            <w:pPr>
              <w:rPr>
                <w:rFonts w:ascii="宋体"/>
                <w:color w:val="000000"/>
                <w:szCs w:val="21"/>
              </w:rPr>
            </w:pPr>
          </w:p>
        </w:tc>
        <w:tc>
          <w:tcPr>
            <w:tcW w:w="1422" w:type="dxa"/>
          </w:tcPr>
          <w:p w14:paraId="05760FDE">
            <w:pPr>
              <w:jc w:val="center"/>
              <w:rPr>
                <w:b/>
                <w:color w:val="000000"/>
                <w:szCs w:val="22"/>
              </w:rPr>
            </w:pPr>
          </w:p>
        </w:tc>
        <w:tc>
          <w:tcPr>
            <w:tcW w:w="1358" w:type="dxa"/>
            <w:gridSpan w:val="2"/>
          </w:tcPr>
          <w:p w14:paraId="5144D5B5">
            <w:pPr>
              <w:jc w:val="center"/>
              <w:rPr>
                <w:b/>
                <w:color w:val="000000"/>
                <w:szCs w:val="22"/>
              </w:rPr>
            </w:pPr>
          </w:p>
        </w:tc>
      </w:tr>
      <w:tr w14:paraId="328D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2CA130DF">
            <w:pPr>
              <w:jc w:val="center"/>
              <w:rPr>
                <w:b/>
                <w:color w:val="000000"/>
                <w:szCs w:val="22"/>
              </w:rPr>
            </w:pPr>
          </w:p>
        </w:tc>
        <w:tc>
          <w:tcPr>
            <w:tcW w:w="5510" w:type="dxa"/>
            <w:gridSpan w:val="2"/>
            <w:vAlign w:val="center"/>
          </w:tcPr>
          <w:p w14:paraId="1E320B68">
            <w:pPr>
              <w:rPr>
                <w:rFonts w:ascii="宋体" w:hAnsi="宋体" w:cs="宋体"/>
                <w:color w:val="000000"/>
                <w:szCs w:val="21"/>
              </w:rPr>
            </w:pPr>
          </w:p>
        </w:tc>
        <w:tc>
          <w:tcPr>
            <w:tcW w:w="1422" w:type="dxa"/>
          </w:tcPr>
          <w:p w14:paraId="72BB858A">
            <w:pPr>
              <w:jc w:val="center"/>
              <w:rPr>
                <w:b/>
                <w:color w:val="000000"/>
                <w:szCs w:val="22"/>
              </w:rPr>
            </w:pPr>
          </w:p>
        </w:tc>
        <w:tc>
          <w:tcPr>
            <w:tcW w:w="1358" w:type="dxa"/>
            <w:gridSpan w:val="2"/>
          </w:tcPr>
          <w:p w14:paraId="2F7DF179">
            <w:pPr>
              <w:jc w:val="center"/>
              <w:rPr>
                <w:b/>
                <w:color w:val="000000"/>
                <w:szCs w:val="22"/>
              </w:rPr>
            </w:pPr>
          </w:p>
        </w:tc>
      </w:tr>
      <w:tr w14:paraId="7A6D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14:paraId="7E68E7E3">
            <w:pPr>
              <w:jc w:val="center"/>
              <w:rPr>
                <w:b/>
                <w:color w:val="000000"/>
                <w:szCs w:val="22"/>
              </w:rPr>
            </w:pPr>
            <w:r>
              <w:rPr>
                <w:rFonts w:hint="eastAsia"/>
                <w:b/>
                <w:color w:val="000000"/>
                <w:szCs w:val="22"/>
              </w:rPr>
              <w:t>综合实力</w:t>
            </w:r>
          </w:p>
        </w:tc>
        <w:tc>
          <w:tcPr>
            <w:tcW w:w="5510" w:type="dxa"/>
            <w:gridSpan w:val="2"/>
            <w:vAlign w:val="center"/>
          </w:tcPr>
          <w:p w14:paraId="46DFA10B">
            <w:pPr>
              <w:rPr>
                <w:rFonts w:ascii="宋体"/>
                <w:color w:val="000000"/>
                <w:szCs w:val="21"/>
              </w:rPr>
            </w:pPr>
          </w:p>
        </w:tc>
        <w:tc>
          <w:tcPr>
            <w:tcW w:w="1422" w:type="dxa"/>
          </w:tcPr>
          <w:p w14:paraId="3886B398">
            <w:pPr>
              <w:jc w:val="center"/>
              <w:rPr>
                <w:b/>
                <w:color w:val="000000"/>
                <w:szCs w:val="22"/>
              </w:rPr>
            </w:pPr>
          </w:p>
        </w:tc>
        <w:tc>
          <w:tcPr>
            <w:tcW w:w="1358" w:type="dxa"/>
            <w:gridSpan w:val="2"/>
          </w:tcPr>
          <w:p w14:paraId="14D87569">
            <w:pPr>
              <w:jc w:val="center"/>
              <w:rPr>
                <w:b/>
                <w:color w:val="000000"/>
                <w:szCs w:val="22"/>
              </w:rPr>
            </w:pPr>
          </w:p>
        </w:tc>
      </w:tr>
      <w:tr w14:paraId="1E6A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0CB6336B">
            <w:pPr>
              <w:jc w:val="center"/>
              <w:rPr>
                <w:b/>
                <w:color w:val="000000"/>
                <w:szCs w:val="22"/>
              </w:rPr>
            </w:pPr>
          </w:p>
        </w:tc>
        <w:tc>
          <w:tcPr>
            <w:tcW w:w="5510" w:type="dxa"/>
            <w:gridSpan w:val="2"/>
            <w:vAlign w:val="center"/>
          </w:tcPr>
          <w:p w14:paraId="611A5A08">
            <w:pPr>
              <w:rPr>
                <w:rFonts w:ascii="宋体"/>
                <w:color w:val="000000"/>
                <w:szCs w:val="21"/>
              </w:rPr>
            </w:pPr>
          </w:p>
        </w:tc>
        <w:tc>
          <w:tcPr>
            <w:tcW w:w="1422" w:type="dxa"/>
          </w:tcPr>
          <w:p w14:paraId="028DA797">
            <w:pPr>
              <w:jc w:val="center"/>
              <w:rPr>
                <w:b/>
                <w:color w:val="000000"/>
                <w:szCs w:val="22"/>
              </w:rPr>
            </w:pPr>
          </w:p>
        </w:tc>
        <w:tc>
          <w:tcPr>
            <w:tcW w:w="1358" w:type="dxa"/>
            <w:gridSpan w:val="2"/>
          </w:tcPr>
          <w:p w14:paraId="0101A03F">
            <w:pPr>
              <w:jc w:val="center"/>
              <w:rPr>
                <w:b/>
                <w:color w:val="000000"/>
                <w:szCs w:val="22"/>
              </w:rPr>
            </w:pPr>
          </w:p>
        </w:tc>
      </w:tr>
    </w:tbl>
    <w:p w14:paraId="6716A05A"/>
    <w:p w14:paraId="34CCDDC8">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14:paraId="2550CB93">
      <w:pPr>
        <w:pStyle w:val="3"/>
        <w:jc w:val="center"/>
        <w:rPr>
          <w:rFonts w:cs="宋体"/>
          <w:b/>
          <w:bCs/>
          <w:kern w:val="0"/>
          <w:sz w:val="28"/>
          <w:szCs w:val="28"/>
        </w:rPr>
      </w:pPr>
      <w:r>
        <w:rPr>
          <w:rFonts w:hint="eastAsia" w:cs="宋体"/>
          <w:b/>
          <w:bCs/>
          <w:kern w:val="0"/>
          <w:sz w:val="28"/>
          <w:szCs w:val="28"/>
        </w:rPr>
        <w:t>二、法定代表人（负责人）证明书</w:t>
      </w:r>
    </w:p>
    <w:p w14:paraId="2329C6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ascii="宋体" w:hAnsi="宋体" w:cs="宋体"/>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3630CF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特此证明。</w:t>
      </w:r>
    </w:p>
    <w:p w14:paraId="798164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p>
    <w:p w14:paraId="6A37E7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说明：</w:t>
      </w:r>
    </w:p>
    <w:p w14:paraId="2F9AEF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1、法定代表人为投标人（企业事业单位、国家机关、社会团体）的主要行政负责人。</w:t>
      </w:r>
    </w:p>
    <w:p w14:paraId="1C6828E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本证明书要</w:t>
      </w:r>
      <w:r>
        <w:rPr>
          <w:rFonts w:hint="eastAsia"/>
          <w:szCs w:val="21"/>
          <w:lang w:val="en-US" w:eastAsia="zh-CN"/>
        </w:rPr>
        <w:t>求提</w:t>
      </w:r>
      <w:r>
        <w:rPr>
          <w:rFonts w:hint="eastAsia"/>
          <w:szCs w:val="21"/>
        </w:rPr>
        <w:t>供法定代表人（负责人）相关身份证明文件：身份证扫描件（正反两面）</w:t>
      </w:r>
      <w:r>
        <w:rPr>
          <w:rFonts w:hint="eastAsia" w:ascii="宋体" w:hAnsi="宋体" w:cs="宋体"/>
          <w:szCs w:val="21"/>
        </w:rPr>
        <w:t>及近三个月社保缴费证明（网页截图或窗口打印资料或社保部门出具的证明均可）</w:t>
      </w:r>
      <w:r>
        <w:rPr>
          <w:rFonts w:hint="eastAsia"/>
          <w:szCs w:val="21"/>
        </w:rPr>
        <w:t>；港澳台居民可提供来往通行证扫描件；非中国国籍管辖范围人员，可提供公安部门认可的身份证明材料扫描件。</w:t>
      </w:r>
    </w:p>
    <w:p w14:paraId="0B743C0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本项目投标授权代表为法定代表人（负责人）的，无需提供《投标文件签署授权委托书》。</w:t>
      </w:r>
    </w:p>
    <w:p w14:paraId="2729DA2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内容必须填写真实、清楚，涂改无效，不得转让、买卖。</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BD9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4264" w:type="dxa"/>
            <w:shd w:val="clear" w:color="auto" w:fill="auto"/>
          </w:tcPr>
          <w:p w14:paraId="6860D949">
            <w:pPr>
              <w:jc w:val="center"/>
            </w:pPr>
            <w:r>
              <w:rPr>
                <w:rFonts w:hint="eastAsia"/>
              </w:rPr>
              <w:t>证件扫描件正面</w:t>
            </w:r>
          </w:p>
          <w:p w14:paraId="2BF5895E">
            <w:pPr>
              <w:spacing w:line="360" w:lineRule="auto"/>
              <w:rPr>
                <w:b/>
                <w:bCs/>
                <w:sz w:val="24"/>
              </w:rPr>
            </w:pPr>
          </w:p>
          <w:p w14:paraId="7D077262">
            <w:pPr>
              <w:spacing w:line="360" w:lineRule="auto"/>
              <w:rPr>
                <w:sz w:val="24"/>
              </w:rPr>
            </w:pPr>
          </w:p>
        </w:tc>
        <w:tc>
          <w:tcPr>
            <w:tcW w:w="4265" w:type="dxa"/>
            <w:shd w:val="clear" w:color="auto" w:fill="auto"/>
          </w:tcPr>
          <w:p w14:paraId="5D5EE75F">
            <w:pPr>
              <w:jc w:val="center"/>
            </w:pPr>
            <w:r>
              <w:rPr>
                <w:rFonts w:hint="eastAsia"/>
              </w:rPr>
              <w:t>证件扫描件反面</w:t>
            </w:r>
          </w:p>
          <w:p w14:paraId="110BC232">
            <w:pPr>
              <w:spacing w:line="360" w:lineRule="auto"/>
              <w:jc w:val="center"/>
              <w:rPr>
                <w:b/>
                <w:bCs/>
                <w:sz w:val="24"/>
              </w:rPr>
            </w:pPr>
          </w:p>
          <w:p w14:paraId="28D5405B">
            <w:pPr>
              <w:spacing w:line="360" w:lineRule="auto"/>
              <w:jc w:val="center"/>
              <w:rPr>
                <w:sz w:val="24"/>
              </w:rPr>
            </w:pPr>
          </w:p>
        </w:tc>
      </w:tr>
    </w:tbl>
    <w:p w14:paraId="6B281C06">
      <w:pPr>
        <w:spacing w:line="360" w:lineRule="auto"/>
        <w:rPr>
          <w:rFonts w:ascii="宋体" w:hAnsi="宋体" w:cs="宋体"/>
          <w:szCs w:val="21"/>
        </w:rPr>
      </w:pPr>
    </w:p>
    <w:p w14:paraId="5D264D53">
      <w:pPr>
        <w:ind w:firstLine="422" w:firstLineChars="200"/>
        <w:rPr>
          <w:rFonts w:hint="eastAsia" w:ascii="宋体" w:hAnsi="宋体"/>
          <w:color w:val="FF0000"/>
        </w:rPr>
      </w:pPr>
      <w:r>
        <w:rPr>
          <w:rFonts w:hint="eastAsia" w:ascii="宋体" w:hAnsi="宋体" w:cs="黑体"/>
          <w:b/>
          <w:bCs/>
          <w:color w:val="FF0000"/>
        </w:rPr>
        <w:t>温馨提示</w:t>
      </w:r>
      <w:r>
        <w:rPr>
          <w:rFonts w:hint="eastAsia" w:ascii="宋体" w:hAnsi="宋体" w:cs="黑体"/>
          <w:color w:val="FF0000"/>
        </w:rPr>
        <w:t>：</w:t>
      </w:r>
      <w:r>
        <w:rPr>
          <w:rFonts w:hint="eastAsia" w:ascii="宋体" w:hAnsi="宋体"/>
          <w:color w:val="FF0000"/>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5C14AB14">
      <w:pPr>
        <w:ind w:firstLine="420" w:firstLineChars="200"/>
        <w:rPr>
          <w:rFonts w:hint="eastAsia"/>
        </w:rPr>
      </w:pPr>
    </w:p>
    <w:p w14:paraId="6B655482">
      <w:pPr>
        <w:wordWrap w:val="0"/>
        <w:spacing w:line="360" w:lineRule="auto"/>
        <w:jc w:val="right"/>
        <w:rPr>
          <w:rFonts w:hint="eastAsia"/>
        </w:rPr>
      </w:pPr>
      <w:r>
        <w:t>投标供应商：（盖公章）</w:t>
      </w:r>
      <w:r>
        <w:rPr>
          <w:rFonts w:hint="eastAsia"/>
        </w:rPr>
        <w:t xml:space="preserve">      </w:t>
      </w:r>
    </w:p>
    <w:p w14:paraId="71A33A75">
      <w:pPr>
        <w:spacing w:line="360" w:lineRule="auto"/>
        <w:jc w:val="right"/>
        <w:rPr>
          <w:rFonts w:hint="eastAsia"/>
        </w:rPr>
      </w:pPr>
      <w:r>
        <w:t>日  期：     年    月     日</w:t>
      </w:r>
    </w:p>
    <w:p w14:paraId="5040A165">
      <w:pPr>
        <w:numPr>
          <w:ilvl w:val="0"/>
          <w:numId w:val="0"/>
        </w:numPr>
        <w:spacing w:line="360" w:lineRule="auto"/>
        <w:rPr>
          <w:rFonts w:hint="eastAsia" w:ascii="宋体" w:hAnsi="宋体" w:cs="宋体"/>
          <w:szCs w:val="21"/>
        </w:rPr>
      </w:pPr>
    </w:p>
    <w:p w14:paraId="709B7072">
      <w:pPr>
        <w:rPr>
          <w:rFonts w:ascii="宋体" w:hAnsi="宋体" w:cs="宋体"/>
          <w:sz w:val="24"/>
        </w:rPr>
      </w:pPr>
    </w:p>
    <w:p w14:paraId="5982A4B4">
      <w:pPr>
        <w:rPr>
          <w:rFonts w:ascii="宋体" w:hAnsi="宋体" w:cs="宋体"/>
          <w:sz w:val="24"/>
        </w:rPr>
      </w:pPr>
    </w:p>
    <w:p w14:paraId="015AD41F">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14:paraId="1CA16205">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697FB9A5">
      <w:pPr>
        <w:spacing w:line="360" w:lineRule="auto"/>
        <w:ind w:firstLine="420" w:firstLineChars="200"/>
        <w:rPr>
          <w:szCs w:val="21"/>
        </w:rPr>
      </w:pPr>
      <w:r>
        <w:rPr>
          <w:rFonts w:hint="eastAsia"/>
          <w:szCs w:val="21"/>
        </w:rPr>
        <w:t>代理人无转委托权，特此委托。</w:t>
      </w:r>
    </w:p>
    <w:p w14:paraId="62A1DF94">
      <w:pPr>
        <w:spacing w:line="360" w:lineRule="auto"/>
        <w:ind w:firstLine="420"/>
        <w:rPr>
          <w:rFonts w:ascii="宋体" w:hAnsi="宋体" w:cs="宋体"/>
          <w:szCs w:val="21"/>
        </w:rPr>
      </w:pPr>
    </w:p>
    <w:p w14:paraId="6BFEA72F">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2B05D0B8">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7733A3F0">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46DAC103">
      <w:pPr>
        <w:spacing w:line="360" w:lineRule="auto"/>
        <w:ind w:firstLine="420" w:firstLineChars="200"/>
        <w:rPr>
          <w:rFonts w:hint="eastAsia"/>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444B1336">
      <w:pPr>
        <w:spacing w:line="360" w:lineRule="auto"/>
        <w:ind w:firstLine="420" w:firstLineChars="200"/>
        <w:rPr>
          <w:rFonts w:hint="eastAsia"/>
          <w:szCs w:val="21"/>
        </w:rPr>
      </w:pPr>
    </w:p>
    <w:p w14:paraId="5F4AA657">
      <w:pPr>
        <w:ind w:firstLine="422" w:firstLineChars="200"/>
        <w:rPr>
          <w:b/>
          <w:color w:val="FF0000"/>
          <w:szCs w:val="21"/>
        </w:rPr>
      </w:pPr>
      <w:r>
        <w:rPr>
          <w:rFonts w:hint="eastAsia"/>
          <w:b/>
          <w:color w:val="FF0000"/>
          <w:szCs w:val="21"/>
        </w:rPr>
        <w:t>附：请提供代理人身份证扫描件（正反两面）及投标人为代理人缴交的最近3个月社保证明（网页截图或窗口打印资料或社保部门出具的证明均可）；港澳台居民可提供来往通行证扫描件；非中国国籍管辖范围人员，可提供公安部门认可的身份证明材料扫描件。</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8A6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4264" w:type="dxa"/>
            <w:shd w:val="clear" w:color="auto" w:fill="auto"/>
          </w:tcPr>
          <w:p w14:paraId="7FC98FBA">
            <w:pPr>
              <w:ind w:firstLine="420" w:firstLineChars="200"/>
              <w:jc w:val="center"/>
            </w:pPr>
            <w:r>
              <w:rPr>
                <w:rFonts w:hint="eastAsia"/>
              </w:rPr>
              <w:t>证件扫描件正面</w:t>
            </w:r>
          </w:p>
          <w:p w14:paraId="5C3BDF09">
            <w:pPr>
              <w:jc w:val="center"/>
              <w:rPr>
                <w:sz w:val="24"/>
              </w:rPr>
            </w:pPr>
          </w:p>
          <w:p w14:paraId="371A33FA">
            <w:pPr>
              <w:jc w:val="center"/>
              <w:rPr>
                <w:sz w:val="24"/>
              </w:rPr>
            </w:pPr>
          </w:p>
        </w:tc>
        <w:tc>
          <w:tcPr>
            <w:tcW w:w="4265" w:type="dxa"/>
            <w:shd w:val="clear" w:color="auto" w:fill="auto"/>
          </w:tcPr>
          <w:p w14:paraId="769EBAFF">
            <w:pPr>
              <w:ind w:firstLine="420" w:firstLineChars="200"/>
              <w:jc w:val="center"/>
            </w:pPr>
            <w:r>
              <w:rPr>
                <w:rFonts w:hint="eastAsia"/>
              </w:rPr>
              <w:t>证件扫描件反面</w:t>
            </w:r>
          </w:p>
          <w:p w14:paraId="111ED506">
            <w:pPr>
              <w:ind w:firstLine="482" w:firstLineChars="200"/>
              <w:jc w:val="center"/>
              <w:rPr>
                <w:b/>
                <w:bCs/>
                <w:sz w:val="24"/>
              </w:rPr>
            </w:pPr>
          </w:p>
          <w:p w14:paraId="016EC4DD">
            <w:pPr>
              <w:ind w:firstLine="480" w:firstLineChars="200"/>
              <w:jc w:val="center"/>
              <w:rPr>
                <w:sz w:val="24"/>
              </w:rPr>
            </w:pPr>
          </w:p>
        </w:tc>
      </w:tr>
    </w:tbl>
    <w:p w14:paraId="303AE081">
      <w:pPr>
        <w:ind w:firstLine="482" w:firstLineChars="200"/>
        <w:rPr>
          <w:rFonts w:ascii="黑体" w:hAnsi="黑体" w:eastAsia="黑体" w:cs="黑体"/>
          <w:b/>
          <w:bCs/>
          <w:sz w:val="24"/>
        </w:rPr>
      </w:pPr>
    </w:p>
    <w:p w14:paraId="1B3AA561">
      <w:pPr>
        <w:ind w:firstLine="422" w:firstLineChars="200"/>
        <w:rPr>
          <w:rFonts w:hint="eastAsia" w:ascii="宋体" w:hAnsi="宋体" w:cs="黑体"/>
          <w:b/>
          <w:bCs/>
          <w:color w:val="FF0000"/>
        </w:rPr>
      </w:pPr>
      <w:r>
        <w:rPr>
          <w:rFonts w:hint="eastAsia" w:ascii="宋体" w:hAnsi="宋体" w:cs="黑体"/>
          <w:b/>
          <w:bCs/>
          <w:color w:val="FF0000"/>
        </w:rPr>
        <w:t>温馨提示：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3972B0CF">
      <w:pPr>
        <w:ind w:firstLine="420" w:firstLineChars="200"/>
        <w:rPr>
          <w:rFonts w:hAnsi="宋体"/>
          <w:szCs w:val="22"/>
        </w:rPr>
      </w:pPr>
    </w:p>
    <w:p w14:paraId="2B97083F">
      <w:pPr>
        <w:ind w:firstLine="422" w:firstLineChars="200"/>
        <w:rPr>
          <w:rFonts w:hint="eastAsia" w:hAnsi="宋体"/>
          <w:b/>
          <w:color w:val="FF0000"/>
          <w:szCs w:val="22"/>
        </w:rPr>
      </w:pPr>
    </w:p>
    <w:p w14:paraId="2EF360FD">
      <w:pPr>
        <w:wordWrap w:val="0"/>
        <w:spacing w:line="360" w:lineRule="auto"/>
        <w:jc w:val="right"/>
        <w:rPr>
          <w:rFonts w:hint="eastAsia"/>
        </w:rPr>
      </w:pPr>
      <w:r>
        <w:t>投标供应商：（盖公章）</w:t>
      </w:r>
      <w:r>
        <w:rPr>
          <w:rFonts w:hint="eastAsia"/>
        </w:rPr>
        <w:t xml:space="preserve">      </w:t>
      </w:r>
    </w:p>
    <w:p w14:paraId="7744AA95">
      <w:pPr>
        <w:spacing w:line="360" w:lineRule="auto"/>
        <w:jc w:val="right"/>
        <w:rPr>
          <w:rFonts w:hint="eastAsia"/>
        </w:rPr>
      </w:pPr>
      <w:r>
        <w:t>日  期：     年    月     日</w:t>
      </w:r>
    </w:p>
    <w:p w14:paraId="64CC82D7">
      <w:pPr>
        <w:ind w:firstLine="420" w:firstLineChars="200"/>
      </w:pPr>
    </w:p>
    <w:p w14:paraId="3C543796">
      <w:pPr>
        <w:widowControl/>
        <w:jc w:val="left"/>
      </w:pPr>
      <w:r>
        <w:br w:type="page"/>
      </w:r>
    </w:p>
    <w:p w14:paraId="37A6A883">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14:paraId="233C9C91">
      <w:pPr>
        <w:pStyle w:val="3"/>
        <w:ind w:firstLine="3373" w:firstLineChars="1200"/>
        <w:rPr>
          <w:rFonts w:cs="宋体"/>
          <w:b/>
          <w:bCs/>
          <w:sz w:val="28"/>
          <w:szCs w:val="28"/>
        </w:rPr>
      </w:pPr>
      <w:r>
        <w:rPr>
          <w:rFonts w:hint="eastAsia" w:cs="宋体"/>
          <w:b/>
          <w:bCs/>
          <w:sz w:val="28"/>
          <w:szCs w:val="28"/>
        </w:rPr>
        <w:t>（一）投标函</w:t>
      </w:r>
    </w:p>
    <w:p w14:paraId="738CE356">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14:paraId="57DA3567">
      <w:pPr>
        <w:numPr>
          <w:ilvl w:val="0"/>
          <w:numId w:val="5"/>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14:paraId="1A464858">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710698EE">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14:paraId="37D5CE6D">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14:paraId="7D660851">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14:paraId="6B0CFFBD">
      <w:pPr>
        <w:spacing w:after="156" w:afterLines="50"/>
        <w:ind w:firstLine="411" w:firstLineChars="196"/>
        <w:rPr>
          <w:rFonts w:ascii="宋体" w:hAnsi="宋体" w:cs="宋体"/>
          <w:szCs w:val="21"/>
        </w:rPr>
      </w:pPr>
    </w:p>
    <w:p w14:paraId="64EF0EC7">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14:paraId="0F05934F">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14:paraId="4ABD62DC">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14:paraId="3E5FFDAB">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14:paraId="622FE7E1">
      <w:pPr>
        <w:spacing w:after="156" w:afterLines="50"/>
        <w:ind w:firstLine="1968" w:firstLineChars="700"/>
        <w:rPr>
          <w:rFonts w:ascii="宋体" w:hAnsi="宋体" w:cs="宋体"/>
          <w:b/>
          <w:bCs/>
          <w:sz w:val="28"/>
          <w:szCs w:val="28"/>
        </w:rPr>
      </w:pPr>
    </w:p>
    <w:p w14:paraId="1676E231">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14:paraId="5C915AD0">
      <w:pPr>
        <w:spacing w:after="156" w:afterLines="50"/>
        <w:ind w:firstLine="440" w:firstLineChars="200"/>
        <w:rPr>
          <w:rFonts w:ascii="宋体" w:hAnsi="宋体" w:cs="宋体"/>
          <w:sz w:val="22"/>
          <w:szCs w:val="22"/>
        </w:rPr>
      </w:pPr>
    </w:p>
    <w:p w14:paraId="72717F33">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14:paraId="15E0264F">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14:paraId="2450BBBF">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14:paraId="7FE39A4A">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14:paraId="208F5C57">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14:paraId="31453560">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14:paraId="55079545">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14:paraId="2C892FCB">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2E30FE57">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F3074BF">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F3F4876">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0013041">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14:paraId="529ACBBF">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3FD8D1D">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14:paraId="6FB08067">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31097A6F">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087961B1">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14:paraId="2089B0D9">
      <w:pPr>
        <w:spacing w:after="156" w:afterLines="50"/>
        <w:ind w:firstLine="440" w:firstLineChars="200"/>
        <w:rPr>
          <w:rFonts w:ascii="宋体" w:hAnsi="宋体" w:cs="宋体"/>
          <w:sz w:val="22"/>
          <w:szCs w:val="22"/>
        </w:rPr>
      </w:pPr>
    </w:p>
    <w:p w14:paraId="6B81D54D">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14:paraId="64E3310D">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14:paraId="717C40BC">
      <w:pPr>
        <w:spacing w:after="156" w:afterLines="50"/>
        <w:ind w:firstLine="1968" w:firstLineChars="700"/>
        <w:rPr>
          <w:rFonts w:ascii="宋体" w:hAnsi="宋体" w:cs="宋体"/>
          <w:b/>
          <w:bCs/>
          <w:sz w:val="28"/>
          <w:szCs w:val="28"/>
        </w:rPr>
      </w:pPr>
    </w:p>
    <w:p w14:paraId="7A9EE32A">
      <w:pPr>
        <w:spacing w:after="156" w:afterLines="50"/>
        <w:ind w:firstLine="2811" w:firstLineChars="1000"/>
        <w:rPr>
          <w:rFonts w:ascii="宋体" w:hAnsi="宋体" w:cs="宋体"/>
          <w:b/>
          <w:bCs/>
          <w:sz w:val="28"/>
          <w:szCs w:val="28"/>
        </w:rPr>
      </w:pPr>
      <w:r>
        <w:rPr>
          <w:rFonts w:hint="eastAsia" w:ascii="宋体" w:hAnsi="宋体" w:cs="宋体"/>
          <w:b/>
          <w:bCs/>
          <w:sz w:val="28"/>
          <w:szCs w:val="28"/>
        </w:rPr>
        <w:t>（三 ）诚信承诺函</w:t>
      </w:r>
    </w:p>
    <w:p w14:paraId="67FBD920">
      <w:pPr>
        <w:spacing w:line="360" w:lineRule="auto"/>
        <w:rPr>
          <w:rFonts w:ascii="宋体" w:hAnsi="宋体" w:cs="宋体"/>
          <w:sz w:val="22"/>
        </w:rPr>
      </w:pPr>
    </w:p>
    <w:p w14:paraId="74C70765">
      <w:pPr>
        <w:spacing w:line="360" w:lineRule="auto"/>
        <w:rPr>
          <w:rFonts w:ascii="宋体" w:hAnsi="宋体" w:cs="宋体"/>
          <w:sz w:val="22"/>
        </w:rPr>
      </w:pPr>
      <w:r>
        <w:rPr>
          <w:rFonts w:hint="eastAsia" w:ascii="宋体" w:hAnsi="宋体" w:cs="宋体"/>
          <w:sz w:val="22"/>
        </w:rPr>
        <w:t>致：深圳市第一职业技术学校</w:t>
      </w:r>
    </w:p>
    <w:p w14:paraId="65950D96">
      <w:pPr>
        <w:spacing w:line="360" w:lineRule="auto"/>
        <w:ind w:firstLine="440" w:firstLineChars="200"/>
        <w:rPr>
          <w:rFonts w:ascii="宋体" w:hAnsi="宋体" w:cs="宋体"/>
          <w:sz w:val="22"/>
        </w:rPr>
      </w:pPr>
      <w:r>
        <w:rPr>
          <w:rFonts w:hint="eastAsia" w:ascii="宋体" w:hAnsi="宋体" w:cs="宋体"/>
          <w:sz w:val="22"/>
        </w:rPr>
        <w:t>我公司承诺，在政府采购招标投标活动中无下列行为：</w:t>
      </w:r>
    </w:p>
    <w:p w14:paraId="6409DB07">
      <w:pPr>
        <w:tabs>
          <w:tab w:val="left" w:pos="567"/>
        </w:tabs>
        <w:spacing w:line="360" w:lineRule="auto"/>
        <w:ind w:left="420"/>
        <w:jc w:val="left"/>
        <w:rPr>
          <w:rFonts w:ascii="宋体" w:hAnsi="宋体" w:cs="宋体"/>
          <w:sz w:val="22"/>
        </w:rPr>
      </w:pPr>
      <w:r>
        <w:rPr>
          <w:rFonts w:hint="eastAsia" w:ascii="宋体" w:hAnsi="宋体" w:cs="宋体"/>
          <w:sz w:val="22"/>
        </w:rPr>
        <w:t>（一）被纪检监察部门立案调查，违法违规事实成立的；</w:t>
      </w:r>
    </w:p>
    <w:p w14:paraId="5461ADD4">
      <w:pPr>
        <w:tabs>
          <w:tab w:val="left" w:pos="567"/>
        </w:tabs>
        <w:spacing w:line="360" w:lineRule="auto"/>
        <w:ind w:left="420"/>
        <w:jc w:val="left"/>
        <w:rPr>
          <w:rFonts w:ascii="宋体" w:hAnsi="宋体" w:cs="宋体"/>
          <w:sz w:val="22"/>
        </w:rPr>
      </w:pPr>
      <w:r>
        <w:rPr>
          <w:rFonts w:hint="eastAsia" w:ascii="宋体" w:hAnsi="宋体" w:cs="宋体"/>
          <w:sz w:val="22"/>
        </w:rPr>
        <w:t>（二）未按本条例规定签订、履行采购合同，造成严重后果的；</w:t>
      </w:r>
    </w:p>
    <w:p w14:paraId="47115583">
      <w:pPr>
        <w:tabs>
          <w:tab w:val="left" w:pos="567"/>
        </w:tabs>
        <w:spacing w:line="360" w:lineRule="auto"/>
        <w:ind w:left="420"/>
        <w:jc w:val="left"/>
        <w:rPr>
          <w:rFonts w:ascii="宋体" w:hAnsi="宋体" w:cs="宋体"/>
          <w:sz w:val="22"/>
        </w:rPr>
      </w:pPr>
      <w:r>
        <w:rPr>
          <w:rFonts w:hint="eastAsia" w:ascii="宋体" w:hAnsi="宋体" w:cs="宋体"/>
          <w:sz w:val="22"/>
        </w:rPr>
        <w:t>（三）隐瞒真实情况，提供虚假资料的；</w:t>
      </w:r>
    </w:p>
    <w:p w14:paraId="4982AA39">
      <w:pPr>
        <w:tabs>
          <w:tab w:val="left" w:pos="567"/>
        </w:tabs>
        <w:spacing w:line="360" w:lineRule="auto"/>
        <w:ind w:left="420"/>
        <w:jc w:val="left"/>
        <w:rPr>
          <w:rFonts w:ascii="宋体" w:hAnsi="宋体" w:cs="宋体"/>
          <w:sz w:val="22"/>
        </w:rPr>
      </w:pPr>
      <w:r>
        <w:rPr>
          <w:rFonts w:hint="eastAsia" w:ascii="宋体" w:hAnsi="宋体" w:cs="宋体"/>
          <w:sz w:val="22"/>
        </w:rPr>
        <w:t>（四）以非法手段排斥其他供应商参与竞争的；</w:t>
      </w:r>
    </w:p>
    <w:p w14:paraId="3374A22F">
      <w:pPr>
        <w:tabs>
          <w:tab w:val="left" w:pos="567"/>
        </w:tabs>
        <w:spacing w:line="360" w:lineRule="auto"/>
        <w:ind w:left="420"/>
        <w:jc w:val="left"/>
        <w:rPr>
          <w:rFonts w:ascii="宋体" w:hAnsi="宋体" w:cs="宋体"/>
          <w:sz w:val="22"/>
        </w:rPr>
      </w:pPr>
      <w:r>
        <w:rPr>
          <w:rFonts w:hint="eastAsia" w:ascii="宋体" w:hAnsi="宋体" w:cs="宋体"/>
          <w:sz w:val="22"/>
        </w:rPr>
        <w:t>（五）与其他采购参加人串通投标的；</w:t>
      </w:r>
    </w:p>
    <w:p w14:paraId="2BD34C71">
      <w:pPr>
        <w:tabs>
          <w:tab w:val="left" w:pos="567"/>
        </w:tabs>
        <w:spacing w:line="360" w:lineRule="auto"/>
        <w:ind w:left="420"/>
        <w:jc w:val="left"/>
        <w:rPr>
          <w:rFonts w:ascii="宋体" w:hAnsi="宋体" w:cs="宋体"/>
          <w:sz w:val="22"/>
        </w:rPr>
      </w:pPr>
      <w:r>
        <w:rPr>
          <w:rFonts w:hint="eastAsia" w:ascii="宋体" w:hAnsi="宋体" w:cs="宋体"/>
          <w:sz w:val="22"/>
        </w:rPr>
        <w:t xml:space="preserve">（六）在采购活动中应当回避而未回避的； </w:t>
      </w:r>
    </w:p>
    <w:p w14:paraId="0A40F4A5">
      <w:pPr>
        <w:tabs>
          <w:tab w:val="left" w:pos="567"/>
        </w:tabs>
        <w:spacing w:line="360" w:lineRule="auto"/>
        <w:ind w:left="420"/>
        <w:jc w:val="left"/>
        <w:rPr>
          <w:rFonts w:ascii="宋体" w:hAnsi="宋体" w:cs="宋体"/>
          <w:sz w:val="22"/>
        </w:rPr>
      </w:pPr>
      <w:r>
        <w:rPr>
          <w:rFonts w:hint="eastAsia" w:ascii="宋体" w:hAnsi="宋体" w:cs="宋体"/>
          <w:sz w:val="22"/>
        </w:rPr>
        <w:t xml:space="preserve">（七）恶意投诉的； </w:t>
      </w:r>
    </w:p>
    <w:p w14:paraId="7CABFE93">
      <w:pPr>
        <w:tabs>
          <w:tab w:val="left" w:pos="567"/>
        </w:tabs>
        <w:spacing w:line="360" w:lineRule="auto"/>
        <w:ind w:left="420"/>
        <w:jc w:val="left"/>
        <w:rPr>
          <w:rFonts w:ascii="宋体" w:hAnsi="宋体" w:cs="宋体"/>
          <w:sz w:val="22"/>
        </w:rPr>
      </w:pPr>
      <w:r>
        <w:rPr>
          <w:rFonts w:hint="eastAsia" w:ascii="宋体" w:hAnsi="宋体" w:cs="宋体"/>
          <w:sz w:val="22"/>
        </w:rPr>
        <w:t xml:space="preserve">（八）向采购项目相关人行贿或者提供其他不当利益的； </w:t>
      </w:r>
    </w:p>
    <w:p w14:paraId="4C143A37">
      <w:pPr>
        <w:tabs>
          <w:tab w:val="left" w:pos="567"/>
        </w:tabs>
        <w:spacing w:line="360" w:lineRule="auto"/>
        <w:ind w:left="420"/>
        <w:jc w:val="left"/>
        <w:rPr>
          <w:rFonts w:ascii="宋体" w:hAnsi="宋体" w:cs="宋体"/>
          <w:sz w:val="22"/>
        </w:rPr>
      </w:pPr>
      <w:r>
        <w:rPr>
          <w:rFonts w:hint="eastAsia" w:ascii="宋体" w:hAnsi="宋体" w:cs="宋体"/>
          <w:sz w:val="22"/>
        </w:rPr>
        <w:t>（九）阻碍、抗拒主管部门监督检查的；</w:t>
      </w:r>
    </w:p>
    <w:p w14:paraId="076E4074">
      <w:pPr>
        <w:tabs>
          <w:tab w:val="left" w:pos="567"/>
        </w:tabs>
        <w:spacing w:line="360" w:lineRule="auto"/>
        <w:ind w:left="420"/>
        <w:jc w:val="left"/>
        <w:rPr>
          <w:rFonts w:ascii="宋体" w:hAnsi="宋体" w:cs="宋体"/>
          <w:sz w:val="22"/>
        </w:rPr>
      </w:pPr>
      <w:r>
        <w:rPr>
          <w:rFonts w:hint="eastAsia" w:ascii="宋体" w:hAnsi="宋体" w:cs="宋体"/>
          <w:sz w:val="22"/>
        </w:rPr>
        <w:t>（十）履约检查不合格或者评价为差的；</w:t>
      </w:r>
    </w:p>
    <w:p w14:paraId="7B645A9A">
      <w:pPr>
        <w:spacing w:line="360" w:lineRule="auto"/>
        <w:ind w:firstLine="440" w:firstLineChars="200"/>
        <w:rPr>
          <w:rFonts w:ascii="宋体" w:hAnsi="宋体" w:cs="宋体"/>
          <w:sz w:val="22"/>
        </w:rPr>
      </w:pPr>
      <w:r>
        <w:rPr>
          <w:rFonts w:hint="eastAsia" w:ascii="宋体" w:hAnsi="宋体" w:cs="宋体"/>
          <w:sz w:val="22"/>
        </w:rPr>
        <w:t xml:space="preserve">（十一）参与本项目投标前三年内，在经营活动中有重大违法记录； </w:t>
      </w:r>
    </w:p>
    <w:p w14:paraId="4E5356C5">
      <w:pPr>
        <w:spacing w:line="360" w:lineRule="auto"/>
        <w:ind w:firstLine="440" w:firstLineChars="200"/>
        <w:rPr>
          <w:rFonts w:ascii="宋体" w:hAnsi="宋体" w:cs="宋体"/>
          <w:sz w:val="22"/>
        </w:rPr>
      </w:pPr>
      <w:r>
        <w:rPr>
          <w:rFonts w:hint="eastAsia" w:ascii="宋体" w:hAnsi="宋体" w:cs="宋体"/>
          <w:sz w:val="22"/>
        </w:rPr>
        <w:t>（十二）参与本项目政府采购活动时存在处于被有关部门禁止参与政府采购活动且在有效期内的情况；</w:t>
      </w:r>
    </w:p>
    <w:p w14:paraId="37864A36">
      <w:pPr>
        <w:spacing w:line="360" w:lineRule="auto"/>
        <w:ind w:firstLine="440" w:firstLineChars="200"/>
        <w:rPr>
          <w:rFonts w:ascii="宋体" w:hAnsi="宋体" w:cs="宋体"/>
          <w:sz w:val="22"/>
        </w:rPr>
      </w:pPr>
      <w:r>
        <w:rPr>
          <w:rFonts w:hint="eastAsia" w:ascii="宋体" w:hAnsi="宋体" w:cs="宋体"/>
          <w:sz w:val="22"/>
        </w:rPr>
        <w:t>（十三）主管部门认定的其他情形。</w:t>
      </w:r>
    </w:p>
    <w:p w14:paraId="408194A1">
      <w:pPr>
        <w:spacing w:line="360" w:lineRule="auto"/>
        <w:ind w:firstLine="440" w:firstLineChars="200"/>
        <w:rPr>
          <w:rFonts w:ascii="宋体" w:hAnsi="宋体" w:cs="宋体"/>
          <w:sz w:val="22"/>
        </w:rPr>
      </w:pPr>
      <w:r>
        <w:rPr>
          <w:rFonts w:hint="eastAsia" w:ascii="宋体" w:hAnsi="宋体" w:cs="宋体"/>
          <w:sz w:val="22"/>
        </w:rPr>
        <w:t>如我司在开标日前三年内存在上述行为超出法定追诉时效未被追诉、或者上述情节轻微未给予禁止参加政府采购的行政处罚，我司自愿承担虚假应标以及其他一切不利的法律后果。</w:t>
      </w:r>
    </w:p>
    <w:p w14:paraId="0B69BC0B">
      <w:pPr>
        <w:spacing w:line="360" w:lineRule="auto"/>
        <w:ind w:firstLine="440" w:firstLineChars="200"/>
        <w:rPr>
          <w:rFonts w:ascii="宋体" w:hAnsi="宋体" w:cs="宋体"/>
          <w:sz w:val="22"/>
        </w:rPr>
      </w:pPr>
      <w:r>
        <w:rPr>
          <w:rFonts w:hint="eastAsia" w:ascii="宋体" w:hAnsi="宋体" w:cs="宋体"/>
          <w:sz w:val="22"/>
        </w:rPr>
        <w:t>特此承诺。</w:t>
      </w:r>
    </w:p>
    <w:p w14:paraId="62031CE1">
      <w:pPr>
        <w:spacing w:line="360" w:lineRule="auto"/>
        <w:ind w:firstLine="480" w:firstLineChars="200"/>
        <w:rPr>
          <w:rFonts w:ascii="宋体" w:hAnsi="宋体" w:cs="宋体"/>
          <w:sz w:val="24"/>
        </w:rPr>
      </w:pPr>
    </w:p>
    <w:p w14:paraId="200D3A39">
      <w:pPr>
        <w:spacing w:line="360" w:lineRule="auto"/>
        <w:rPr>
          <w:sz w:val="22"/>
        </w:rPr>
      </w:pPr>
      <w:r>
        <w:rPr>
          <w:rFonts w:hint="eastAsia" w:ascii="宋体" w:hAnsi="宋体"/>
          <w:sz w:val="22"/>
          <w:lang w:val="zh-CN"/>
        </w:rPr>
        <w:t>法定代表人（</w:t>
      </w:r>
      <w:r>
        <w:rPr>
          <w:rFonts w:hint="eastAsia" w:ascii="宋体" w:hAnsi="宋体"/>
          <w:sz w:val="22"/>
        </w:rPr>
        <w:t>单位负责人</w:t>
      </w:r>
      <w:r>
        <w:rPr>
          <w:rFonts w:hint="eastAsia" w:ascii="宋体" w:hAnsi="宋体"/>
          <w:sz w:val="22"/>
          <w:lang w:val="zh-CN"/>
        </w:rPr>
        <w:t>）或其授权代表（签字</w:t>
      </w:r>
      <w:r>
        <w:rPr>
          <w:rFonts w:hint="eastAsia" w:ascii="宋体" w:hAnsi="宋体"/>
          <w:sz w:val="22"/>
        </w:rPr>
        <w:t>或盖章</w:t>
      </w:r>
      <w:r>
        <w:rPr>
          <w:rFonts w:hint="eastAsia" w:ascii="宋体" w:hAnsi="宋体"/>
          <w:sz w:val="22"/>
          <w:lang w:val="zh-CN"/>
        </w:rPr>
        <w:t>）</w:t>
      </w:r>
      <w:r>
        <w:rPr>
          <w:rFonts w:hint="eastAsia"/>
          <w:sz w:val="22"/>
        </w:rPr>
        <w:t xml:space="preserve">：                   </w:t>
      </w:r>
    </w:p>
    <w:p w14:paraId="42185471">
      <w:pPr>
        <w:spacing w:line="360" w:lineRule="auto"/>
        <w:rPr>
          <w:sz w:val="22"/>
        </w:rPr>
      </w:pPr>
      <w:r>
        <w:rPr>
          <w:rFonts w:hint="eastAsia"/>
          <w:sz w:val="22"/>
        </w:rPr>
        <w:t xml:space="preserve">投标人名称（盖章）：                        </w:t>
      </w:r>
    </w:p>
    <w:p w14:paraId="4C71B7CD">
      <w:pPr>
        <w:spacing w:line="360" w:lineRule="auto"/>
        <w:rPr>
          <w:sz w:val="22"/>
        </w:rPr>
      </w:pPr>
      <w:r>
        <w:rPr>
          <w:rFonts w:hint="eastAsia"/>
          <w:sz w:val="22"/>
        </w:rPr>
        <w:t>日期：   年   月   日</w:t>
      </w:r>
    </w:p>
    <w:p w14:paraId="286454A6">
      <w:pPr>
        <w:spacing w:after="156" w:afterLines="50"/>
        <w:ind w:firstLine="2811" w:firstLineChars="1000"/>
        <w:rPr>
          <w:rFonts w:ascii="宋体" w:hAnsi="宋体" w:cs="宋体"/>
          <w:b/>
          <w:bCs/>
          <w:sz w:val="28"/>
          <w:szCs w:val="28"/>
        </w:rPr>
      </w:pPr>
    </w:p>
    <w:p w14:paraId="62F46C08">
      <w:pPr>
        <w:spacing w:after="156" w:afterLines="50"/>
        <w:ind w:firstLine="1405" w:firstLineChars="500"/>
        <w:rPr>
          <w:rFonts w:ascii="宋体" w:hAnsi="宋体" w:cs="宋体"/>
          <w:b/>
          <w:bCs/>
          <w:sz w:val="28"/>
          <w:szCs w:val="28"/>
        </w:rPr>
      </w:pPr>
      <w:r>
        <w:rPr>
          <w:rFonts w:hint="eastAsia" w:ascii="宋体" w:hAnsi="宋体" w:cs="宋体"/>
          <w:b/>
          <w:bCs/>
          <w:sz w:val="28"/>
          <w:szCs w:val="28"/>
        </w:rPr>
        <w:t>（四）政府采购违法行为风险知悉确认书</w:t>
      </w:r>
    </w:p>
    <w:p w14:paraId="316E7888">
      <w:pPr>
        <w:pStyle w:val="29"/>
        <w:ind w:firstLine="420"/>
      </w:pPr>
    </w:p>
    <w:p w14:paraId="018FFFD3">
      <w:pPr>
        <w:ind w:firstLine="440" w:firstLineChars="200"/>
        <w:rPr>
          <w:rFonts w:ascii="宋体" w:hAnsi="宋体" w:cs="宋体"/>
          <w:sz w:val="22"/>
        </w:rPr>
      </w:pPr>
      <w:r>
        <w:rPr>
          <w:rFonts w:hint="eastAsia" w:ascii="宋体" w:hAnsi="宋体" w:cs="宋体"/>
          <w:sz w:val="22"/>
        </w:rPr>
        <w:t>本公司在投标前已充分知悉以下情形为参与政府采购活动时的重大风险事项，并承诺已对下述风险提示事项重点排查，做到严谨、诚信、依法依规参与政府采购活动。</w:t>
      </w:r>
      <w:r>
        <w:rPr>
          <w:rFonts w:hint="eastAsia" w:ascii="宋体" w:hAnsi="宋体" w:cs="宋体"/>
          <w:color w:val="000000"/>
          <w:sz w:val="22"/>
        </w:rPr>
        <w:t xml:space="preserve"> </w:t>
      </w:r>
    </w:p>
    <w:p w14:paraId="491B3D33">
      <w:pPr>
        <w:rPr>
          <w:rFonts w:ascii="宋体" w:hAnsi="宋体" w:cs="宋体"/>
          <w:sz w:val="22"/>
        </w:rPr>
      </w:pPr>
      <w:r>
        <w:rPr>
          <w:rFonts w:hint="eastAsia" w:ascii="宋体" w:hAnsi="宋体" w:cs="宋体"/>
          <w:b/>
          <w:bCs/>
          <w:color w:val="000000"/>
          <w:sz w:val="22"/>
        </w:rPr>
        <w:t>一、本公司已充分知悉“隐瞒真实情况，提供虚假资料”的法定情形，相关情形包括但不限于</w:t>
      </w:r>
      <w:r>
        <w:rPr>
          <w:rFonts w:hint="eastAsia" w:ascii="宋体" w:hAnsi="宋体" w:cs="宋体"/>
          <w:color w:val="000000"/>
          <w:sz w:val="22"/>
        </w:rPr>
        <w:t xml:space="preserve">： </w:t>
      </w:r>
    </w:p>
    <w:p w14:paraId="578900AC">
      <w:pPr>
        <w:ind w:firstLine="440" w:firstLineChars="200"/>
        <w:rPr>
          <w:rFonts w:ascii="宋体" w:hAnsi="宋体" w:cs="宋体"/>
          <w:sz w:val="22"/>
        </w:rPr>
      </w:pPr>
      <w:r>
        <w:rPr>
          <w:rFonts w:hint="eastAsia" w:ascii="宋体" w:hAnsi="宋体" w:cs="宋体"/>
          <w:sz w:val="22"/>
        </w:rPr>
        <w:t xml:space="preserve">（一）通过转让或者租借等方式从其他单位获取资格或者资质证书投标的。 </w:t>
      </w:r>
    </w:p>
    <w:p w14:paraId="77AF65A9">
      <w:pPr>
        <w:ind w:firstLine="440" w:firstLineChars="200"/>
        <w:rPr>
          <w:rFonts w:ascii="宋体" w:hAnsi="宋体" w:cs="宋体"/>
          <w:sz w:val="22"/>
        </w:rPr>
      </w:pPr>
      <w:r>
        <w:rPr>
          <w:rFonts w:hint="eastAsia" w:ascii="宋体" w:hAnsi="宋体" w:cs="宋体"/>
          <w:sz w:val="22"/>
        </w:rPr>
        <w:t xml:space="preserve">（二）由其他单位或者其他单位负责人在投标供应商编制的投标文件上加盖印章或者签字的。 </w:t>
      </w:r>
    </w:p>
    <w:p w14:paraId="408323CD">
      <w:pPr>
        <w:ind w:firstLine="440" w:firstLineChars="200"/>
        <w:rPr>
          <w:rFonts w:ascii="宋体" w:hAnsi="宋体" w:cs="宋体"/>
          <w:sz w:val="22"/>
        </w:rPr>
      </w:pPr>
      <w:r>
        <w:rPr>
          <w:rFonts w:hint="eastAsia" w:ascii="宋体" w:hAnsi="宋体" w:cs="宋体"/>
          <w:sz w:val="22"/>
        </w:rPr>
        <w:t xml:space="preserve">（三）项目负责人或者主要技术人员不是本单位人员的。 </w:t>
      </w:r>
    </w:p>
    <w:p w14:paraId="02714519">
      <w:pPr>
        <w:ind w:firstLine="440" w:firstLineChars="200"/>
        <w:rPr>
          <w:rFonts w:ascii="宋体" w:hAnsi="宋体" w:cs="宋体"/>
          <w:sz w:val="22"/>
        </w:rPr>
      </w:pPr>
      <w:r>
        <w:rPr>
          <w:rFonts w:hint="eastAsia" w:ascii="宋体" w:hAnsi="宋体" w:cs="宋体"/>
          <w:sz w:val="22"/>
        </w:rPr>
        <w:t xml:space="preserve">（四）投标保证金不是从投标供应商基本账户转出的。 </w:t>
      </w:r>
    </w:p>
    <w:p w14:paraId="24B225C1">
      <w:pPr>
        <w:ind w:firstLine="440" w:firstLineChars="200"/>
        <w:rPr>
          <w:rFonts w:ascii="宋体" w:hAnsi="宋体" w:cs="宋体"/>
          <w:sz w:val="22"/>
        </w:rPr>
      </w:pPr>
      <w:r>
        <w:rPr>
          <w:rFonts w:hint="eastAsia" w:ascii="宋体" w:hAnsi="宋体" w:cs="宋体"/>
          <w:sz w:val="22"/>
        </w:rPr>
        <w:t xml:space="preserve">（五）其他隐瞒真实情况、提供虚假资料的行为。 </w:t>
      </w:r>
    </w:p>
    <w:p w14:paraId="119A00F8">
      <w:pPr>
        <w:rPr>
          <w:rFonts w:ascii="宋体" w:hAnsi="宋体" w:cs="宋体"/>
          <w:sz w:val="22"/>
        </w:rPr>
      </w:pPr>
      <w:r>
        <w:rPr>
          <w:rFonts w:hint="eastAsia" w:ascii="宋体" w:hAnsi="宋体" w:cs="宋体"/>
          <w:b/>
          <w:bCs/>
          <w:color w:val="000000"/>
          <w:sz w:val="22"/>
        </w:rPr>
        <w:t xml:space="preserve">二、本公司已充分知悉“与其他采购参加人串通投标”的法定情形，相关情形包括但不限于： </w:t>
      </w:r>
    </w:p>
    <w:p w14:paraId="3E8B7022">
      <w:pPr>
        <w:ind w:firstLine="440" w:firstLineChars="200"/>
        <w:rPr>
          <w:rFonts w:ascii="宋体" w:hAnsi="宋体" w:cs="宋体"/>
          <w:sz w:val="22"/>
        </w:rPr>
      </w:pPr>
      <w:r>
        <w:rPr>
          <w:rFonts w:hint="eastAsia" w:ascii="宋体" w:hAnsi="宋体" w:cs="宋体"/>
          <w:color w:val="000000"/>
          <w:sz w:val="22"/>
        </w:rPr>
        <w:t>（一）投标供应商之间相互约定给予未中标的供应商利益补偿。</w:t>
      </w:r>
    </w:p>
    <w:p w14:paraId="48ABD29E">
      <w:pPr>
        <w:ind w:firstLine="440" w:firstLineChars="200"/>
        <w:rPr>
          <w:rFonts w:ascii="宋体" w:hAnsi="宋体" w:cs="宋体"/>
          <w:sz w:val="22"/>
        </w:rPr>
      </w:pPr>
      <w:r>
        <w:rPr>
          <w:rFonts w:hint="eastAsia" w:ascii="宋体" w:hAnsi="宋体" w:cs="宋体"/>
          <w:color w:val="000000"/>
          <w:sz w:val="22"/>
        </w:rPr>
        <w:t xml:space="preserve">（二）不同投标供应商的法定代表人、主要经营负责人、项目投标授权代表人、项目负责人、主要技术人员为同一人、属同一单位或者在同一单位缴纳社会保险。 </w:t>
      </w:r>
    </w:p>
    <w:p w14:paraId="0C6FEAA5">
      <w:pPr>
        <w:ind w:firstLine="440" w:firstLineChars="200"/>
        <w:rPr>
          <w:rFonts w:ascii="宋体" w:hAnsi="宋体" w:cs="宋体"/>
          <w:sz w:val="22"/>
        </w:rPr>
      </w:pPr>
      <w:r>
        <w:rPr>
          <w:rFonts w:hint="eastAsia" w:ascii="宋体" w:hAnsi="宋体" w:cs="宋体"/>
          <w:color w:val="000000"/>
          <w:sz w:val="22"/>
        </w:rPr>
        <w:t xml:space="preserve">（三）不同投标供应商的投标文件由同一单位或者同一人编制，或者由同一人分阶段参与编制的。 </w:t>
      </w:r>
    </w:p>
    <w:p w14:paraId="61526E67">
      <w:pPr>
        <w:ind w:firstLine="440" w:firstLineChars="200"/>
        <w:rPr>
          <w:rFonts w:ascii="宋体" w:hAnsi="宋体" w:cs="宋体"/>
          <w:sz w:val="22"/>
        </w:rPr>
      </w:pPr>
      <w:r>
        <w:rPr>
          <w:rFonts w:hint="eastAsia" w:ascii="宋体" w:hAnsi="宋体" w:cs="宋体"/>
          <w:color w:val="000000"/>
          <w:sz w:val="22"/>
        </w:rPr>
        <w:t>（四）不同投标供应商的投标文件或部分投标文件相互混装。</w:t>
      </w:r>
    </w:p>
    <w:p w14:paraId="67837BF5">
      <w:pPr>
        <w:ind w:firstLine="440" w:firstLineChars="200"/>
        <w:rPr>
          <w:rFonts w:ascii="宋体" w:hAnsi="宋体" w:cs="宋体"/>
          <w:sz w:val="22"/>
        </w:rPr>
      </w:pPr>
      <w:r>
        <w:rPr>
          <w:rFonts w:hint="eastAsia" w:ascii="宋体" w:hAnsi="宋体" w:cs="宋体"/>
          <w:color w:val="000000"/>
          <w:sz w:val="22"/>
        </w:rPr>
        <w:t xml:space="preserve">（五）不同投标供应商的投标文件内容存在非正常一致。 </w:t>
      </w:r>
    </w:p>
    <w:p w14:paraId="6017F731">
      <w:pPr>
        <w:ind w:firstLine="440" w:firstLineChars="200"/>
        <w:rPr>
          <w:rFonts w:ascii="宋体" w:hAnsi="宋体" w:cs="宋体"/>
          <w:sz w:val="22"/>
        </w:rPr>
      </w:pPr>
      <w:r>
        <w:rPr>
          <w:rFonts w:hint="eastAsia" w:ascii="宋体" w:hAnsi="宋体" w:cs="宋体"/>
          <w:color w:val="000000"/>
          <w:sz w:val="22"/>
        </w:rPr>
        <w:t xml:space="preserve">（六）由同一单位工作人员为两家以上（含两家）供应商进行同一项投标活动的。 </w:t>
      </w:r>
    </w:p>
    <w:p w14:paraId="3B06E504">
      <w:pPr>
        <w:ind w:firstLine="440" w:firstLineChars="200"/>
        <w:rPr>
          <w:rFonts w:ascii="宋体" w:hAnsi="宋体" w:cs="宋体"/>
          <w:sz w:val="22"/>
        </w:rPr>
      </w:pPr>
      <w:r>
        <w:rPr>
          <w:rFonts w:hint="eastAsia" w:ascii="宋体" w:hAnsi="宋体" w:cs="宋体"/>
          <w:color w:val="000000"/>
          <w:sz w:val="22"/>
        </w:rPr>
        <w:t xml:space="preserve">（七）不同投标人的投标报价呈规律性差异。 </w:t>
      </w:r>
    </w:p>
    <w:p w14:paraId="2841E89B">
      <w:pPr>
        <w:ind w:firstLine="440" w:firstLineChars="200"/>
        <w:rPr>
          <w:rFonts w:ascii="宋体" w:hAnsi="宋体" w:cs="宋体"/>
          <w:sz w:val="22"/>
        </w:rPr>
      </w:pPr>
      <w:r>
        <w:rPr>
          <w:rFonts w:hint="eastAsia" w:ascii="宋体" w:hAnsi="宋体" w:cs="宋体"/>
          <w:color w:val="000000"/>
          <w:sz w:val="22"/>
        </w:rPr>
        <w:t>（八）不同投标人的投标保证金从同一单位或者个人的账户转出。</w:t>
      </w:r>
    </w:p>
    <w:p w14:paraId="38064B34">
      <w:pPr>
        <w:ind w:firstLine="440" w:firstLineChars="200"/>
        <w:rPr>
          <w:rFonts w:ascii="宋体" w:hAnsi="宋体" w:cs="宋体"/>
          <w:sz w:val="22"/>
        </w:rPr>
      </w:pPr>
      <w:r>
        <w:rPr>
          <w:rFonts w:hint="eastAsia" w:ascii="宋体" w:hAnsi="宋体" w:cs="宋体"/>
          <w:color w:val="000000"/>
          <w:sz w:val="22"/>
        </w:rPr>
        <w:t xml:space="preserve">（九）主管部门依照法律、法规认定的其他情形。 </w:t>
      </w:r>
    </w:p>
    <w:p w14:paraId="37FF4F27">
      <w:pPr>
        <w:rPr>
          <w:rFonts w:ascii="宋体" w:hAnsi="宋体" w:cs="宋体"/>
          <w:sz w:val="22"/>
        </w:rPr>
      </w:pPr>
      <w:r>
        <w:rPr>
          <w:rFonts w:hint="eastAsia" w:ascii="宋体" w:hAnsi="宋体" w:cs="宋体"/>
          <w:b/>
          <w:bCs/>
          <w:color w:val="000000"/>
          <w:sz w:val="22"/>
        </w:rPr>
        <w:t xml:space="preserve">三、本公司已充分知悉下列情形所对应的法律风险，并在投标前已对相关风险事项进行排查。 </w:t>
      </w:r>
    </w:p>
    <w:p w14:paraId="49F7A754">
      <w:pPr>
        <w:ind w:firstLine="440" w:firstLineChars="200"/>
        <w:rPr>
          <w:rFonts w:ascii="宋体" w:hAnsi="宋体" w:cs="宋体"/>
          <w:sz w:val="22"/>
        </w:rPr>
      </w:pPr>
      <w:r>
        <w:rPr>
          <w:rFonts w:hint="eastAsia" w:ascii="宋体" w:hAnsi="宋体" w:cs="宋体"/>
          <w:color w:val="000000"/>
          <w:sz w:val="22"/>
        </w:rPr>
        <w:t>（一）对于从其他主体获取的投标资料，供应商应审慎核查，确保投标资料的真实性。</w:t>
      </w:r>
      <w:r>
        <w:rPr>
          <w:rFonts w:hint="eastAsia" w:ascii="宋体" w:hAnsi="宋体" w:cs="宋体"/>
          <w:b/>
          <w:bCs/>
          <w:color w:val="000000"/>
          <w:sz w:val="22"/>
        </w:rPr>
        <w:t xml:space="preserve">如主管部门查实投标文件中存在虚假资料的，无论相关资料是否由第三方或本公司员工提供，均不影响主管部门对供应商存在“隐瞒真实情况，提供虚假资料”违法行为的认定。 </w:t>
      </w:r>
    </w:p>
    <w:p w14:paraId="3CB884AA">
      <w:pPr>
        <w:ind w:firstLine="440" w:firstLineChars="200"/>
        <w:rPr>
          <w:rFonts w:ascii="宋体" w:hAnsi="宋体" w:cs="宋体"/>
          <w:sz w:val="22"/>
        </w:rPr>
      </w:pPr>
      <w:r>
        <w:rPr>
          <w:rFonts w:hint="eastAsia" w:ascii="宋体" w:hAnsi="宋体" w:cs="宋体"/>
          <w:color w:val="000000"/>
          <w:sz w:val="22"/>
        </w:rPr>
        <w:t xml:space="preserve">（二）对于涉及国家机关出具的公文、证件、证明材料等文件，一旦涉嫌虚假，经查实，主管部门将依法从严处理，并移送有关部门追究法律责任；涉嫌犯罪的，主管部门将一并移送司法机关追究法律责任。 </w:t>
      </w:r>
    </w:p>
    <w:p w14:paraId="17A12EF3">
      <w:pPr>
        <w:ind w:firstLine="440" w:firstLineChars="200"/>
        <w:rPr>
          <w:rFonts w:ascii="宋体" w:hAnsi="宋体" w:cs="宋体"/>
          <w:sz w:val="22"/>
        </w:rPr>
      </w:pPr>
      <w:r>
        <w:rPr>
          <w:rFonts w:hint="eastAsia" w:ascii="宋体" w:hAnsi="宋体" w:cs="宋体"/>
          <w:color w:val="000000"/>
          <w:sz w:val="22"/>
        </w:rPr>
        <w:t xml:space="preserve">（三）对于涉及安全生产、特种作业、抢险救灾、防疫等政府采购项目，供应商实施提供虚假资料、串通投标等违法行为的，主管部门将依法从严处理。 </w:t>
      </w:r>
    </w:p>
    <w:p w14:paraId="7B76F233">
      <w:pPr>
        <w:ind w:firstLine="440" w:firstLineChars="200"/>
        <w:rPr>
          <w:rFonts w:ascii="宋体" w:hAnsi="宋体" w:cs="宋体"/>
          <w:sz w:val="22"/>
        </w:rPr>
      </w:pPr>
      <w:r>
        <w:rPr>
          <w:rFonts w:hint="eastAsia" w:ascii="宋体" w:hAnsi="宋体" w:cs="宋体"/>
          <w:color w:val="000000"/>
          <w:sz w:val="22"/>
        </w:rPr>
        <w:t xml:space="preserve">（四）供应商应严格规范项目授权代表、员工参与招标投标的行为，加强对投标文件的审核。项目授权代表、员工编制、上传投标文件等行为违反政府采购法律法规或招标文件要求的，投标供应商应当依法承担相应法律责任。 </w:t>
      </w:r>
    </w:p>
    <w:p w14:paraId="17C98D35">
      <w:pPr>
        <w:ind w:firstLine="440" w:firstLineChars="200"/>
        <w:rPr>
          <w:rFonts w:ascii="宋体" w:hAnsi="宋体" w:cs="宋体"/>
          <w:sz w:val="22"/>
        </w:rPr>
      </w:pPr>
      <w:r>
        <w:rPr>
          <w:rFonts w:hint="eastAsia" w:ascii="宋体" w:hAnsi="宋体" w:cs="宋体"/>
          <w:color w:val="000000"/>
          <w:sz w:val="22"/>
        </w:rPr>
        <w:t xml:space="preserve">（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 </w:t>
      </w:r>
    </w:p>
    <w:p w14:paraId="5076A9A8">
      <w:pPr>
        <w:ind w:firstLine="440" w:firstLineChars="200"/>
        <w:rPr>
          <w:rFonts w:ascii="宋体" w:hAnsi="宋体" w:cs="宋体"/>
          <w:sz w:val="22"/>
        </w:rPr>
      </w:pPr>
      <w:r>
        <w:rPr>
          <w:rFonts w:hint="eastAsia" w:ascii="宋体" w:hAnsi="宋体" w:cs="宋体"/>
          <w:color w:val="000000"/>
          <w:sz w:val="22"/>
        </w:rPr>
        <w:t xml:space="preserve">（六）单位负责人为同一人或者存在直接控股、管理关系的不同供应商，不得参加同一合同项下的政府采购活动。相关情形如查实，依法作投标无效处理；涉嫌串通投标等违法行为的，主管部门将依法调查处理。 </w:t>
      </w:r>
    </w:p>
    <w:p w14:paraId="30DA3134">
      <w:pPr>
        <w:rPr>
          <w:rFonts w:ascii="宋体" w:hAnsi="宋体" w:cs="宋体"/>
          <w:sz w:val="22"/>
        </w:rPr>
      </w:pPr>
      <w:r>
        <w:rPr>
          <w:rFonts w:hint="eastAsia" w:ascii="宋体" w:hAnsi="宋体" w:cs="宋体"/>
          <w:b/>
          <w:bCs/>
          <w:color w:val="000000"/>
          <w:sz w:val="22"/>
        </w:rPr>
        <w:t xml:space="preserve">四、本公司已充分知悉政府采购违法、违规行为的法律后果。 </w:t>
      </w:r>
    </w:p>
    <w:p w14:paraId="3B9D3A14">
      <w:pPr>
        <w:ind w:firstLine="440" w:firstLineChars="200"/>
        <w:rPr>
          <w:rFonts w:ascii="宋体" w:hAnsi="宋体" w:cs="宋体"/>
          <w:sz w:val="22"/>
        </w:rPr>
      </w:pPr>
      <w:r>
        <w:rPr>
          <w:rFonts w:hint="eastAsia" w:ascii="宋体" w:hAnsi="宋体" w:cs="宋体"/>
          <w:color w:val="000000"/>
          <w:sz w:val="22"/>
        </w:rPr>
        <w:t xml:space="preserve">经查实，若投标供应商存在政府采购违法、违规行为，主管部门 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 </w:t>
      </w:r>
    </w:p>
    <w:p w14:paraId="5DDB29A7">
      <w:pPr>
        <w:ind w:firstLine="442" w:firstLineChars="200"/>
        <w:rPr>
          <w:rFonts w:ascii="宋体" w:hAnsi="宋体" w:cs="宋体"/>
          <w:b/>
          <w:bCs/>
          <w:color w:val="FF0000"/>
          <w:sz w:val="22"/>
        </w:rPr>
      </w:pPr>
      <w:r>
        <w:rPr>
          <w:rFonts w:hint="eastAsia" w:ascii="宋体" w:hAnsi="宋体" w:cs="宋体"/>
          <w:b/>
          <w:bCs/>
          <w:color w:val="FF0000"/>
          <w:sz w:val="22"/>
          <w:highlight w:val="yellow"/>
        </w:rPr>
        <w:t xml:space="preserve">以下文字请投标供应商抄写并确认：“本公司已仔细阅读《政府采购违法行为风险知悉确认书》，充分知悉违法行为的法律后果，并承诺将严谨、诚信、依法依规参与政府采购活动”。 </w:t>
      </w:r>
    </w:p>
    <w:p w14:paraId="278F96F2">
      <w:pPr>
        <w:pStyle w:val="30"/>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561F5445">
      <w:pPr>
        <w:pStyle w:val="30"/>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64F252AC">
      <w:pPr>
        <w:pStyle w:val="30"/>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39E35E0B">
      <w:pPr>
        <w:pStyle w:val="30"/>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1929E7F0">
      <w:pPr>
        <w:pStyle w:val="30"/>
        <w:rPr>
          <w:rFonts w:ascii="宋体" w:hAnsi="宋体" w:eastAsia="宋体" w:cs="宋体"/>
          <w:sz w:val="22"/>
          <w:szCs w:val="22"/>
        </w:rPr>
      </w:pPr>
    </w:p>
    <w:p w14:paraId="415AC9B7">
      <w:pPr>
        <w:widowControl/>
        <w:wordWrap w:val="0"/>
        <w:autoSpaceDE w:val="0"/>
        <w:autoSpaceDN w:val="0"/>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7D415F47">
      <w:pPr>
        <w:widowControl/>
        <w:wordWrap w:val="0"/>
        <w:autoSpaceDE w:val="0"/>
        <w:autoSpaceDN w:val="0"/>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（加盖公章）</w:t>
      </w:r>
    </w:p>
    <w:p w14:paraId="11A5597D">
      <w:pPr>
        <w:widowControl/>
        <w:wordWrap w:val="0"/>
        <w:autoSpaceDE w:val="0"/>
        <w:autoSpaceDN w:val="0"/>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08C3BBA5">
      <w:pPr>
        <w:rPr>
          <w:rFonts w:ascii="宋体" w:hAnsi="宋体" w:cs="宋体"/>
          <w:b/>
          <w:bCs/>
        </w:rPr>
      </w:pPr>
    </w:p>
    <w:p w14:paraId="2F5EE866">
      <w:pPr>
        <w:widowControl/>
        <w:autoSpaceDE w:val="0"/>
        <w:autoSpaceDN w:val="0"/>
        <w:ind w:firstLine="406" w:firstLineChars="200"/>
        <w:jc w:val="left"/>
        <w:rPr>
          <w:rFonts w:ascii="宋体" w:hAnsi="宋体" w:cs="宋体"/>
          <w:b/>
          <w:bCs/>
          <w:spacing w:val="-4"/>
          <w:kern w:val="0"/>
          <w:szCs w:val="21"/>
        </w:rPr>
      </w:pPr>
      <w:r>
        <w:rPr>
          <w:rFonts w:hint="eastAsia" w:ascii="宋体" w:hAnsi="宋体" w:cs="宋体"/>
          <w:b/>
          <w:bCs/>
          <w:spacing w:val="-4"/>
          <w:kern w:val="0"/>
          <w:szCs w:val="21"/>
        </w:rPr>
        <w:t>注：1.《政府采购违法行为风险知悉确认书》需由投标供应商负责人签字并加盖单位公章后，扫描上传至投标文件一并提交。</w:t>
      </w:r>
    </w:p>
    <w:p w14:paraId="147505A4">
      <w:pPr>
        <w:rPr>
          <w:rFonts w:ascii="宋体" w:hAnsi="宋体" w:cs="仿宋_GB2312"/>
          <w:szCs w:val="21"/>
        </w:rPr>
      </w:pPr>
      <w:r>
        <w:rPr>
          <w:rFonts w:hint="eastAsia" w:ascii="宋体" w:hAnsi="宋体" w:cs="宋体"/>
          <w:b/>
          <w:bCs/>
          <w:spacing w:val="-4"/>
          <w:kern w:val="0"/>
          <w:szCs w:val="21"/>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661F101D">
      <w:pPr>
        <w:spacing w:line="360" w:lineRule="auto"/>
        <w:rPr>
          <w:sz w:val="22"/>
        </w:rPr>
      </w:pPr>
    </w:p>
    <w:p w14:paraId="00E1558C"/>
    <w:p w14:paraId="411556C1">
      <w:pPr>
        <w:spacing w:after="156" w:afterLines="50"/>
        <w:ind w:firstLine="560" w:firstLineChars="200"/>
        <w:rPr>
          <w:rFonts w:ascii="宋体" w:hAnsi="宋体" w:cs="宋体"/>
          <w:sz w:val="22"/>
          <w:szCs w:val="22"/>
        </w:rPr>
      </w:pPr>
      <w:r>
        <w:rPr>
          <w:sz w:val="28"/>
          <w:szCs w:val="32"/>
        </w:rPr>
        <w:br w:type="page"/>
      </w:r>
    </w:p>
    <w:p w14:paraId="26C17FB6">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14:paraId="5E6A3F47">
      <w:pPr>
        <w:spacing w:after="156" w:afterLines="50"/>
        <w:rPr>
          <w:rFonts w:ascii="宋体" w:hAnsi="宋体" w:cs="宋体"/>
          <w:b/>
          <w:bCs/>
          <w:sz w:val="24"/>
        </w:rPr>
      </w:pPr>
      <w:r>
        <w:rPr>
          <w:rFonts w:hint="eastAsia" w:ascii="宋体" w:hAnsi="宋体" w:cs="宋体"/>
          <w:b/>
          <w:bCs/>
          <w:sz w:val="24"/>
        </w:rPr>
        <w:t>（一）投标人资格要求的证明文件</w:t>
      </w:r>
    </w:p>
    <w:p w14:paraId="27C45976">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14:paraId="7EF4D7D9">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14:paraId="14270432">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14:paraId="5F07161A">
      <w:pPr>
        <w:outlineLvl w:val="3"/>
        <w:rPr>
          <w:rFonts w:ascii="宋体" w:hAnsi="宋体" w:cs="宋体"/>
          <w:b/>
          <w:bCs/>
          <w:sz w:val="24"/>
        </w:rPr>
      </w:pPr>
      <w:r>
        <w:rPr>
          <w:rFonts w:hint="eastAsia" w:ascii="宋体" w:hAnsi="宋体" w:cs="宋体"/>
          <w:b/>
          <w:bCs/>
          <w:sz w:val="24"/>
        </w:rPr>
        <w:t>（二）近三年同类业绩</w:t>
      </w:r>
    </w:p>
    <w:tbl>
      <w:tblPr>
        <w:tblStyle w:val="18"/>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14:paraId="61EEF6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14:paraId="6A1088EE">
            <w:pPr>
              <w:rPr>
                <w:rFonts w:ascii="宋体" w:hAnsi="宋体" w:cs="宋体"/>
                <w:szCs w:val="21"/>
              </w:rPr>
            </w:pPr>
          </w:p>
        </w:tc>
      </w:tr>
      <w:tr w14:paraId="3AF3D9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40DB910">
            <w:pPr>
              <w:rPr>
                <w:rFonts w:ascii="宋体" w:hAnsi="宋体" w:cs="宋体"/>
                <w:szCs w:val="21"/>
              </w:rPr>
            </w:pPr>
            <w:r>
              <w:rPr>
                <w:rFonts w:hint="eastAsia" w:ascii="宋体" w:hAnsi="宋体" w:cs="宋体"/>
                <w:szCs w:val="21"/>
              </w:rPr>
              <w:t>采购人</w:t>
            </w:r>
          </w:p>
        </w:tc>
        <w:tc>
          <w:tcPr>
            <w:tcW w:w="1820" w:type="dxa"/>
            <w:vAlign w:val="center"/>
          </w:tcPr>
          <w:p w14:paraId="20AC25E6">
            <w:pPr>
              <w:rPr>
                <w:rFonts w:ascii="宋体" w:hAnsi="宋体" w:cs="宋体"/>
                <w:szCs w:val="21"/>
              </w:rPr>
            </w:pPr>
            <w:r>
              <w:rPr>
                <w:rFonts w:hint="eastAsia" w:ascii="宋体" w:hAnsi="宋体" w:cs="宋体"/>
                <w:szCs w:val="21"/>
              </w:rPr>
              <w:t>项目名称</w:t>
            </w:r>
          </w:p>
        </w:tc>
        <w:tc>
          <w:tcPr>
            <w:tcW w:w="1548" w:type="dxa"/>
            <w:vAlign w:val="center"/>
          </w:tcPr>
          <w:p w14:paraId="0F249D78">
            <w:pPr>
              <w:rPr>
                <w:rFonts w:ascii="宋体" w:hAnsi="宋体" w:cs="宋体"/>
                <w:szCs w:val="21"/>
              </w:rPr>
            </w:pPr>
            <w:r>
              <w:rPr>
                <w:rFonts w:hint="eastAsia" w:ascii="宋体" w:hAnsi="宋体" w:cs="宋体"/>
                <w:szCs w:val="21"/>
              </w:rPr>
              <w:t>项目规模（金额）</w:t>
            </w:r>
          </w:p>
        </w:tc>
        <w:tc>
          <w:tcPr>
            <w:tcW w:w="1464" w:type="dxa"/>
            <w:vAlign w:val="center"/>
          </w:tcPr>
          <w:p w14:paraId="32C81E4E">
            <w:pPr>
              <w:rPr>
                <w:rFonts w:ascii="宋体" w:hAnsi="宋体" w:cs="宋体"/>
                <w:szCs w:val="21"/>
              </w:rPr>
            </w:pPr>
            <w:r>
              <w:rPr>
                <w:rFonts w:hint="eastAsia" w:ascii="宋体" w:hAnsi="宋体" w:cs="宋体"/>
                <w:szCs w:val="21"/>
              </w:rPr>
              <w:t>合同签订日期</w:t>
            </w:r>
          </w:p>
        </w:tc>
        <w:tc>
          <w:tcPr>
            <w:tcW w:w="1263" w:type="dxa"/>
            <w:vAlign w:val="center"/>
          </w:tcPr>
          <w:p w14:paraId="7218250C">
            <w:pPr>
              <w:rPr>
                <w:rFonts w:ascii="宋体" w:hAnsi="宋体" w:cs="宋体"/>
                <w:szCs w:val="21"/>
              </w:rPr>
            </w:pPr>
            <w:r>
              <w:rPr>
                <w:rFonts w:hint="eastAsia" w:ascii="宋体" w:hAnsi="宋体" w:cs="宋体"/>
                <w:szCs w:val="21"/>
              </w:rPr>
              <w:t>履约验收时间</w:t>
            </w:r>
          </w:p>
        </w:tc>
        <w:tc>
          <w:tcPr>
            <w:tcW w:w="1418" w:type="dxa"/>
            <w:vAlign w:val="center"/>
          </w:tcPr>
          <w:p w14:paraId="64D7B486">
            <w:pPr>
              <w:rPr>
                <w:rFonts w:ascii="宋体" w:hAnsi="宋体" w:cs="宋体"/>
                <w:szCs w:val="21"/>
              </w:rPr>
            </w:pPr>
            <w:r>
              <w:rPr>
                <w:rFonts w:hint="eastAsia" w:ascii="宋体" w:hAnsi="宋体" w:cs="宋体"/>
                <w:szCs w:val="21"/>
              </w:rPr>
              <w:t>完成质量情况（以履约验收报告为准）</w:t>
            </w:r>
          </w:p>
        </w:tc>
      </w:tr>
      <w:tr w14:paraId="49C657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474400F">
            <w:pPr>
              <w:rPr>
                <w:rFonts w:ascii="宋体" w:hAnsi="宋体" w:cs="宋体"/>
                <w:szCs w:val="21"/>
              </w:rPr>
            </w:pPr>
          </w:p>
        </w:tc>
        <w:tc>
          <w:tcPr>
            <w:tcW w:w="1820" w:type="dxa"/>
            <w:vAlign w:val="center"/>
          </w:tcPr>
          <w:p w14:paraId="7AFB8B6A">
            <w:pPr>
              <w:rPr>
                <w:rFonts w:ascii="宋体" w:hAnsi="宋体" w:cs="宋体"/>
                <w:szCs w:val="21"/>
              </w:rPr>
            </w:pPr>
          </w:p>
        </w:tc>
        <w:tc>
          <w:tcPr>
            <w:tcW w:w="1548" w:type="dxa"/>
            <w:vAlign w:val="center"/>
          </w:tcPr>
          <w:p w14:paraId="6B78A653">
            <w:pPr>
              <w:rPr>
                <w:rFonts w:ascii="宋体" w:hAnsi="宋体" w:cs="宋体"/>
                <w:szCs w:val="21"/>
              </w:rPr>
            </w:pPr>
          </w:p>
        </w:tc>
        <w:tc>
          <w:tcPr>
            <w:tcW w:w="1464" w:type="dxa"/>
            <w:vAlign w:val="center"/>
          </w:tcPr>
          <w:p w14:paraId="544FEE9E">
            <w:pPr>
              <w:rPr>
                <w:rFonts w:ascii="宋体" w:hAnsi="宋体" w:cs="宋体"/>
                <w:szCs w:val="21"/>
              </w:rPr>
            </w:pPr>
          </w:p>
        </w:tc>
        <w:tc>
          <w:tcPr>
            <w:tcW w:w="1263" w:type="dxa"/>
            <w:vAlign w:val="center"/>
          </w:tcPr>
          <w:p w14:paraId="43A0688A">
            <w:pPr>
              <w:rPr>
                <w:rFonts w:ascii="宋体" w:hAnsi="宋体" w:cs="宋体"/>
                <w:szCs w:val="21"/>
              </w:rPr>
            </w:pPr>
          </w:p>
        </w:tc>
        <w:tc>
          <w:tcPr>
            <w:tcW w:w="1418" w:type="dxa"/>
            <w:vAlign w:val="center"/>
          </w:tcPr>
          <w:p w14:paraId="04213BA5">
            <w:pPr>
              <w:rPr>
                <w:rFonts w:ascii="宋体" w:hAnsi="宋体" w:cs="宋体"/>
                <w:szCs w:val="21"/>
              </w:rPr>
            </w:pPr>
          </w:p>
        </w:tc>
      </w:tr>
      <w:tr w14:paraId="199807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97227AC">
            <w:pPr>
              <w:rPr>
                <w:rFonts w:ascii="宋体" w:hAnsi="宋体" w:cs="宋体"/>
                <w:szCs w:val="21"/>
              </w:rPr>
            </w:pPr>
          </w:p>
        </w:tc>
        <w:tc>
          <w:tcPr>
            <w:tcW w:w="1820" w:type="dxa"/>
            <w:vAlign w:val="center"/>
          </w:tcPr>
          <w:p w14:paraId="700BC3AB">
            <w:pPr>
              <w:rPr>
                <w:rFonts w:ascii="宋体" w:hAnsi="宋体" w:cs="宋体"/>
                <w:szCs w:val="21"/>
              </w:rPr>
            </w:pPr>
          </w:p>
        </w:tc>
        <w:tc>
          <w:tcPr>
            <w:tcW w:w="1548" w:type="dxa"/>
            <w:vAlign w:val="center"/>
          </w:tcPr>
          <w:p w14:paraId="2B4CE6FC">
            <w:pPr>
              <w:rPr>
                <w:rFonts w:ascii="宋体" w:hAnsi="宋体" w:cs="宋体"/>
                <w:szCs w:val="21"/>
              </w:rPr>
            </w:pPr>
          </w:p>
        </w:tc>
        <w:tc>
          <w:tcPr>
            <w:tcW w:w="1464" w:type="dxa"/>
            <w:vAlign w:val="center"/>
          </w:tcPr>
          <w:p w14:paraId="457A809F">
            <w:pPr>
              <w:rPr>
                <w:rFonts w:ascii="宋体" w:hAnsi="宋体" w:cs="宋体"/>
                <w:szCs w:val="21"/>
              </w:rPr>
            </w:pPr>
          </w:p>
        </w:tc>
        <w:tc>
          <w:tcPr>
            <w:tcW w:w="1263" w:type="dxa"/>
            <w:vAlign w:val="center"/>
          </w:tcPr>
          <w:p w14:paraId="33170C1C">
            <w:pPr>
              <w:rPr>
                <w:rFonts w:ascii="宋体" w:hAnsi="宋体" w:cs="宋体"/>
                <w:szCs w:val="21"/>
              </w:rPr>
            </w:pPr>
          </w:p>
        </w:tc>
        <w:tc>
          <w:tcPr>
            <w:tcW w:w="1418" w:type="dxa"/>
            <w:vAlign w:val="center"/>
          </w:tcPr>
          <w:p w14:paraId="2F77407B">
            <w:pPr>
              <w:rPr>
                <w:rFonts w:ascii="宋体" w:hAnsi="宋体" w:cs="宋体"/>
                <w:szCs w:val="21"/>
              </w:rPr>
            </w:pPr>
          </w:p>
        </w:tc>
      </w:tr>
      <w:tr w14:paraId="68BB4E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5EED4BB">
            <w:pPr>
              <w:rPr>
                <w:rFonts w:ascii="宋体" w:hAnsi="宋体" w:cs="宋体"/>
                <w:szCs w:val="21"/>
              </w:rPr>
            </w:pPr>
          </w:p>
        </w:tc>
        <w:tc>
          <w:tcPr>
            <w:tcW w:w="1820" w:type="dxa"/>
            <w:vAlign w:val="center"/>
          </w:tcPr>
          <w:p w14:paraId="20D55C51">
            <w:pPr>
              <w:rPr>
                <w:rFonts w:ascii="宋体" w:hAnsi="宋体" w:cs="宋体"/>
                <w:szCs w:val="21"/>
              </w:rPr>
            </w:pPr>
          </w:p>
        </w:tc>
        <w:tc>
          <w:tcPr>
            <w:tcW w:w="1548" w:type="dxa"/>
            <w:vAlign w:val="center"/>
          </w:tcPr>
          <w:p w14:paraId="2A9CE409">
            <w:pPr>
              <w:rPr>
                <w:rFonts w:ascii="宋体" w:hAnsi="宋体" w:cs="宋体"/>
                <w:szCs w:val="21"/>
              </w:rPr>
            </w:pPr>
          </w:p>
        </w:tc>
        <w:tc>
          <w:tcPr>
            <w:tcW w:w="1464" w:type="dxa"/>
            <w:vAlign w:val="center"/>
          </w:tcPr>
          <w:p w14:paraId="1701BE38">
            <w:pPr>
              <w:rPr>
                <w:rFonts w:ascii="宋体" w:hAnsi="宋体" w:cs="宋体"/>
                <w:szCs w:val="21"/>
              </w:rPr>
            </w:pPr>
          </w:p>
        </w:tc>
        <w:tc>
          <w:tcPr>
            <w:tcW w:w="1263" w:type="dxa"/>
            <w:vAlign w:val="center"/>
          </w:tcPr>
          <w:p w14:paraId="548CF5D8">
            <w:pPr>
              <w:rPr>
                <w:rFonts w:ascii="宋体" w:hAnsi="宋体" w:cs="宋体"/>
                <w:szCs w:val="21"/>
              </w:rPr>
            </w:pPr>
          </w:p>
        </w:tc>
        <w:tc>
          <w:tcPr>
            <w:tcW w:w="1418" w:type="dxa"/>
            <w:vAlign w:val="center"/>
          </w:tcPr>
          <w:p w14:paraId="0BFB3E55">
            <w:pPr>
              <w:rPr>
                <w:rFonts w:ascii="宋体" w:hAnsi="宋体" w:cs="宋体"/>
                <w:szCs w:val="21"/>
              </w:rPr>
            </w:pPr>
          </w:p>
        </w:tc>
      </w:tr>
      <w:tr w14:paraId="70DD9B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C00BC9F">
            <w:pPr>
              <w:rPr>
                <w:rFonts w:ascii="宋体" w:hAnsi="宋体" w:cs="宋体"/>
                <w:szCs w:val="21"/>
              </w:rPr>
            </w:pPr>
          </w:p>
        </w:tc>
        <w:tc>
          <w:tcPr>
            <w:tcW w:w="1820" w:type="dxa"/>
            <w:vAlign w:val="center"/>
          </w:tcPr>
          <w:p w14:paraId="45C86F0E">
            <w:pPr>
              <w:rPr>
                <w:rFonts w:ascii="宋体" w:hAnsi="宋体" w:cs="宋体"/>
                <w:szCs w:val="21"/>
              </w:rPr>
            </w:pPr>
          </w:p>
        </w:tc>
        <w:tc>
          <w:tcPr>
            <w:tcW w:w="1548" w:type="dxa"/>
            <w:vAlign w:val="center"/>
          </w:tcPr>
          <w:p w14:paraId="3D4395FD">
            <w:pPr>
              <w:rPr>
                <w:rFonts w:ascii="宋体" w:hAnsi="宋体" w:cs="宋体"/>
                <w:szCs w:val="21"/>
              </w:rPr>
            </w:pPr>
          </w:p>
        </w:tc>
        <w:tc>
          <w:tcPr>
            <w:tcW w:w="1464" w:type="dxa"/>
            <w:vAlign w:val="center"/>
          </w:tcPr>
          <w:p w14:paraId="2BB9977C">
            <w:pPr>
              <w:rPr>
                <w:rFonts w:ascii="宋体" w:hAnsi="宋体" w:cs="宋体"/>
                <w:szCs w:val="21"/>
              </w:rPr>
            </w:pPr>
          </w:p>
        </w:tc>
        <w:tc>
          <w:tcPr>
            <w:tcW w:w="1263" w:type="dxa"/>
            <w:vAlign w:val="center"/>
          </w:tcPr>
          <w:p w14:paraId="51438148">
            <w:pPr>
              <w:rPr>
                <w:rFonts w:ascii="宋体" w:hAnsi="宋体" w:cs="宋体"/>
                <w:szCs w:val="21"/>
              </w:rPr>
            </w:pPr>
          </w:p>
        </w:tc>
        <w:tc>
          <w:tcPr>
            <w:tcW w:w="1418" w:type="dxa"/>
            <w:vAlign w:val="center"/>
          </w:tcPr>
          <w:p w14:paraId="7D136DA7">
            <w:pPr>
              <w:rPr>
                <w:rFonts w:ascii="宋体" w:hAnsi="宋体" w:cs="宋体"/>
                <w:szCs w:val="21"/>
              </w:rPr>
            </w:pPr>
          </w:p>
        </w:tc>
      </w:tr>
    </w:tbl>
    <w:p w14:paraId="3EAD8764">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14:paraId="2EF58DDC"/>
    <w:p w14:paraId="729AF900">
      <w:pPr>
        <w:outlineLvl w:val="3"/>
        <w:rPr>
          <w:rFonts w:ascii="宋体" w:hAnsi="宋体" w:cs="宋体"/>
          <w:b/>
          <w:sz w:val="24"/>
        </w:rPr>
      </w:pPr>
      <w:r>
        <w:rPr>
          <w:rFonts w:hint="eastAsia" w:ascii="宋体" w:hAnsi="宋体" w:cs="宋体"/>
          <w:b/>
          <w:sz w:val="24"/>
        </w:rPr>
        <w:t>（三）投标人认为需提供的其他证明文件</w:t>
      </w:r>
    </w:p>
    <w:p w14:paraId="1973103D">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14:paraId="288CAD02">
      <w:pPr>
        <w:rPr>
          <w:rFonts w:ascii="宋体" w:hAnsi="宋体" w:cs="宋体"/>
          <w:bCs/>
          <w:szCs w:val="21"/>
        </w:rPr>
      </w:pPr>
    </w:p>
    <w:p w14:paraId="3970A4F1">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14:paraId="57C78173">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14:paraId="336506E8">
      <w:pPr>
        <w:rPr>
          <w:rFonts w:ascii="宋体" w:hAnsi="宋体" w:cs="宋体"/>
          <w:b/>
          <w:sz w:val="24"/>
        </w:rPr>
      </w:pPr>
    </w:p>
    <w:tbl>
      <w:tblPr>
        <w:tblStyle w:val="18"/>
        <w:tblW w:w="959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257"/>
        <w:gridCol w:w="2592"/>
        <w:gridCol w:w="3522"/>
        <w:gridCol w:w="2227"/>
      </w:tblGrid>
      <w:tr w14:paraId="723C10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0" w:hRule="atLeast"/>
          <w:jc w:val="center"/>
        </w:trPr>
        <w:tc>
          <w:tcPr>
            <w:tcW w:w="12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282AA38">
            <w:pPr>
              <w:widowControl/>
              <w:spacing w:line="360" w:lineRule="atLeast"/>
              <w:jc w:val="center"/>
            </w:pPr>
            <w:r>
              <w:rPr>
                <w:rFonts w:hint="eastAsia" w:ascii="宋体" w:hAnsi="宋体"/>
                <w:kern w:val="0"/>
                <w:sz w:val="22"/>
                <w:szCs w:val="22"/>
              </w:rPr>
              <w:t>序号</w:t>
            </w:r>
          </w:p>
        </w:tc>
        <w:tc>
          <w:tcPr>
            <w:tcW w:w="259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2A36076">
            <w:pPr>
              <w:widowControl/>
              <w:spacing w:line="360" w:lineRule="atLeast"/>
              <w:jc w:val="center"/>
            </w:pPr>
            <w:r>
              <w:rPr>
                <w:rFonts w:hint="eastAsia" w:ascii="宋体" w:hAnsi="宋体"/>
                <w:color w:val="0000FF"/>
                <w:kern w:val="0"/>
                <w:sz w:val="22"/>
                <w:szCs w:val="22"/>
              </w:rPr>
              <w:t>项目名称</w:t>
            </w:r>
          </w:p>
        </w:tc>
        <w:tc>
          <w:tcPr>
            <w:tcW w:w="35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6C06EB">
            <w:pPr>
              <w:widowControl/>
              <w:spacing w:line="360" w:lineRule="atLeast"/>
              <w:jc w:val="center"/>
            </w:pPr>
            <w:r>
              <w:rPr>
                <w:rFonts w:hint="eastAsia" w:ascii="宋体" w:hAnsi="宋体"/>
                <w:color w:val="0000FF"/>
                <w:kern w:val="0"/>
                <w:sz w:val="22"/>
                <w:szCs w:val="22"/>
              </w:rPr>
              <w:t>投标价格</w:t>
            </w:r>
          </w:p>
        </w:tc>
        <w:tc>
          <w:tcPr>
            <w:tcW w:w="222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8B293A2">
            <w:pPr>
              <w:widowControl/>
              <w:spacing w:line="360" w:lineRule="atLeast"/>
              <w:jc w:val="center"/>
            </w:pPr>
            <w:r>
              <w:rPr>
                <w:rFonts w:hint="eastAsia" w:ascii="宋体" w:hAnsi="宋体"/>
                <w:kern w:val="0"/>
                <w:sz w:val="22"/>
                <w:szCs w:val="22"/>
              </w:rPr>
              <w:t>财政预算限额（元）</w:t>
            </w:r>
          </w:p>
        </w:tc>
      </w:tr>
      <w:tr w14:paraId="491A8D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257" w:type="dxa"/>
            <w:tcBorders>
              <w:top w:val="nil"/>
              <w:left w:val="single" w:color="auto" w:sz="8" w:space="0"/>
              <w:bottom w:val="nil"/>
              <w:right w:val="single" w:color="auto" w:sz="8" w:space="0"/>
            </w:tcBorders>
            <w:shd w:val="clear" w:color="auto" w:fill="auto"/>
            <w:tcMar>
              <w:left w:w="108" w:type="dxa"/>
              <w:right w:w="108" w:type="dxa"/>
            </w:tcMar>
          </w:tcPr>
          <w:p w14:paraId="7BEE23EB">
            <w:pPr>
              <w:widowControl/>
              <w:spacing w:line="360" w:lineRule="atLeast"/>
              <w:jc w:val="left"/>
            </w:pPr>
            <w:r>
              <w:rPr>
                <w:rFonts w:hint="eastAsia" w:ascii="宋体" w:hAnsi="宋体"/>
                <w:kern w:val="0"/>
                <w:sz w:val="22"/>
                <w:szCs w:val="22"/>
              </w:rPr>
              <w:t> </w:t>
            </w:r>
          </w:p>
        </w:tc>
        <w:tc>
          <w:tcPr>
            <w:tcW w:w="2592" w:type="dxa"/>
            <w:tcBorders>
              <w:top w:val="nil"/>
              <w:left w:val="nil"/>
              <w:bottom w:val="nil"/>
              <w:right w:val="single" w:color="auto" w:sz="8" w:space="0"/>
            </w:tcBorders>
            <w:shd w:val="clear" w:color="auto" w:fill="auto"/>
            <w:tcMar>
              <w:left w:w="108" w:type="dxa"/>
              <w:right w:w="108" w:type="dxa"/>
            </w:tcMar>
          </w:tcPr>
          <w:p w14:paraId="329A294A">
            <w:pPr>
              <w:widowControl/>
              <w:spacing w:line="360" w:lineRule="atLeast"/>
              <w:jc w:val="left"/>
            </w:pPr>
            <w:r>
              <w:rPr>
                <w:rFonts w:hint="eastAsia" w:ascii="宋体" w:hAnsi="宋体"/>
                <w:kern w:val="0"/>
                <w:sz w:val="22"/>
                <w:szCs w:val="22"/>
              </w:rPr>
              <w:t> </w:t>
            </w:r>
          </w:p>
        </w:tc>
        <w:tc>
          <w:tcPr>
            <w:tcW w:w="3522" w:type="dxa"/>
            <w:tcBorders>
              <w:top w:val="nil"/>
              <w:left w:val="nil"/>
              <w:bottom w:val="nil"/>
              <w:right w:val="single" w:color="auto" w:sz="8" w:space="0"/>
            </w:tcBorders>
            <w:shd w:val="clear" w:color="auto" w:fill="auto"/>
            <w:tcMar>
              <w:left w:w="108" w:type="dxa"/>
              <w:right w:w="108" w:type="dxa"/>
            </w:tcMar>
          </w:tcPr>
          <w:p w14:paraId="354A5FE2">
            <w:pPr>
              <w:widowControl/>
              <w:spacing w:line="360" w:lineRule="atLeast"/>
              <w:jc w:val="left"/>
            </w:pPr>
            <w:r>
              <w:rPr>
                <w:rFonts w:hint="eastAsia" w:ascii="宋体" w:hAnsi="宋体"/>
                <w:kern w:val="0"/>
                <w:sz w:val="22"/>
                <w:szCs w:val="22"/>
              </w:rPr>
              <w:t> </w:t>
            </w:r>
          </w:p>
        </w:tc>
        <w:tc>
          <w:tcPr>
            <w:tcW w:w="2227" w:type="dxa"/>
            <w:tcBorders>
              <w:top w:val="nil"/>
              <w:left w:val="nil"/>
              <w:bottom w:val="nil"/>
              <w:right w:val="single" w:color="auto" w:sz="8" w:space="0"/>
            </w:tcBorders>
            <w:shd w:val="clear" w:color="auto" w:fill="auto"/>
            <w:tcMar>
              <w:left w:w="108" w:type="dxa"/>
              <w:right w:w="108" w:type="dxa"/>
            </w:tcMar>
          </w:tcPr>
          <w:p w14:paraId="7DB6FD20">
            <w:pPr>
              <w:widowControl/>
              <w:spacing w:line="360" w:lineRule="atLeast"/>
              <w:jc w:val="left"/>
            </w:pPr>
            <w:r>
              <w:rPr>
                <w:rFonts w:hint="eastAsia" w:ascii="宋体" w:hAnsi="宋体"/>
                <w:kern w:val="0"/>
                <w:sz w:val="22"/>
                <w:szCs w:val="22"/>
              </w:rPr>
              <w:t> </w:t>
            </w:r>
          </w:p>
        </w:tc>
      </w:tr>
      <w:tr w14:paraId="38A503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257"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34462DD5">
            <w:pPr>
              <w:widowControl/>
              <w:spacing w:line="360" w:lineRule="atLeast"/>
              <w:jc w:val="left"/>
              <w:rPr>
                <w:rFonts w:ascii="宋体" w:hAnsi="宋体"/>
                <w:kern w:val="0"/>
                <w:sz w:val="22"/>
                <w:szCs w:val="22"/>
              </w:rPr>
            </w:pPr>
          </w:p>
        </w:tc>
        <w:tc>
          <w:tcPr>
            <w:tcW w:w="2592" w:type="dxa"/>
            <w:tcBorders>
              <w:top w:val="nil"/>
              <w:left w:val="nil"/>
              <w:bottom w:val="single" w:color="auto" w:sz="8" w:space="0"/>
              <w:right w:val="single" w:color="auto" w:sz="8" w:space="0"/>
            </w:tcBorders>
            <w:shd w:val="clear" w:color="auto" w:fill="auto"/>
            <w:tcMar>
              <w:left w:w="108" w:type="dxa"/>
              <w:right w:w="108" w:type="dxa"/>
            </w:tcMar>
          </w:tcPr>
          <w:p w14:paraId="6DDB8E61">
            <w:pPr>
              <w:widowControl/>
              <w:spacing w:line="360" w:lineRule="atLeast"/>
              <w:jc w:val="left"/>
              <w:rPr>
                <w:rFonts w:ascii="宋体" w:hAnsi="宋体"/>
                <w:kern w:val="0"/>
                <w:sz w:val="22"/>
                <w:szCs w:val="22"/>
              </w:rPr>
            </w:pPr>
          </w:p>
        </w:tc>
        <w:tc>
          <w:tcPr>
            <w:tcW w:w="3522" w:type="dxa"/>
            <w:tcBorders>
              <w:top w:val="nil"/>
              <w:left w:val="nil"/>
              <w:bottom w:val="single" w:color="auto" w:sz="8" w:space="0"/>
              <w:right w:val="single" w:color="auto" w:sz="8" w:space="0"/>
            </w:tcBorders>
            <w:shd w:val="clear" w:color="auto" w:fill="auto"/>
            <w:tcMar>
              <w:left w:w="108" w:type="dxa"/>
              <w:right w:w="108" w:type="dxa"/>
            </w:tcMar>
          </w:tcPr>
          <w:p w14:paraId="01C7601F">
            <w:pPr>
              <w:widowControl/>
              <w:spacing w:line="360" w:lineRule="atLeast"/>
              <w:jc w:val="left"/>
              <w:rPr>
                <w:rFonts w:ascii="宋体" w:hAnsi="宋体"/>
                <w:kern w:val="0"/>
                <w:sz w:val="22"/>
                <w:szCs w:val="22"/>
              </w:rPr>
            </w:pPr>
          </w:p>
        </w:tc>
        <w:tc>
          <w:tcPr>
            <w:tcW w:w="2227" w:type="dxa"/>
            <w:tcBorders>
              <w:top w:val="nil"/>
              <w:left w:val="nil"/>
              <w:bottom w:val="single" w:color="auto" w:sz="8" w:space="0"/>
              <w:right w:val="single" w:color="auto" w:sz="8" w:space="0"/>
            </w:tcBorders>
            <w:shd w:val="clear" w:color="auto" w:fill="auto"/>
            <w:tcMar>
              <w:left w:w="108" w:type="dxa"/>
              <w:right w:w="108" w:type="dxa"/>
            </w:tcMar>
          </w:tcPr>
          <w:p w14:paraId="1451B90D">
            <w:pPr>
              <w:widowControl/>
              <w:spacing w:line="360" w:lineRule="atLeast"/>
              <w:jc w:val="left"/>
              <w:rPr>
                <w:rFonts w:ascii="宋体" w:hAnsi="宋体"/>
                <w:kern w:val="0"/>
                <w:sz w:val="22"/>
                <w:szCs w:val="22"/>
              </w:rPr>
            </w:pPr>
          </w:p>
        </w:tc>
      </w:tr>
    </w:tbl>
    <w:p w14:paraId="630B789F">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14:paraId="34B6B80D">
      <w:pPr>
        <w:rPr>
          <w:rFonts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p>
    <w:p w14:paraId="08140682">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注：1.所有价格应按“招标文件”中规定的要求填写；</w:t>
      </w:r>
    </w:p>
    <w:p w14:paraId="733B2E4B">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14:paraId="37572DA9">
      <w:pPr>
        <w:widowControl/>
        <w:shd w:val="clear" w:color="auto" w:fill="FFFFFF"/>
        <w:spacing w:line="360" w:lineRule="atLeast"/>
        <w:ind w:firstLine="440" w:firstLineChars="200"/>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3.投标总价和项目报价表中单个采购预算条目报价均不得超过对应的财政预算限额，否则将导致废标。</w:t>
      </w:r>
    </w:p>
    <w:p w14:paraId="58B01A0F">
      <w:pPr>
        <w:widowControl/>
        <w:shd w:val="clear" w:color="auto" w:fill="FFFFFF"/>
        <w:spacing w:line="360" w:lineRule="atLeast"/>
        <w:ind w:firstLine="440" w:firstLineChars="200"/>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4.开标一览表的投标总价必须与项目报价表的投标总价一致。</w:t>
      </w:r>
    </w:p>
    <w:p w14:paraId="2E07367B">
      <w:pPr>
        <w:widowControl/>
        <w:shd w:val="clear" w:color="auto" w:fill="FFFFFF"/>
        <w:spacing w:line="360" w:lineRule="atLeast"/>
        <w:jc w:val="left"/>
        <w:rPr>
          <w:rFonts w:ascii="宋体" w:hAnsi="宋体" w:cs="宋体"/>
          <w:kern w:val="0"/>
          <w:sz w:val="22"/>
          <w:szCs w:val="22"/>
          <w:shd w:val="clear" w:color="auto" w:fill="FFFFFF"/>
        </w:rPr>
      </w:pPr>
    </w:p>
    <w:p w14:paraId="402C90B0">
      <w:pPr>
        <w:rPr>
          <w:rFonts w:ascii="宋体" w:hAnsi="宋体" w:cs="宋体"/>
          <w:sz w:val="24"/>
        </w:rPr>
      </w:pPr>
    </w:p>
    <w:p w14:paraId="6EC0B5B0">
      <w:pPr>
        <w:keepNext/>
        <w:keepLines/>
        <w:spacing w:before="260" w:after="260"/>
        <w:jc w:val="center"/>
        <w:outlineLvl w:val="2"/>
        <w:rPr>
          <w:rFonts w:ascii="宋体" w:hAnsi="宋体" w:cs="宋体"/>
          <w:b/>
          <w:sz w:val="28"/>
          <w:szCs w:val="28"/>
        </w:rPr>
      </w:pPr>
      <w:r>
        <w:rPr>
          <w:rFonts w:hint="eastAsia" w:ascii="宋体" w:hAnsi="宋体" w:cs="宋体"/>
          <w:b/>
          <w:sz w:val="28"/>
          <w:szCs w:val="28"/>
        </w:rPr>
        <w:t>七、技术规格偏离表</w:t>
      </w:r>
    </w:p>
    <w:p w14:paraId="41B91D6F">
      <w:pPr>
        <w:rPr>
          <w:rFonts w:ascii="宋体" w:hAnsi="宋体" w:cs="宋体"/>
          <w:sz w:val="24"/>
        </w:rPr>
      </w:pPr>
    </w:p>
    <w:p w14:paraId="62D83F5F">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14:paraId="5A7E4060">
      <w:pPr>
        <w:pStyle w:val="8"/>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14:paraId="4DB1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6D71B333">
            <w:pPr>
              <w:rPr>
                <w:rFonts w:ascii="宋体" w:hAnsi="宋体" w:cs="宋体"/>
                <w:szCs w:val="21"/>
              </w:rPr>
            </w:pPr>
            <w:r>
              <w:rPr>
                <w:rFonts w:hint="eastAsia" w:ascii="宋体" w:hAnsi="宋体" w:cs="宋体"/>
                <w:szCs w:val="21"/>
              </w:rPr>
              <w:t>序号</w:t>
            </w:r>
          </w:p>
        </w:tc>
        <w:tc>
          <w:tcPr>
            <w:tcW w:w="1356" w:type="dxa"/>
          </w:tcPr>
          <w:p w14:paraId="1029FAC5">
            <w:pPr>
              <w:rPr>
                <w:rFonts w:ascii="宋体" w:hAnsi="宋体" w:cs="宋体"/>
                <w:szCs w:val="21"/>
              </w:rPr>
            </w:pPr>
            <w:r>
              <w:rPr>
                <w:rFonts w:hint="eastAsia" w:ascii="宋体" w:hAnsi="宋体" w:cs="宋体"/>
                <w:szCs w:val="21"/>
              </w:rPr>
              <w:t>货物名称</w:t>
            </w:r>
          </w:p>
        </w:tc>
        <w:tc>
          <w:tcPr>
            <w:tcW w:w="1356" w:type="dxa"/>
          </w:tcPr>
          <w:p w14:paraId="3E9389C8">
            <w:pPr>
              <w:rPr>
                <w:rFonts w:ascii="宋体" w:hAnsi="宋体" w:cs="宋体"/>
                <w:szCs w:val="21"/>
              </w:rPr>
            </w:pPr>
            <w:r>
              <w:rPr>
                <w:rFonts w:hint="eastAsia" w:ascii="宋体" w:hAnsi="宋体" w:cs="宋体"/>
                <w:szCs w:val="21"/>
              </w:rPr>
              <w:t>招标技术要求</w:t>
            </w:r>
          </w:p>
        </w:tc>
        <w:tc>
          <w:tcPr>
            <w:tcW w:w="1356" w:type="dxa"/>
          </w:tcPr>
          <w:p w14:paraId="2D5CE41C">
            <w:pPr>
              <w:rPr>
                <w:rFonts w:ascii="宋体" w:hAnsi="宋体" w:cs="宋体"/>
                <w:szCs w:val="21"/>
              </w:rPr>
            </w:pPr>
            <w:r>
              <w:rPr>
                <w:rFonts w:hint="eastAsia" w:ascii="宋体" w:hAnsi="宋体" w:cs="宋体"/>
                <w:szCs w:val="21"/>
              </w:rPr>
              <w:t>投标技术响应</w:t>
            </w:r>
          </w:p>
        </w:tc>
        <w:tc>
          <w:tcPr>
            <w:tcW w:w="1484" w:type="dxa"/>
          </w:tcPr>
          <w:p w14:paraId="3C5A1B72">
            <w:pPr>
              <w:rPr>
                <w:rFonts w:ascii="宋体" w:hAnsi="宋体" w:cs="宋体"/>
                <w:szCs w:val="21"/>
              </w:rPr>
            </w:pPr>
            <w:r>
              <w:rPr>
                <w:rFonts w:hint="eastAsia" w:ascii="宋体" w:hAnsi="宋体" w:cs="宋体"/>
                <w:szCs w:val="21"/>
              </w:rPr>
              <w:t>偏离情况</w:t>
            </w:r>
          </w:p>
        </w:tc>
        <w:tc>
          <w:tcPr>
            <w:tcW w:w="1530" w:type="dxa"/>
          </w:tcPr>
          <w:p w14:paraId="2977A69E">
            <w:pPr>
              <w:rPr>
                <w:rFonts w:ascii="宋体" w:hAnsi="宋体" w:cs="宋体"/>
                <w:szCs w:val="21"/>
              </w:rPr>
            </w:pPr>
            <w:r>
              <w:rPr>
                <w:rFonts w:hint="eastAsia" w:ascii="宋体" w:hAnsi="宋体" w:cs="宋体"/>
                <w:szCs w:val="21"/>
              </w:rPr>
              <w:t>说明</w:t>
            </w:r>
          </w:p>
        </w:tc>
      </w:tr>
      <w:tr w14:paraId="77DD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6980E612">
            <w:pPr>
              <w:rPr>
                <w:rFonts w:ascii="宋体" w:hAnsi="宋体" w:cs="宋体"/>
                <w:szCs w:val="21"/>
              </w:rPr>
            </w:pPr>
          </w:p>
        </w:tc>
        <w:tc>
          <w:tcPr>
            <w:tcW w:w="1356" w:type="dxa"/>
          </w:tcPr>
          <w:p w14:paraId="020B3DE1">
            <w:pPr>
              <w:rPr>
                <w:rFonts w:ascii="宋体" w:hAnsi="宋体" w:cs="宋体"/>
                <w:szCs w:val="21"/>
              </w:rPr>
            </w:pPr>
          </w:p>
        </w:tc>
        <w:tc>
          <w:tcPr>
            <w:tcW w:w="1356" w:type="dxa"/>
          </w:tcPr>
          <w:p w14:paraId="5082E607">
            <w:pPr>
              <w:rPr>
                <w:rFonts w:ascii="宋体" w:hAnsi="宋体" w:cs="宋体"/>
                <w:szCs w:val="21"/>
              </w:rPr>
            </w:pPr>
          </w:p>
        </w:tc>
        <w:tc>
          <w:tcPr>
            <w:tcW w:w="1356" w:type="dxa"/>
          </w:tcPr>
          <w:p w14:paraId="6665EDA8">
            <w:pPr>
              <w:rPr>
                <w:rFonts w:ascii="宋体" w:hAnsi="宋体" w:cs="宋体"/>
                <w:szCs w:val="21"/>
              </w:rPr>
            </w:pPr>
          </w:p>
        </w:tc>
        <w:tc>
          <w:tcPr>
            <w:tcW w:w="1484" w:type="dxa"/>
          </w:tcPr>
          <w:p w14:paraId="20BD22EB">
            <w:pPr>
              <w:rPr>
                <w:rFonts w:ascii="宋体" w:hAnsi="宋体" w:cs="宋体"/>
                <w:szCs w:val="21"/>
              </w:rPr>
            </w:pPr>
          </w:p>
        </w:tc>
        <w:tc>
          <w:tcPr>
            <w:tcW w:w="1530" w:type="dxa"/>
          </w:tcPr>
          <w:p w14:paraId="04C036ED">
            <w:pPr>
              <w:rPr>
                <w:rFonts w:ascii="宋体" w:hAnsi="宋体" w:cs="宋体"/>
                <w:szCs w:val="21"/>
              </w:rPr>
            </w:pPr>
          </w:p>
        </w:tc>
      </w:tr>
      <w:tr w14:paraId="3058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31ED56BD">
            <w:pPr>
              <w:rPr>
                <w:rFonts w:ascii="宋体" w:hAnsi="宋体" w:cs="宋体"/>
                <w:szCs w:val="21"/>
              </w:rPr>
            </w:pPr>
          </w:p>
        </w:tc>
        <w:tc>
          <w:tcPr>
            <w:tcW w:w="1356" w:type="dxa"/>
          </w:tcPr>
          <w:p w14:paraId="42DA84FF">
            <w:pPr>
              <w:rPr>
                <w:rFonts w:ascii="宋体" w:hAnsi="宋体" w:cs="宋体"/>
                <w:szCs w:val="21"/>
              </w:rPr>
            </w:pPr>
          </w:p>
        </w:tc>
        <w:tc>
          <w:tcPr>
            <w:tcW w:w="1356" w:type="dxa"/>
          </w:tcPr>
          <w:p w14:paraId="7B68D38A">
            <w:pPr>
              <w:rPr>
                <w:rFonts w:ascii="宋体" w:hAnsi="宋体" w:cs="宋体"/>
                <w:szCs w:val="21"/>
              </w:rPr>
            </w:pPr>
          </w:p>
        </w:tc>
        <w:tc>
          <w:tcPr>
            <w:tcW w:w="1356" w:type="dxa"/>
          </w:tcPr>
          <w:p w14:paraId="35132A2F">
            <w:pPr>
              <w:rPr>
                <w:rFonts w:ascii="宋体" w:hAnsi="宋体" w:cs="宋体"/>
                <w:szCs w:val="21"/>
              </w:rPr>
            </w:pPr>
          </w:p>
        </w:tc>
        <w:tc>
          <w:tcPr>
            <w:tcW w:w="1484" w:type="dxa"/>
          </w:tcPr>
          <w:p w14:paraId="0F16D444">
            <w:pPr>
              <w:rPr>
                <w:rFonts w:ascii="宋体" w:hAnsi="宋体" w:cs="宋体"/>
                <w:szCs w:val="21"/>
              </w:rPr>
            </w:pPr>
          </w:p>
        </w:tc>
        <w:tc>
          <w:tcPr>
            <w:tcW w:w="1530" w:type="dxa"/>
          </w:tcPr>
          <w:p w14:paraId="07DF0687">
            <w:pPr>
              <w:rPr>
                <w:rFonts w:ascii="宋体" w:hAnsi="宋体" w:cs="宋体"/>
                <w:szCs w:val="21"/>
              </w:rPr>
            </w:pPr>
          </w:p>
        </w:tc>
      </w:tr>
      <w:tr w14:paraId="70C4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747EF346">
            <w:pPr>
              <w:rPr>
                <w:rFonts w:ascii="宋体" w:hAnsi="宋体" w:cs="宋体"/>
                <w:szCs w:val="21"/>
              </w:rPr>
            </w:pPr>
          </w:p>
        </w:tc>
        <w:tc>
          <w:tcPr>
            <w:tcW w:w="1356" w:type="dxa"/>
          </w:tcPr>
          <w:p w14:paraId="17F0912E">
            <w:pPr>
              <w:rPr>
                <w:rFonts w:ascii="宋体" w:hAnsi="宋体" w:cs="宋体"/>
                <w:szCs w:val="21"/>
              </w:rPr>
            </w:pPr>
          </w:p>
        </w:tc>
        <w:tc>
          <w:tcPr>
            <w:tcW w:w="1356" w:type="dxa"/>
          </w:tcPr>
          <w:p w14:paraId="256F6AC3">
            <w:pPr>
              <w:rPr>
                <w:rFonts w:ascii="宋体" w:hAnsi="宋体" w:cs="宋体"/>
                <w:szCs w:val="21"/>
              </w:rPr>
            </w:pPr>
          </w:p>
        </w:tc>
        <w:tc>
          <w:tcPr>
            <w:tcW w:w="1356" w:type="dxa"/>
          </w:tcPr>
          <w:p w14:paraId="48E77BF7">
            <w:pPr>
              <w:rPr>
                <w:rFonts w:ascii="宋体" w:hAnsi="宋体" w:cs="宋体"/>
                <w:szCs w:val="21"/>
              </w:rPr>
            </w:pPr>
          </w:p>
        </w:tc>
        <w:tc>
          <w:tcPr>
            <w:tcW w:w="1484" w:type="dxa"/>
          </w:tcPr>
          <w:p w14:paraId="0CAB9040">
            <w:pPr>
              <w:rPr>
                <w:rFonts w:ascii="宋体" w:hAnsi="宋体" w:cs="宋体"/>
                <w:szCs w:val="21"/>
              </w:rPr>
            </w:pPr>
          </w:p>
        </w:tc>
        <w:tc>
          <w:tcPr>
            <w:tcW w:w="1530" w:type="dxa"/>
          </w:tcPr>
          <w:p w14:paraId="49041FCF">
            <w:pPr>
              <w:rPr>
                <w:rFonts w:ascii="宋体" w:hAnsi="宋体" w:cs="宋体"/>
                <w:szCs w:val="21"/>
              </w:rPr>
            </w:pPr>
          </w:p>
        </w:tc>
      </w:tr>
      <w:tr w14:paraId="3E85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00FC8199">
            <w:pPr>
              <w:rPr>
                <w:rFonts w:ascii="宋体" w:hAnsi="宋体" w:cs="宋体"/>
                <w:szCs w:val="21"/>
              </w:rPr>
            </w:pPr>
          </w:p>
        </w:tc>
        <w:tc>
          <w:tcPr>
            <w:tcW w:w="1356" w:type="dxa"/>
          </w:tcPr>
          <w:p w14:paraId="175C62BC">
            <w:pPr>
              <w:rPr>
                <w:rFonts w:ascii="宋体" w:hAnsi="宋体" w:cs="宋体"/>
                <w:szCs w:val="21"/>
              </w:rPr>
            </w:pPr>
          </w:p>
        </w:tc>
        <w:tc>
          <w:tcPr>
            <w:tcW w:w="1356" w:type="dxa"/>
          </w:tcPr>
          <w:p w14:paraId="1413936F">
            <w:pPr>
              <w:rPr>
                <w:rFonts w:ascii="宋体" w:hAnsi="宋体" w:cs="宋体"/>
                <w:szCs w:val="21"/>
              </w:rPr>
            </w:pPr>
          </w:p>
        </w:tc>
        <w:tc>
          <w:tcPr>
            <w:tcW w:w="1356" w:type="dxa"/>
          </w:tcPr>
          <w:p w14:paraId="545470C6">
            <w:pPr>
              <w:rPr>
                <w:rFonts w:ascii="宋体" w:hAnsi="宋体" w:cs="宋体"/>
                <w:szCs w:val="21"/>
              </w:rPr>
            </w:pPr>
          </w:p>
        </w:tc>
        <w:tc>
          <w:tcPr>
            <w:tcW w:w="1484" w:type="dxa"/>
          </w:tcPr>
          <w:p w14:paraId="730E2A97">
            <w:pPr>
              <w:rPr>
                <w:rFonts w:ascii="宋体" w:hAnsi="宋体" w:cs="宋体"/>
                <w:szCs w:val="21"/>
              </w:rPr>
            </w:pPr>
          </w:p>
        </w:tc>
        <w:tc>
          <w:tcPr>
            <w:tcW w:w="1530" w:type="dxa"/>
          </w:tcPr>
          <w:p w14:paraId="6A9BF087">
            <w:pPr>
              <w:rPr>
                <w:rFonts w:ascii="宋体" w:hAnsi="宋体" w:cs="宋体"/>
                <w:szCs w:val="21"/>
              </w:rPr>
            </w:pPr>
          </w:p>
        </w:tc>
      </w:tr>
      <w:tr w14:paraId="7585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71C65459">
            <w:pPr>
              <w:rPr>
                <w:rFonts w:ascii="宋体" w:hAnsi="宋体" w:cs="宋体"/>
                <w:szCs w:val="21"/>
              </w:rPr>
            </w:pPr>
          </w:p>
        </w:tc>
        <w:tc>
          <w:tcPr>
            <w:tcW w:w="1356" w:type="dxa"/>
          </w:tcPr>
          <w:p w14:paraId="4AFA8679">
            <w:pPr>
              <w:rPr>
                <w:rFonts w:ascii="宋体" w:hAnsi="宋体" w:cs="宋体"/>
                <w:szCs w:val="21"/>
              </w:rPr>
            </w:pPr>
          </w:p>
        </w:tc>
        <w:tc>
          <w:tcPr>
            <w:tcW w:w="1356" w:type="dxa"/>
          </w:tcPr>
          <w:p w14:paraId="7A7FDC8D">
            <w:pPr>
              <w:rPr>
                <w:rFonts w:ascii="宋体" w:hAnsi="宋体" w:cs="宋体"/>
                <w:szCs w:val="21"/>
              </w:rPr>
            </w:pPr>
          </w:p>
        </w:tc>
        <w:tc>
          <w:tcPr>
            <w:tcW w:w="1356" w:type="dxa"/>
          </w:tcPr>
          <w:p w14:paraId="2F140677">
            <w:pPr>
              <w:rPr>
                <w:rFonts w:ascii="宋体" w:hAnsi="宋体" w:cs="宋体"/>
                <w:szCs w:val="21"/>
              </w:rPr>
            </w:pPr>
          </w:p>
        </w:tc>
        <w:tc>
          <w:tcPr>
            <w:tcW w:w="1484" w:type="dxa"/>
          </w:tcPr>
          <w:p w14:paraId="286EE53C">
            <w:pPr>
              <w:rPr>
                <w:rFonts w:ascii="宋体" w:hAnsi="宋体" w:cs="宋体"/>
                <w:szCs w:val="21"/>
              </w:rPr>
            </w:pPr>
          </w:p>
        </w:tc>
        <w:tc>
          <w:tcPr>
            <w:tcW w:w="1530" w:type="dxa"/>
          </w:tcPr>
          <w:p w14:paraId="4C6129DC">
            <w:pPr>
              <w:rPr>
                <w:rFonts w:ascii="宋体" w:hAnsi="宋体" w:cs="宋体"/>
                <w:szCs w:val="21"/>
              </w:rPr>
            </w:pPr>
          </w:p>
        </w:tc>
      </w:tr>
    </w:tbl>
    <w:p w14:paraId="25D0CEC0">
      <w:pPr>
        <w:rPr>
          <w:rFonts w:ascii="宋体" w:hAnsi="宋体" w:cs="宋体"/>
          <w:szCs w:val="21"/>
        </w:rPr>
      </w:pPr>
      <w:r>
        <w:rPr>
          <w:rFonts w:hint="eastAsia" w:ascii="宋体" w:hAnsi="宋体" w:cs="宋体"/>
          <w:szCs w:val="21"/>
        </w:rPr>
        <w:t>备注：</w:t>
      </w:r>
    </w:p>
    <w:p w14:paraId="499EE94D">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14:paraId="4CCB22F0">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14:paraId="3996F1A7">
      <w:pPr>
        <w:rPr>
          <w:rFonts w:ascii="宋体" w:hAnsi="宋体" w:cs="宋体"/>
          <w:szCs w:val="21"/>
        </w:rPr>
      </w:pPr>
      <w:r>
        <w:rPr>
          <w:rFonts w:hint="eastAsia" w:ascii="宋体" w:hAnsi="宋体" w:cs="宋体"/>
          <w:szCs w:val="21"/>
        </w:rPr>
        <w:t>3、“偏离情况”一栏应如实填写“正偏离”、“负偏离”或“无偏离”。</w:t>
      </w:r>
    </w:p>
    <w:p w14:paraId="5054CA7B">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73B6582">
      <w:pPr>
        <w:rPr>
          <w:rFonts w:ascii="宋体" w:hAnsi="宋体" w:cs="宋体"/>
          <w:szCs w:val="21"/>
        </w:rPr>
      </w:pPr>
      <w:r>
        <w:rPr>
          <w:rFonts w:hint="eastAsia" w:ascii="宋体" w:hAnsi="宋体" w:cs="宋体"/>
          <w:szCs w:val="21"/>
        </w:rPr>
        <w:t>5、证明资料（均为原件扫描件）的提供要求：</w:t>
      </w:r>
    </w:p>
    <w:p w14:paraId="5DE63AF4">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1E06002">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14:paraId="39D0CB72">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14:paraId="2D9679CF">
      <w:pPr>
        <w:rPr>
          <w:rFonts w:ascii="宋体" w:hAnsi="宋体" w:cs="宋体"/>
          <w:sz w:val="24"/>
        </w:rPr>
      </w:pPr>
    </w:p>
    <w:p w14:paraId="57865B78">
      <w:pPr>
        <w:keepNext/>
        <w:keepLines/>
        <w:spacing w:before="260" w:after="260"/>
        <w:jc w:val="center"/>
        <w:outlineLvl w:val="2"/>
        <w:rPr>
          <w:rFonts w:ascii="宋体" w:hAnsi="宋体" w:cs="宋体"/>
          <w:b/>
          <w:sz w:val="28"/>
          <w:szCs w:val="28"/>
        </w:rPr>
      </w:pPr>
      <w:r>
        <w:rPr>
          <w:rFonts w:hint="eastAsia" w:ascii="宋体" w:hAnsi="宋体" w:cs="宋体"/>
          <w:b/>
          <w:sz w:val="28"/>
          <w:szCs w:val="28"/>
        </w:rPr>
        <w:t>八、商务需求偏离表</w:t>
      </w:r>
    </w:p>
    <w:p w14:paraId="05D94F3E">
      <w:pPr>
        <w:rPr>
          <w:rFonts w:ascii="宋体" w:hAnsi="宋体" w:cs="宋体"/>
          <w:b/>
          <w:szCs w:val="21"/>
        </w:rPr>
      </w:pPr>
    </w:p>
    <w:p w14:paraId="785679A5">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14:paraId="58A8DEC2">
      <w:pPr>
        <w:rPr>
          <w:rFonts w:ascii="宋体" w:hAnsi="宋体" w:cs="宋体"/>
          <w:szCs w:val="21"/>
        </w:rPr>
      </w:pPr>
    </w:p>
    <w:tbl>
      <w:tblPr>
        <w:tblStyle w:val="18"/>
        <w:tblpPr w:leftFromText="180" w:rightFromText="180" w:vertAnchor="text" w:tblpXSpec="lef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14:paraId="20B0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B22464A">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14:paraId="1EB2CA5C">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14:paraId="3677134A">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14:paraId="007C79D0">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14:paraId="195A52EB">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14:paraId="68AF567E">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14:paraId="137B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0D4438F">
            <w:pPr>
              <w:rPr>
                <w:rFonts w:ascii="宋体" w:hAnsi="宋体" w:cs="宋体"/>
                <w:szCs w:val="21"/>
              </w:rPr>
            </w:pPr>
            <w:r>
              <w:rPr>
                <w:rFonts w:hint="eastAsia" w:ascii="宋体" w:hAnsi="宋体" w:cs="宋体"/>
                <w:szCs w:val="21"/>
              </w:rPr>
              <w:t>1</w:t>
            </w:r>
          </w:p>
        </w:tc>
        <w:tc>
          <w:tcPr>
            <w:tcW w:w="1080" w:type="dxa"/>
          </w:tcPr>
          <w:p w14:paraId="71955E15">
            <w:pPr>
              <w:rPr>
                <w:rFonts w:ascii="宋体" w:hAnsi="宋体" w:cs="宋体"/>
                <w:szCs w:val="21"/>
              </w:rPr>
            </w:pPr>
          </w:p>
        </w:tc>
        <w:tc>
          <w:tcPr>
            <w:tcW w:w="1980" w:type="dxa"/>
          </w:tcPr>
          <w:p w14:paraId="5124F184">
            <w:pPr>
              <w:rPr>
                <w:rFonts w:ascii="宋体" w:hAnsi="宋体" w:cs="宋体"/>
                <w:szCs w:val="21"/>
              </w:rPr>
            </w:pPr>
          </w:p>
        </w:tc>
        <w:tc>
          <w:tcPr>
            <w:tcW w:w="1980" w:type="dxa"/>
          </w:tcPr>
          <w:p w14:paraId="50FE12B2">
            <w:pPr>
              <w:rPr>
                <w:rFonts w:ascii="宋体" w:hAnsi="宋体" w:cs="宋体"/>
                <w:szCs w:val="21"/>
              </w:rPr>
            </w:pPr>
          </w:p>
        </w:tc>
        <w:tc>
          <w:tcPr>
            <w:tcW w:w="1440" w:type="dxa"/>
          </w:tcPr>
          <w:p w14:paraId="4982B2B5">
            <w:pPr>
              <w:rPr>
                <w:rFonts w:ascii="宋体" w:hAnsi="宋体" w:cs="宋体"/>
                <w:szCs w:val="21"/>
              </w:rPr>
            </w:pPr>
          </w:p>
        </w:tc>
        <w:tc>
          <w:tcPr>
            <w:tcW w:w="1164" w:type="dxa"/>
          </w:tcPr>
          <w:p w14:paraId="15EF6C9B">
            <w:pPr>
              <w:rPr>
                <w:rFonts w:ascii="宋体" w:hAnsi="宋体" w:cs="宋体"/>
                <w:szCs w:val="21"/>
              </w:rPr>
            </w:pPr>
          </w:p>
        </w:tc>
      </w:tr>
      <w:tr w14:paraId="0731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3001482">
            <w:pPr>
              <w:rPr>
                <w:rFonts w:ascii="宋体" w:hAnsi="宋体" w:cs="宋体"/>
                <w:szCs w:val="21"/>
              </w:rPr>
            </w:pPr>
            <w:r>
              <w:rPr>
                <w:rFonts w:hint="eastAsia" w:ascii="宋体" w:hAnsi="宋体" w:cs="宋体"/>
                <w:szCs w:val="21"/>
              </w:rPr>
              <w:t>2</w:t>
            </w:r>
          </w:p>
        </w:tc>
        <w:tc>
          <w:tcPr>
            <w:tcW w:w="1080" w:type="dxa"/>
          </w:tcPr>
          <w:p w14:paraId="7C3CBD1F">
            <w:pPr>
              <w:rPr>
                <w:rFonts w:ascii="宋体" w:hAnsi="宋体" w:cs="宋体"/>
                <w:szCs w:val="21"/>
              </w:rPr>
            </w:pPr>
          </w:p>
        </w:tc>
        <w:tc>
          <w:tcPr>
            <w:tcW w:w="1980" w:type="dxa"/>
          </w:tcPr>
          <w:p w14:paraId="1293651F">
            <w:pPr>
              <w:rPr>
                <w:rFonts w:ascii="宋体" w:hAnsi="宋体" w:cs="宋体"/>
                <w:szCs w:val="21"/>
              </w:rPr>
            </w:pPr>
          </w:p>
        </w:tc>
        <w:tc>
          <w:tcPr>
            <w:tcW w:w="1980" w:type="dxa"/>
          </w:tcPr>
          <w:p w14:paraId="326E3D2F">
            <w:pPr>
              <w:rPr>
                <w:rFonts w:ascii="宋体" w:hAnsi="宋体" w:cs="宋体"/>
                <w:szCs w:val="21"/>
              </w:rPr>
            </w:pPr>
          </w:p>
        </w:tc>
        <w:tc>
          <w:tcPr>
            <w:tcW w:w="1440" w:type="dxa"/>
          </w:tcPr>
          <w:p w14:paraId="7F314891">
            <w:pPr>
              <w:rPr>
                <w:rFonts w:ascii="宋体" w:hAnsi="宋体" w:cs="宋体"/>
                <w:szCs w:val="21"/>
              </w:rPr>
            </w:pPr>
          </w:p>
        </w:tc>
        <w:tc>
          <w:tcPr>
            <w:tcW w:w="1164" w:type="dxa"/>
          </w:tcPr>
          <w:p w14:paraId="34DFEBDB">
            <w:pPr>
              <w:rPr>
                <w:rFonts w:ascii="宋体" w:hAnsi="宋体" w:cs="宋体"/>
                <w:szCs w:val="21"/>
              </w:rPr>
            </w:pPr>
          </w:p>
        </w:tc>
      </w:tr>
      <w:tr w14:paraId="071F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39B01D1">
            <w:pPr>
              <w:rPr>
                <w:rFonts w:ascii="宋体" w:hAnsi="宋体" w:cs="宋体"/>
                <w:szCs w:val="21"/>
              </w:rPr>
            </w:pPr>
            <w:r>
              <w:rPr>
                <w:rFonts w:hint="eastAsia" w:ascii="宋体" w:hAnsi="宋体" w:cs="宋体"/>
                <w:szCs w:val="21"/>
              </w:rPr>
              <w:t>……</w:t>
            </w:r>
          </w:p>
        </w:tc>
        <w:tc>
          <w:tcPr>
            <w:tcW w:w="1080" w:type="dxa"/>
          </w:tcPr>
          <w:p w14:paraId="2BF0B8C5">
            <w:pPr>
              <w:rPr>
                <w:rFonts w:ascii="宋体" w:hAnsi="宋体" w:cs="宋体"/>
                <w:szCs w:val="21"/>
              </w:rPr>
            </w:pPr>
          </w:p>
        </w:tc>
        <w:tc>
          <w:tcPr>
            <w:tcW w:w="1980" w:type="dxa"/>
          </w:tcPr>
          <w:p w14:paraId="3DAFCC4B">
            <w:pPr>
              <w:rPr>
                <w:rFonts w:ascii="宋体" w:hAnsi="宋体" w:cs="宋体"/>
                <w:szCs w:val="21"/>
              </w:rPr>
            </w:pPr>
          </w:p>
        </w:tc>
        <w:tc>
          <w:tcPr>
            <w:tcW w:w="1980" w:type="dxa"/>
          </w:tcPr>
          <w:p w14:paraId="6D1D4EE9">
            <w:pPr>
              <w:rPr>
                <w:rFonts w:ascii="宋体" w:hAnsi="宋体" w:cs="宋体"/>
                <w:szCs w:val="21"/>
              </w:rPr>
            </w:pPr>
          </w:p>
        </w:tc>
        <w:tc>
          <w:tcPr>
            <w:tcW w:w="1440" w:type="dxa"/>
          </w:tcPr>
          <w:p w14:paraId="1221395A">
            <w:pPr>
              <w:rPr>
                <w:rFonts w:ascii="宋体" w:hAnsi="宋体" w:cs="宋体"/>
                <w:szCs w:val="21"/>
              </w:rPr>
            </w:pPr>
          </w:p>
        </w:tc>
        <w:tc>
          <w:tcPr>
            <w:tcW w:w="1164" w:type="dxa"/>
          </w:tcPr>
          <w:p w14:paraId="2FC8A7BB">
            <w:pPr>
              <w:rPr>
                <w:rFonts w:ascii="宋体" w:hAnsi="宋体" w:cs="宋体"/>
                <w:szCs w:val="21"/>
              </w:rPr>
            </w:pPr>
          </w:p>
        </w:tc>
      </w:tr>
      <w:tr w14:paraId="2B2A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4F2B036">
            <w:pPr>
              <w:rPr>
                <w:rFonts w:ascii="宋体" w:hAnsi="宋体" w:cs="宋体"/>
                <w:szCs w:val="21"/>
              </w:rPr>
            </w:pPr>
          </w:p>
        </w:tc>
        <w:tc>
          <w:tcPr>
            <w:tcW w:w="1080" w:type="dxa"/>
          </w:tcPr>
          <w:p w14:paraId="63130B65">
            <w:pPr>
              <w:rPr>
                <w:rFonts w:ascii="宋体" w:hAnsi="宋体" w:cs="宋体"/>
                <w:szCs w:val="21"/>
              </w:rPr>
            </w:pPr>
          </w:p>
        </w:tc>
        <w:tc>
          <w:tcPr>
            <w:tcW w:w="1980" w:type="dxa"/>
          </w:tcPr>
          <w:p w14:paraId="76942E4C">
            <w:pPr>
              <w:rPr>
                <w:rFonts w:ascii="宋体" w:hAnsi="宋体" w:cs="宋体"/>
                <w:szCs w:val="21"/>
              </w:rPr>
            </w:pPr>
          </w:p>
        </w:tc>
        <w:tc>
          <w:tcPr>
            <w:tcW w:w="1980" w:type="dxa"/>
          </w:tcPr>
          <w:p w14:paraId="1ACE9A7D">
            <w:pPr>
              <w:rPr>
                <w:rFonts w:ascii="宋体" w:hAnsi="宋体" w:cs="宋体"/>
                <w:szCs w:val="21"/>
              </w:rPr>
            </w:pPr>
          </w:p>
        </w:tc>
        <w:tc>
          <w:tcPr>
            <w:tcW w:w="1440" w:type="dxa"/>
          </w:tcPr>
          <w:p w14:paraId="740F54C9">
            <w:pPr>
              <w:rPr>
                <w:rFonts w:ascii="宋体" w:hAnsi="宋体" w:cs="宋体"/>
                <w:szCs w:val="21"/>
              </w:rPr>
            </w:pPr>
          </w:p>
        </w:tc>
        <w:tc>
          <w:tcPr>
            <w:tcW w:w="1164" w:type="dxa"/>
          </w:tcPr>
          <w:p w14:paraId="20C24D9E">
            <w:pPr>
              <w:rPr>
                <w:rFonts w:ascii="宋体" w:hAnsi="宋体" w:cs="宋体"/>
                <w:szCs w:val="21"/>
              </w:rPr>
            </w:pPr>
          </w:p>
        </w:tc>
      </w:tr>
    </w:tbl>
    <w:p w14:paraId="0CB92186">
      <w:pPr>
        <w:rPr>
          <w:rFonts w:ascii="宋体" w:hAnsi="宋体" w:cs="宋体"/>
          <w:szCs w:val="21"/>
        </w:rPr>
      </w:pPr>
      <w:r>
        <w:rPr>
          <w:rFonts w:hint="eastAsia" w:ascii="宋体" w:hAnsi="宋体" w:cs="宋体"/>
          <w:szCs w:val="21"/>
        </w:rPr>
        <w:t>备注：</w:t>
      </w:r>
    </w:p>
    <w:p w14:paraId="2E29737E">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14:paraId="0A439DBB">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14:paraId="4D35EED1">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14:paraId="3D86156A">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14:paraId="7DA3F9C5">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14:paraId="36B0167A">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14:paraId="57FC648A">
      <w:pPr>
        <w:rPr>
          <w:rFonts w:ascii="宋体" w:hAnsi="宋体" w:cs="宋体"/>
        </w:rPr>
      </w:pPr>
    </w:p>
    <w:p w14:paraId="3A8F47CE">
      <w:pPr>
        <w:keepNext/>
        <w:keepLines/>
        <w:spacing w:before="260" w:after="260"/>
        <w:jc w:val="center"/>
        <w:outlineLvl w:val="2"/>
        <w:rPr>
          <w:rFonts w:ascii="宋体" w:hAnsi="宋体" w:cs="宋体"/>
          <w:b/>
          <w:sz w:val="28"/>
          <w:szCs w:val="28"/>
        </w:rPr>
      </w:pPr>
      <w:r>
        <w:rPr>
          <w:rFonts w:hint="eastAsia" w:ascii="宋体" w:hAnsi="宋体" w:cs="宋体"/>
          <w:b/>
          <w:sz w:val="28"/>
          <w:szCs w:val="28"/>
        </w:rPr>
        <w:t>九、</w:t>
      </w:r>
      <w:r>
        <w:rPr>
          <w:rFonts w:hint="eastAsia" w:ascii="宋体" w:hAnsi="宋体" w:cs="宋体"/>
          <w:b/>
          <w:sz w:val="28"/>
          <w:szCs w:val="28"/>
          <w:lang w:val="en-US" w:eastAsia="zh-CN"/>
        </w:rPr>
        <w:t>实施方案</w:t>
      </w:r>
    </w:p>
    <w:p w14:paraId="46EBE994">
      <w:pPr>
        <w:rPr>
          <w:rFonts w:ascii="宋体" w:hAnsi="宋体" w:cs="宋体"/>
          <w:szCs w:val="21"/>
        </w:rPr>
      </w:pPr>
      <w:r>
        <w:rPr>
          <w:rFonts w:hint="eastAsia" w:ascii="宋体" w:hAnsi="宋体" w:cs="宋体"/>
          <w:szCs w:val="21"/>
        </w:rPr>
        <w:t>主要内容应包括(根据项目实际情况</w:t>
      </w:r>
      <w:r>
        <w:rPr>
          <w:rFonts w:hint="eastAsia" w:ascii="宋体" w:hAnsi="宋体" w:cs="宋体"/>
          <w:szCs w:val="21"/>
          <w:lang w:val="en-US" w:eastAsia="zh-CN"/>
        </w:rPr>
        <w:t>及要求</w:t>
      </w:r>
      <w:r>
        <w:rPr>
          <w:rFonts w:hint="eastAsia" w:ascii="宋体" w:hAnsi="宋体" w:cs="宋体"/>
          <w:szCs w:val="21"/>
        </w:rPr>
        <w:t>适当调整内容)：</w:t>
      </w:r>
    </w:p>
    <w:p w14:paraId="668F6D5D">
      <w:pPr>
        <w:spacing w:line="360" w:lineRule="auto"/>
        <w:jc w:val="left"/>
        <w:rPr>
          <w:rFonts w:ascii="宋体" w:hAnsi="宋体"/>
          <w:szCs w:val="21"/>
        </w:rPr>
      </w:pPr>
      <w:r>
        <w:rPr>
          <w:rFonts w:hint="eastAsia" w:ascii="宋体" w:hAnsi="宋体"/>
          <w:szCs w:val="21"/>
        </w:rPr>
        <w:t>（1）供货方案；</w:t>
      </w:r>
    </w:p>
    <w:p w14:paraId="779D54B5">
      <w:pPr>
        <w:spacing w:line="360" w:lineRule="auto"/>
        <w:jc w:val="left"/>
        <w:rPr>
          <w:rFonts w:ascii="宋体" w:hAnsi="宋体"/>
          <w:szCs w:val="21"/>
        </w:rPr>
      </w:pPr>
      <w:r>
        <w:rPr>
          <w:rFonts w:hint="eastAsia" w:ascii="宋体" w:hAnsi="宋体"/>
          <w:szCs w:val="21"/>
        </w:rPr>
        <w:t>（2）施工方案；</w:t>
      </w:r>
    </w:p>
    <w:p w14:paraId="781EB6D0">
      <w:pPr>
        <w:spacing w:line="360" w:lineRule="auto"/>
        <w:jc w:val="left"/>
        <w:rPr>
          <w:rFonts w:ascii="宋体" w:hAnsi="宋体"/>
          <w:szCs w:val="21"/>
        </w:rPr>
      </w:pPr>
      <w:r>
        <w:rPr>
          <w:rFonts w:hint="eastAsia" w:ascii="宋体" w:hAnsi="宋体"/>
          <w:szCs w:val="21"/>
        </w:rPr>
        <w:t>（3）质量保障措施。</w:t>
      </w:r>
    </w:p>
    <w:p w14:paraId="5E36A0EF">
      <w:pPr>
        <w:rPr>
          <w:rFonts w:ascii="宋体" w:hAnsi="宋体" w:cs="宋体"/>
          <w:b/>
          <w:bCs/>
          <w:szCs w:val="21"/>
        </w:rPr>
      </w:pPr>
      <w:r>
        <w:rPr>
          <w:rFonts w:hint="eastAsia" w:ascii="宋体" w:hAnsi="宋体" w:cs="宋体"/>
          <w:b/>
          <w:bCs/>
          <w:szCs w:val="21"/>
        </w:rPr>
        <w:t>（备注：该部分须与“技术保障措施”、“实施安全保障措施”、“商务需求”等部分承诺的内容相呼应，不得前后矛盾。）</w:t>
      </w:r>
    </w:p>
    <w:p w14:paraId="7FF18531">
      <w:pPr>
        <w:rPr>
          <w:rFonts w:ascii="宋体" w:hAnsi="宋体" w:cs="宋体"/>
          <w:b/>
          <w:bCs/>
          <w:sz w:val="24"/>
        </w:rPr>
      </w:pPr>
    </w:p>
    <w:p w14:paraId="06E8A6C0">
      <w:pPr>
        <w:keepNext/>
        <w:keepLines/>
        <w:spacing w:before="260" w:after="260"/>
        <w:jc w:val="center"/>
        <w:outlineLvl w:val="2"/>
        <w:rPr>
          <w:rFonts w:ascii="宋体" w:hAnsi="宋体" w:cs="宋体"/>
          <w:sz w:val="24"/>
        </w:rPr>
      </w:pPr>
      <w:r>
        <w:rPr>
          <w:rFonts w:hint="eastAsia" w:ascii="宋体" w:hAnsi="宋体" w:cs="宋体"/>
          <w:b/>
          <w:sz w:val="28"/>
          <w:szCs w:val="28"/>
        </w:rPr>
        <w:t>十、</w:t>
      </w:r>
      <w:r>
        <w:rPr>
          <w:rFonts w:hint="eastAsia" w:ascii="宋体" w:hAnsi="宋体" w:cs="宋体"/>
          <w:b/>
          <w:sz w:val="28"/>
          <w:szCs w:val="28"/>
          <w:lang w:val="en-US" w:eastAsia="zh-CN"/>
        </w:rPr>
        <w:t>质量保障措施</w:t>
      </w:r>
      <w:r>
        <w:rPr>
          <w:rFonts w:hint="eastAsia" w:ascii="宋体" w:hAnsi="宋体" w:cs="宋体"/>
          <w:b/>
          <w:sz w:val="28"/>
          <w:szCs w:val="28"/>
        </w:rPr>
        <w:t>方案</w:t>
      </w:r>
    </w:p>
    <w:p w14:paraId="692AD439">
      <w:pPr>
        <w:rPr>
          <w:rFonts w:hint="eastAsia" w:ascii="宋体" w:hAnsi="宋体" w:eastAsia="宋体" w:cs="宋体"/>
          <w:szCs w:val="21"/>
        </w:rPr>
      </w:pPr>
      <w:r>
        <w:rPr>
          <w:rFonts w:hint="eastAsia" w:ascii="宋体" w:hAnsi="宋体" w:eastAsia="宋体" w:cs="宋体"/>
          <w:szCs w:val="21"/>
        </w:rPr>
        <w:t>主要内容应包括(根据项目实际情况</w:t>
      </w:r>
      <w:r>
        <w:rPr>
          <w:rFonts w:hint="eastAsia" w:ascii="宋体" w:hAnsi="宋体" w:eastAsia="宋体" w:cs="宋体"/>
          <w:szCs w:val="21"/>
          <w:lang w:val="en-US" w:eastAsia="zh-CN"/>
        </w:rPr>
        <w:t>及要求</w:t>
      </w:r>
      <w:r>
        <w:rPr>
          <w:rFonts w:hint="eastAsia" w:ascii="宋体" w:hAnsi="宋体" w:eastAsia="宋体" w:cs="宋体"/>
          <w:szCs w:val="21"/>
        </w:rPr>
        <w:t>适当调整内容)：</w:t>
      </w:r>
    </w:p>
    <w:p w14:paraId="2F0BCE06">
      <w:pPr>
        <w:rPr>
          <w:rFonts w:hint="eastAsia" w:ascii="宋体" w:hAnsi="宋体" w:eastAsia="宋体" w:cs="宋体"/>
          <w:szCs w:val="21"/>
        </w:rPr>
      </w:pPr>
      <w:r>
        <w:rPr>
          <w:rFonts w:hint="eastAsia" w:ascii="宋体" w:hAnsi="宋体" w:eastAsia="宋体" w:cs="宋体"/>
          <w:szCs w:val="21"/>
        </w:rPr>
        <w:t>（1）整体售后服务方案；</w:t>
      </w:r>
    </w:p>
    <w:p w14:paraId="518646FC">
      <w:pPr>
        <w:rPr>
          <w:rFonts w:hint="eastAsia" w:ascii="宋体" w:hAnsi="宋体" w:eastAsia="宋体" w:cs="宋体"/>
          <w:szCs w:val="21"/>
        </w:rPr>
      </w:pPr>
      <w:r>
        <w:rPr>
          <w:rFonts w:hint="eastAsia" w:ascii="宋体" w:hAnsi="宋体" w:eastAsia="宋体" w:cs="宋体"/>
          <w:szCs w:val="21"/>
        </w:rPr>
        <w:t>（2）维修服务队伍；</w:t>
      </w:r>
    </w:p>
    <w:p w14:paraId="426DE0C4">
      <w:pPr>
        <w:rPr>
          <w:rFonts w:hint="eastAsia" w:ascii="宋体" w:hAnsi="宋体" w:eastAsia="宋体" w:cs="宋体"/>
          <w:szCs w:val="21"/>
        </w:rPr>
      </w:pPr>
      <w:r>
        <w:rPr>
          <w:rFonts w:hint="eastAsia" w:ascii="宋体" w:hAnsi="宋体" w:eastAsia="宋体" w:cs="宋体"/>
          <w:szCs w:val="21"/>
        </w:rPr>
        <w:t>（3）维修响应时间；</w:t>
      </w:r>
    </w:p>
    <w:p w14:paraId="324E08FC">
      <w:pPr>
        <w:rPr>
          <w:rFonts w:hint="eastAsia" w:ascii="宋体" w:hAnsi="宋体" w:eastAsia="宋体" w:cs="宋体"/>
          <w:szCs w:val="21"/>
        </w:rPr>
      </w:pPr>
      <w:r>
        <w:rPr>
          <w:rFonts w:hint="eastAsia" w:ascii="宋体" w:hAnsi="宋体" w:eastAsia="宋体" w:cs="宋体"/>
          <w:szCs w:val="21"/>
        </w:rPr>
        <w:t>（4）配件储备情况。</w:t>
      </w:r>
    </w:p>
    <w:p w14:paraId="1214A5DC">
      <w:pPr>
        <w:rPr>
          <w:rFonts w:ascii="宋体" w:hAnsi="宋体" w:cs="宋体"/>
          <w:b/>
          <w:szCs w:val="21"/>
        </w:rPr>
      </w:pPr>
      <w:r>
        <w:rPr>
          <w:rFonts w:hint="eastAsia" w:ascii="宋体" w:hAnsi="宋体" w:cs="宋体"/>
          <w:b/>
          <w:szCs w:val="21"/>
        </w:rPr>
        <w:t>（备注：</w:t>
      </w:r>
      <w:r>
        <w:rPr>
          <w:rFonts w:hint="eastAsia" w:ascii="宋体" w:hAnsi="宋体" w:cs="宋体"/>
          <w:b/>
          <w:bCs/>
          <w:szCs w:val="21"/>
        </w:rPr>
        <w:t>该部分须与“技术保障措施”、“实施安全保障措施”、“商务需求”等部分承诺的内容相呼应，不得前后矛盾。</w:t>
      </w:r>
      <w:r>
        <w:rPr>
          <w:rFonts w:hint="eastAsia" w:ascii="宋体" w:hAnsi="宋体" w:cs="宋体"/>
          <w:b/>
          <w:szCs w:val="21"/>
        </w:rPr>
        <w:t>）</w:t>
      </w:r>
    </w:p>
    <w:p w14:paraId="69699799">
      <w:pPr>
        <w:pStyle w:val="17"/>
        <w:ind w:firstLine="422"/>
        <w:rPr>
          <w:rFonts w:ascii="宋体" w:hAnsi="宋体" w:cs="宋体"/>
          <w:b/>
        </w:rPr>
      </w:pPr>
    </w:p>
    <w:p w14:paraId="57BC5544">
      <w:pPr>
        <w:rPr>
          <w:rFonts w:ascii="宋体" w:hAnsi="宋体" w:cs="宋体"/>
          <w:b/>
        </w:rPr>
      </w:pPr>
    </w:p>
    <w:p w14:paraId="33EDE2C3">
      <w:pPr>
        <w:numPr>
          <w:ilvl w:val="0"/>
          <w:numId w:val="6"/>
        </w:numPr>
        <w:ind w:firstLine="3373" w:firstLineChars="1200"/>
        <w:rPr>
          <w:rFonts w:ascii="宋体" w:hAnsi="宋体" w:cs="宋体"/>
          <w:b/>
          <w:sz w:val="28"/>
          <w:szCs w:val="28"/>
        </w:rPr>
      </w:pPr>
      <w:r>
        <w:rPr>
          <w:rFonts w:hint="eastAsia" w:ascii="宋体" w:hAnsi="宋体" w:cs="宋体"/>
          <w:b/>
          <w:sz w:val="28"/>
          <w:szCs w:val="28"/>
        </w:rPr>
        <w:t>其他</w:t>
      </w:r>
    </w:p>
    <w:p w14:paraId="12524611">
      <w:pPr>
        <w:rPr>
          <w:rFonts w:ascii="宋体" w:hAnsi="宋体" w:cs="宋体"/>
          <w:bCs/>
          <w:szCs w:val="21"/>
        </w:rPr>
      </w:pPr>
      <w:r>
        <w:rPr>
          <w:rFonts w:hint="eastAsia" w:ascii="宋体" w:hAnsi="宋体" w:cs="宋体"/>
          <w:bCs/>
          <w:szCs w:val="21"/>
        </w:rPr>
        <w:t>根据招标文件要求需提供的其他资料（自拟）。</w:t>
      </w:r>
    </w:p>
    <w:p w14:paraId="524317BE">
      <w:pPr>
        <w:pStyle w:val="5"/>
      </w:pPr>
    </w:p>
    <w:p w14:paraId="1EA06211">
      <w:pPr>
        <w:pStyle w:val="17"/>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宋体"/>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88135">
    <w:pPr>
      <w:pStyle w:val="12"/>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121B7F2">
                          <w:pPr>
                            <w:pStyle w:val="12"/>
                          </w:pPr>
                          <w:r>
                            <w:fldChar w:fldCharType="begin"/>
                          </w:r>
                          <w:r>
                            <w:instrText xml:space="preserve"> PAGE  \* MERGEFORMAT </w:instrText>
                          </w:r>
                          <w:r>
                            <w:fldChar w:fldCharType="separate"/>
                          </w:r>
                          <w:r>
                            <w:t>5</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3121B7F2">
                    <w:pPr>
                      <w:pStyle w:val="12"/>
                    </w:pPr>
                    <w:r>
                      <w:fldChar w:fldCharType="begin"/>
                    </w:r>
                    <w:r>
                      <w:instrText xml:space="preserve"> PAGE  \* MERGEFORMAT </w:instrText>
                    </w:r>
                    <w:r>
                      <w:fldChar w:fldCharType="separate"/>
                    </w:r>
                    <w:r>
                      <w:t>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391B2">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1"/>
      <w:numFmt w:val="chineseCounting"/>
      <w:suff w:val="nothing"/>
      <w:lvlText w:val="%1、"/>
      <w:lvlJc w:val="left"/>
      <w:rPr>
        <w:rFonts w:hint="eastAsia"/>
      </w:rPr>
    </w:lvl>
  </w:abstractNum>
  <w:abstractNum w:abstractNumId="4">
    <w:nsid w:val="00000004"/>
    <w:multiLevelType w:val="multilevel"/>
    <w:tmpl w:val="00000004"/>
    <w:lvl w:ilvl="0" w:tentative="0">
      <w:start w:val="1"/>
      <w:numFmt w:val="japaneseCounting"/>
      <w:lvlText w:val="%1、"/>
      <w:lvlJc w:val="left"/>
      <w:pPr>
        <w:ind w:left="570" w:hanging="570"/>
      </w:pPr>
      <w:rPr>
        <w:rFonts w:hint="eastAsia" w:ascii="宋体" w:hAnsi="宋体" w:eastAsia="宋体" w:cs="宋体"/>
        <w:b/>
        <w:bCs/>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5"/>
    <w:multiLevelType w:val="singleLevel"/>
    <w:tmpl w:val="00000005"/>
    <w:lvl w:ilvl="0" w:tentative="0">
      <w:start w:val="1"/>
      <w:numFmt w:val="decimal"/>
      <w:suff w:val="nothing"/>
      <w:lvlText w:val="%1、"/>
      <w:lvlJc w:val="left"/>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MWI5NjdiMDNkMjQyOTRhMTk3OTYxNGI5Y2IwMWYifQ=="/>
  </w:docVars>
  <w:rsids>
    <w:rsidRoot w:val="00000000"/>
    <w:rsid w:val="1DA5447D"/>
    <w:rsid w:val="1FFD51EC"/>
    <w:rsid w:val="28557CE7"/>
    <w:rsid w:val="29FD6F91"/>
    <w:rsid w:val="2C192ABF"/>
    <w:rsid w:val="35D22DC1"/>
    <w:rsid w:val="53942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kern w:val="44"/>
      <w:sz w:val="32"/>
      <w:szCs w:val="36"/>
    </w:rPr>
  </w:style>
  <w:style w:type="paragraph" w:styleId="4">
    <w:name w:val="heading 2"/>
    <w:basedOn w:val="3"/>
    <w:next w:val="5"/>
    <w:qFormat/>
    <w:uiPriority w:val="0"/>
    <w:pPr>
      <w:adjustRightInd w:val="0"/>
      <w:jc w:val="center"/>
      <w:textAlignment w:val="baseline"/>
      <w:outlineLvl w:val="1"/>
    </w:pPr>
    <w:rPr>
      <w:kern w:val="0"/>
      <w:szCs w:val="20"/>
    </w:rPr>
  </w:style>
  <w:style w:type="paragraph" w:styleId="3">
    <w:name w:val="heading 3"/>
    <w:basedOn w:val="1"/>
    <w:next w:val="1"/>
    <w:qFormat/>
    <w:uiPriority w:val="0"/>
    <w:pPr>
      <w:spacing w:before="260" w:after="260"/>
      <w:outlineLvl w:val="2"/>
    </w:pPr>
    <w:rPr>
      <w:rFonts w:ascii="宋体" w:hAnsi="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32"/>
    <w:uiPriority w:val="0"/>
    <w:pPr>
      <w:jc w:val="left"/>
    </w:pPr>
  </w:style>
  <w:style w:type="paragraph" w:styleId="8">
    <w:name w:val="Body Text"/>
    <w:basedOn w:val="1"/>
    <w:next w:val="1"/>
    <w:qFormat/>
    <w:uiPriority w:val="0"/>
    <w:pPr>
      <w:spacing w:line="360" w:lineRule="auto"/>
    </w:pPr>
    <w:rPr>
      <w:b/>
      <w:bCs/>
      <w:sz w:val="24"/>
    </w:rPr>
  </w:style>
  <w:style w:type="paragraph" w:styleId="9">
    <w:name w:val="Body Text Indent"/>
    <w:basedOn w:val="1"/>
    <w:next w:val="10"/>
    <w:qFormat/>
    <w:uiPriority w:val="0"/>
    <w:pPr>
      <w:spacing w:line="360" w:lineRule="auto"/>
      <w:ind w:firstLine="420" w:firstLineChars="200"/>
    </w:pPr>
  </w:style>
  <w:style w:type="paragraph" w:styleId="10">
    <w:name w:val="envelope return"/>
    <w:basedOn w:val="1"/>
    <w:qFormat/>
    <w:uiPriority w:val="99"/>
    <w:rPr>
      <w:rFonts w:ascii="Arial" w:hAnsi="Arial"/>
    </w:rPr>
  </w:style>
  <w:style w:type="paragraph" w:styleId="11">
    <w:name w:val="Balloon Text"/>
    <w:basedOn w:val="1"/>
    <w:link w:val="31"/>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Normal (Web)"/>
    <w:basedOn w:val="1"/>
    <w:qFormat/>
    <w:uiPriority w:val="0"/>
    <w:rPr>
      <w:sz w:val="24"/>
    </w:rPr>
  </w:style>
  <w:style w:type="paragraph" w:styleId="15">
    <w:name w:val="annotation subject"/>
    <w:basedOn w:val="7"/>
    <w:next w:val="7"/>
    <w:link w:val="33"/>
    <w:uiPriority w:val="0"/>
    <w:rPr>
      <w:b/>
      <w:bCs/>
    </w:rPr>
  </w:style>
  <w:style w:type="paragraph" w:styleId="16">
    <w:name w:val="Body Text First Indent"/>
    <w:basedOn w:val="8"/>
    <w:qFormat/>
    <w:uiPriority w:val="0"/>
    <w:pPr>
      <w:ind w:firstLine="420" w:firstLineChars="100"/>
    </w:pPr>
  </w:style>
  <w:style w:type="paragraph" w:styleId="17">
    <w:name w:val="Body Text First Indent 2"/>
    <w:basedOn w:val="9"/>
    <w:next w:val="1"/>
    <w:qFormat/>
    <w:uiPriority w:val="99"/>
    <w:pPr>
      <w:spacing w:after="120"/>
      <w:ind w:left="420" w:leftChars="200"/>
    </w:pPr>
    <w:rPr>
      <w:rFonts w:ascii="Calibri" w:hAnsi="Calibri"/>
      <w:szCs w:val="22"/>
    </w:rPr>
  </w:style>
  <w:style w:type="character" w:styleId="20">
    <w:name w:val="Strong"/>
    <w:basedOn w:val="19"/>
    <w:qFormat/>
    <w:uiPriority w:val="22"/>
    <w:rPr>
      <w:b/>
      <w:bCs/>
    </w:rPr>
  </w:style>
  <w:style w:type="character" w:styleId="21">
    <w:name w:val="FollowedHyperlink"/>
    <w:basedOn w:val="19"/>
    <w:qFormat/>
    <w:uiPriority w:val="0"/>
    <w:rPr>
      <w:color w:val="954F72"/>
      <w:u w:val="single"/>
    </w:rPr>
  </w:style>
  <w:style w:type="character" w:styleId="22">
    <w:name w:val="Hyperlink"/>
    <w:qFormat/>
    <w:uiPriority w:val="99"/>
    <w:rPr>
      <w:color w:val="0000FF"/>
      <w:u w:val="single"/>
    </w:rPr>
  </w:style>
  <w:style w:type="character" w:styleId="23">
    <w:name w:val="annotation reference"/>
    <w:qFormat/>
    <w:uiPriority w:val="0"/>
    <w:rPr>
      <w:sz w:val="21"/>
      <w:szCs w:val="21"/>
    </w:rPr>
  </w:style>
  <w:style w:type="paragraph" w:customStyle="1" w:styleId="24">
    <w:name w:val="表格文字"/>
    <w:basedOn w:val="1"/>
    <w:qFormat/>
    <w:uiPriority w:val="99"/>
    <w:pPr>
      <w:spacing w:before="25" w:after="25"/>
    </w:pPr>
    <w:rPr>
      <w:spacing w:val="10"/>
      <w:sz w:val="24"/>
    </w:rPr>
  </w:style>
  <w:style w:type="character" w:customStyle="1" w:styleId="25">
    <w:name w:val="标题 3 Char"/>
    <w:qFormat/>
    <w:uiPriority w:val="0"/>
    <w:rPr>
      <w:rFonts w:ascii="黑体" w:eastAsia="黑体"/>
      <w:bCs/>
      <w:sz w:val="30"/>
    </w:rPr>
  </w:style>
  <w:style w:type="character" w:customStyle="1" w:styleId="26">
    <w:name w:val="Unresolved Mention"/>
    <w:basedOn w:val="19"/>
    <w:qFormat/>
    <w:uiPriority w:val="99"/>
    <w:rPr>
      <w:color w:val="605E5C"/>
      <w:shd w:val="clear" w:color="auto" w:fill="E1DFDD"/>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30">
    <w:name w:val="Default"/>
    <w:qFormat/>
    <w:uiPriority w:val="99"/>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31">
    <w:name w:val="批注框文本 字符"/>
    <w:basedOn w:val="19"/>
    <w:link w:val="11"/>
    <w:qFormat/>
    <w:uiPriority w:val="0"/>
    <w:rPr>
      <w:kern w:val="2"/>
      <w:sz w:val="18"/>
      <w:szCs w:val="18"/>
    </w:rPr>
  </w:style>
  <w:style w:type="character" w:customStyle="1" w:styleId="32">
    <w:name w:val="批注文字 字符"/>
    <w:basedOn w:val="19"/>
    <w:link w:val="7"/>
    <w:qFormat/>
    <w:uiPriority w:val="0"/>
    <w:rPr>
      <w:kern w:val="2"/>
      <w:sz w:val="21"/>
      <w:szCs w:val="24"/>
    </w:rPr>
  </w:style>
  <w:style w:type="character" w:customStyle="1" w:styleId="33">
    <w:name w:val="批注主题 字符"/>
    <w:basedOn w:val="32"/>
    <w:link w:val="15"/>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ca436a-4d31-42ef-928f-5024a3f0a4c4}">
  <ds:schemaRefs/>
</ds:datastoreItem>
</file>

<file path=docProps/app.xml><?xml version="1.0" encoding="utf-8"?>
<Properties xmlns="http://schemas.openxmlformats.org/officeDocument/2006/extended-properties" xmlns:vt="http://schemas.openxmlformats.org/officeDocument/2006/docPropsVTypes">
  <Template>Normal</Template>
  <Pages>27</Pages>
  <Words>17685</Words>
  <Characters>19211</Characters>
  <Paragraphs>1185</Paragraphs>
  <TotalTime>104</TotalTime>
  <ScaleCrop>false</ScaleCrop>
  <LinksUpToDate>false</LinksUpToDate>
  <CharactersWithSpaces>20427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cp:lastPrinted>2025-03-21T04:39:00Z</cp:lastPrinted>
  <dcterms:modified xsi:type="dcterms:W3CDTF">2025-04-14T04:13:45Z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CF32ED3D930F4E4FBAE4B1598AB2D1C7_13</vt:lpwstr>
  </property>
  <property fmtid="{D5CDD505-2E9C-101B-9397-08002B2CF9AE}" pid="4" name="KSOTemplateDocerSaveRecord">
    <vt:lpwstr>eyJoZGlkIjoiODQxNjBlNjgwNzYwYTE4MmQ0OGI0Mjk2ZmE4MTE3MGYiLCJ1c2VySWQiOiI4OTU3ODkyNTgifQ==</vt:lpwstr>
  </property>
</Properties>
</file>