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bookmarkStart w:id="9" w:name="_GoBack"/>
      <w:bookmarkEnd w:id="9"/>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深圳市第一职业技术学校</w:t>
      </w:r>
    </w:p>
    <w:p>
      <w:pPr>
        <w:adjustRightInd w:val="0"/>
        <w:snapToGrid w:val="0"/>
        <w:jc w:val="center"/>
        <w:rPr>
          <w:rFonts w:hint="eastAsia" w:ascii="华文中宋" w:hAnsi="华文中宋" w:eastAsia="华文中宋"/>
          <w:b/>
          <w:bCs/>
          <w:sz w:val="48"/>
          <w:szCs w:val="40"/>
        </w:rPr>
      </w:pPr>
      <w:r>
        <w:rPr>
          <w:rFonts w:hint="eastAsia" w:ascii="华文中宋" w:hAnsi="华文中宋" w:eastAsia="华文中宋"/>
          <w:b/>
          <w:bCs/>
          <w:sz w:val="48"/>
          <w:szCs w:val="40"/>
          <w:lang w:val="en-US" w:eastAsia="zh-CN"/>
        </w:rPr>
        <w:t>课程改革及特色教育发展项目——《税收基础》精品课程建设</w:t>
      </w:r>
      <w:r>
        <w:rPr>
          <w:rFonts w:hint="eastAsia" w:ascii="华文中宋" w:hAnsi="华文中宋" w:eastAsia="华文中宋"/>
          <w:b/>
          <w:bCs/>
          <w:sz w:val="48"/>
          <w:szCs w:val="40"/>
        </w:rPr>
        <w:t>项目</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val="en-US" w:eastAsia="zh-CN"/>
        </w:rPr>
        <w:t>四</w:t>
      </w:r>
      <w:r>
        <w:rPr>
          <w:rFonts w:hint="eastAsia" w:ascii="黑体" w:hAnsi="华文中宋" w:eastAsia="黑体" w:cs="Arial"/>
          <w:sz w:val="32"/>
          <w:szCs w:val="32"/>
        </w:rPr>
        <w:t>年</w:t>
      </w:r>
      <w:r>
        <w:rPr>
          <w:rFonts w:hint="eastAsia" w:ascii="黑体" w:hAnsi="华文中宋" w:eastAsia="黑体" w:cs="Arial"/>
          <w:sz w:val="32"/>
          <w:szCs w:val="32"/>
          <w:lang w:val="en-US" w:eastAsia="zh-CN"/>
        </w:rPr>
        <w:t>十一月</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w:t>
      </w:r>
      <w:r>
        <w:rPr>
          <w:rFonts w:hint="eastAsia" w:ascii="宋体" w:hAnsi="宋体" w:cs="宋体"/>
          <w:szCs w:val="21"/>
          <w:lang w:eastAsia="zh-CN"/>
        </w:rPr>
        <w:t>课程改革及特色教育发展项目——《税收基础》精品课程建设</w:t>
      </w:r>
      <w:r>
        <w:rPr>
          <w:rFonts w:hint="eastAsia" w:ascii="宋体" w:hAnsi="宋体" w:cs="宋体"/>
          <w:szCs w:val="21"/>
        </w:rPr>
        <w:t xml:space="preserve">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w:t>
      </w:r>
      <w:r>
        <w:rPr>
          <w:rFonts w:hint="eastAsia" w:ascii="宋体" w:hAnsi="宋体" w:cs="宋体"/>
          <w:szCs w:val="21"/>
          <w:lang w:val="en-US" w:eastAsia="zh-CN"/>
        </w:rPr>
        <w:t>服务类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6"/>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rPr>
              <w:t>投标报价有严重缺漏项目</w:t>
            </w:r>
          </w:p>
        </w:tc>
      </w:tr>
    </w:tbl>
    <w:p>
      <w:pPr>
        <w:pStyle w:val="6"/>
        <w:jc w:val="center"/>
        <w:rPr>
          <w:rFonts w:cs="宋体"/>
          <w:szCs w:val="28"/>
        </w:rPr>
      </w:pPr>
      <w:r>
        <w:rPr>
          <w:rFonts w:hint="eastAsia" w:cs="宋体"/>
          <w:szCs w:val="28"/>
        </w:rPr>
        <w:t>评标信息</w:t>
      </w:r>
    </w:p>
    <w:p>
      <w:r>
        <w:rPr>
          <w:rFonts w:hint="eastAsia"/>
          <w:b/>
          <w:bCs/>
        </w:rPr>
        <w:t>评审方法</w:t>
      </w:r>
      <w:r>
        <w:rPr>
          <w:rFonts w:hint="eastAsia"/>
        </w:rPr>
        <w:t>：本项目评审方法采用 综合评分法 。</w:t>
      </w:r>
    </w:p>
    <w:p>
      <w:pPr>
        <w:rPr>
          <w:rFonts w:hint="eastAsia"/>
        </w:rPr>
      </w:pPr>
      <w:r>
        <w:rPr>
          <w:rFonts w:hint="eastAsia"/>
          <w:b/>
          <w:bCs/>
        </w:rPr>
        <w:t>评标方法：</w:t>
      </w:r>
      <w:r>
        <w:rPr>
          <w:rFonts w:hint="eastAsia"/>
        </w:rPr>
        <w:t>综合评分法</w:t>
      </w:r>
    </w:p>
    <w:p>
      <w:pPr>
        <w:ind w:firstLine="420" w:firstLineChars="200"/>
        <w:rPr>
          <w:rFonts w:hint="eastAsia"/>
        </w:rPr>
      </w:pPr>
      <w:r>
        <w:rPr>
          <w:rFonts w:hint="eastAsia"/>
        </w:rPr>
        <w:t>在最大限度地满足招标文件实质性要求的前提下，按照招标文件中规定的各项因</w:t>
      </w:r>
    </w:p>
    <w:p>
      <w:pPr>
        <w:rPr>
          <w:rFonts w:hint="eastAsia"/>
        </w:rPr>
      </w:pPr>
      <w:r>
        <w:rPr>
          <w:rFonts w:hint="eastAsia"/>
        </w:rPr>
        <w:t>素进行综合评审，评标总得分排名前列的投标人，作为推荐的候选中标供应商。</w:t>
      </w:r>
    </w:p>
    <w:p>
      <w:pPr>
        <w:rPr>
          <w:rFonts w:hint="eastAsia"/>
        </w:rPr>
      </w:pPr>
      <w:r>
        <w:rPr>
          <w:rFonts w:hint="eastAsia"/>
        </w:rPr>
        <w:t>价格分计算方法：</w:t>
      </w:r>
    </w:p>
    <w:p>
      <w:pPr>
        <w:rPr>
          <w:rFonts w:hint="eastAsia"/>
        </w:rPr>
      </w:pPr>
      <w:r>
        <w:rPr>
          <w:rFonts w:hint="eastAsia"/>
        </w:rPr>
        <w:t>采用低价优先法计算，即满足招标文件要求且投标价格最低的投标报价为评标基准价，其价格</w:t>
      </w:r>
    </w:p>
    <w:p>
      <w:pPr>
        <w:rPr>
          <w:rFonts w:hint="eastAsia"/>
        </w:rPr>
      </w:pPr>
      <w:r>
        <w:rPr>
          <w:rFonts w:hint="eastAsia"/>
        </w:rPr>
        <w:t xml:space="preserve">分为满分。其他投标人的价格分统一按照下列公式计算： 投标报价得分=(评标基准价／投标报价)×100 评标总得分＝F1×A1＋F2×A2＋……＋Fn×An F1、F2……Fn分别为各项评审因素的得分； A1、A2、……An 分别为各项评审因素所占的权重(A1＋A2＋……＋An＝1)。 评标过程中，不得去掉报价中的最高报价和最低报价。 </w:t>
      </w:r>
    </w:p>
    <w:p>
      <w:pPr>
        <w:ind w:firstLine="420" w:firstLineChars="200"/>
        <w:rPr>
          <w:rFonts w:hint="eastAsia"/>
        </w:rPr>
      </w:pPr>
      <w:r>
        <w:rPr>
          <w:rFonts w:hint="eastAsia"/>
        </w:rPr>
        <w:t>此方法适用于</w:t>
      </w:r>
      <w:r>
        <w:rPr>
          <w:rFonts w:hint="eastAsia"/>
          <w:lang w:eastAsia="zh-CN"/>
        </w:rPr>
        <w:t>服务类</w:t>
      </w:r>
      <w:r>
        <w:rPr>
          <w:rFonts w:hint="eastAsia"/>
        </w:rPr>
        <w:t>、服务类、工程类项目。</w:t>
      </w: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tbl>
      <w:tblPr>
        <w:tblStyle w:val="16"/>
        <w:tblW w:w="17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695"/>
        <w:gridCol w:w="10"/>
        <w:gridCol w:w="1746"/>
        <w:gridCol w:w="860"/>
        <w:gridCol w:w="4384"/>
        <w:gridCol w:w="425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540" w:hRule="atLeast"/>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331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评分项</w:t>
            </w:r>
          </w:p>
        </w:tc>
        <w:tc>
          <w:tcPr>
            <w:tcW w:w="43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493" w:hRule="atLeast"/>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1</w:t>
            </w:r>
          </w:p>
        </w:tc>
        <w:tc>
          <w:tcPr>
            <w:tcW w:w="331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价格部分</w:t>
            </w:r>
          </w:p>
        </w:tc>
        <w:tc>
          <w:tcPr>
            <w:tcW w:w="43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Pr>
        <w:tc>
          <w:tcPr>
            <w:tcW w:w="83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Cs w:val="21"/>
              </w:rPr>
            </w:pPr>
          </w:p>
        </w:tc>
        <w:tc>
          <w:tcPr>
            <w:tcW w:w="331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报价</w:t>
            </w:r>
          </w:p>
        </w:tc>
        <w:tc>
          <w:tcPr>
            <w:tcW w:w="438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right="254" w:rightChars="121"/>
              <w:jc w:val="left"/>
              <w:rPr>
                <w:rFonts w:hint="eastAsia" w:ascii="仿宋" w:hAnsi="仿宋" w:eastAsia="仿宋" w:cs="仿宋"/>
                <w:kern w:val="0"/>
                <w:szCs w:val="21"/>
              </w:rPr>
            </w:pPr>
            <w:r>
              <w:rPr>
                <w:rFonts w:hint="eastAsia" w:ascii="仿宋" w:hAnsi="仿宋" w:eastAsia="仿宋" w:cs="仿宋"/>
                <w:kern w:val="0"/>
                <w:szCs w:val="21"/>
              </w:rPr>
              <w:t>价格分应当采用低价优先法计算，即满足招标文件要求且投标价格最低的投标报价为评标基准价，其价格分为满分。其他投标人的价格分统一按照下列公式计算：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ind w:right="254" w:rightChars="121"/>
              <w:jc w:val="left"/>
              <w:rPr>
                <w:rFonts w:hint="eastAsia" w:ascii="仿宋" w:hAnsi="仿宋" w:eastAsia="仿宋" w:cs="仿宋"/>
                <w:kern w:val="0"/>
                <w:szCs w:val="21"/>
              </w:rPr>
            </w:pPr>
            <w:r>
              <w:rPr>
                <w:rFonts w:hint="eastAsia" w:ascii="仿宋" w:hAnsi="仿宋" w:eastAsia="仿宋" w:cs="仿宋"/>
                <w:kern w:val="0"/>
                <w:szCs w:val="21"/>
              </w:rPr>
              <w:t>投标报价得分=(评标基准价／投标报价)×100×权重</w:t>
            </w:r>
          </w:p>
          <w:p>
            <w:pPr>
              <w:widowControl/>
              <w:ind w:right="254" w:rightChars="121"/>
              <w:jc w:val="left"/>
              <w:rPr>
                <w:rFonts w:hint="eastAsia" w:ascii="仿宋" w:hAnsi="仿宋" w:eastAsia="仿宋" w:cs="仿宋"/>
                <w:szCs w:val="21"/>
              </w:rPr>
            </w:pPr>
            <w:r>
              <w:rPr>
                <w:rFonts w:hint="eastAsia" w:ascii="仿宋" w:hAnsi="仿宋" w:eastAsia="仿宋" w:cs="仿宋"/>
                <w:bCs/>
                <w:szCs w:val="21"/>
              </w:rPr>
              <w:t>备注：1、因落实政府采购政策进行价格调整的，以调整后的价格计算评标基准价和投标报价</w:t>
            </w:r>
            <w:r>
              <w:rPr>
                <w:rFonts w:hint="eastAsia" w:ascii="仿宋" w:hAnsi="仿宋" w:eastAsia="仿宋" w:cs="仿宋"/>
                <w:szCs w:val="21"/>
              </w:rPr>
              <w:t>,详见《价格扣除》。</w:t>
            </w:r>
          </w:p>
          <w:p>
            <w:pPr>
              <w:ind w:right="254" w:rightChars="121"/>
              <w:jc w:val="left"/>
              <w:rPr>
                <w:rFonts w:hint="eastAsia" w:ascii="仿宋" w:hAnsi="仿宋" w:eastAsia="仿宋" w:cs="仿宋"/>
                <w:szCs w:val="21"/>
              </w:rPr>
            </w:pPr>
            <w:r>
              <w:rPr>
                <w:rFonts w:hint="eastAsia" w:ascii="仿宋" w:hAnsi="仿宋" w:eastAsia="仿宋" w:cs="仿宋"/>
                <w:bCs/>
                <w:szCs w:val="21"/>
              </w:rPr>
              <w:t>2、投标报价得分四舍五入后，</w:t>
            </w:r>
            <w:r>
              <w:rPr>
                <w:rFonts w:hint="eastAsia" w:ascii="仿宋" w:hAnsi="仿宋" w:eastAsia="仿宋" w:cs="仿宋"/>
                <w:szCs w:val="21"/>
              </w:rPr>
              <w:t>小数点后保留两位有效数</w:t>
            </w:r>
            <w:r>
              <w:rPr>
                <w:rFonts w:hint="eastAsia" w:ascii="仿宋" w:hAnsi="仿宋" w:eastAsia="仿宋" w:cs="仿宋"/>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447" w:hRule="atLeast"/>
        </w:trPr>
        <w:tc>
          <w:tcPr>
            <w:tcW w:w="83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Cs w:val="21"/>
              </w:rPr>
            </w:pPr>
            <w:r>
              <w:rPr>
                <w:rFonts w:hint="eastAsia" w:ascii="仿宋" w:hAnsi="仿宋" w:eastAsia="仿宋" w:cs="仿宋"/>
                <w:b/>
                <w:szCs w:val="21"/>
              </w:rPr>
              <w:t>2</w:t>
            </w:r>
          </w:p>
        </w:tc>
        <w:tc>
          <w:tcPr>
            <w:tcW w:w="3311" w:type="dxa"/>
            <w:gridSpan w:val="4"/>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Cs w:val="21"/>
              </w:rPr>
            </w:pPr>
            <w:r>
              <w:rPr>
                <w:rFonts w:hint="eastAsia" w:ascii="仿宋" w:hAnsi="仿宋" w:eastAsia="仿宋" w:cs="仿宋"/>
                <w:b/>
                <w:szCs w:val="21"/>
              </w:rPr>
              <w:t>技术部分</w:t>
            </w:r>
          </w:p>
        </w:tc>
        <w:tc>
          <w:tcPr>
            <w:tcW w:w="4384"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Cs w:val="21"/>
              </w:rPr>
            </w:pPr>
            <w:r>
              <w:rPr>
                <w:rFonts w:hint="eastAsia" w:ascii="仿宋" w:hAnsi="仿宋" w:eastAsia="仿宋" w:cs="仿宋"/>
                <w:b/>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588" w:hRule="atLeast"/>
        </w:trPr>
        <w:tc>
          <w:tcPr>
            <w:tcW w:w="838" w:type="dxa"/>
            <w:vMerge w:val="restart"/>
            <w:tcBorders>
              <w:top w:val="single" w:color="auto" w:sz="4" w:space="0"/>
              <w:left w:val="single" w:color="auto" w:sz="4" w:space="0"/>
              <w:right w:val="single" w:color="auto" w:sz="4" w:space="0"/>
            </w:tcBorders>
          </w:tcPr>
          <w:p>
            <w:pPr>
              <w:jc w:val="center"/>
              <w:rPr>
                <w:rFonts w:hint="eastAsia" w:ascii="仿宋" w:hAnsi="仿宋" w:eastAsia="仿宋" w:cs="仿宋"/>
                <w:b/>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评分因素</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权重</w:t>
            </w:r>
          </w:p>
        </w:tc>
        <w:tc>
          <w:tcPr>
            <w:tcW w:w="43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63" w:hRule="atLeast"/>
        </w:trPr>
        <w:tc>
          <w:tcPr>
            <w:tcW w:w="838"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 w:val="22"/>
                <w:szCs w:val="21"/>
              </w:rPr>
              <w:t>重要技术参数技术响应评分</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yellow"/>
              </w:rPr>
              <w:t>35</w:t>
            </w:r>
          </w:p>
        </w:tc>
        <w:tc>
          <w:tcPr>
            <w:tcW w:w="4384" w:type="dxa"/>
            <w:tcBorders>
              <w:top w:val="single" w:color="auto" w:sz="4" w:space="0"/>
              <w:left w:val="single" w:color="auto" w:sz="4" w:space="0"/>
              <w:bottom w:val="single" w:color="auto" w:sz="4" w:space="0"/>
              <w:right w:val="single" w:color="auto" w:sz="4" w:space="0"/>
            </w:tcBorders>
          </w:tcPr>
          <w:p>
            <w:pPr>
              <w:tabs>
                <w:tab w:val="left" w:pos="2869"/>
                <w:tab w:val="left" w:pos="3010"/>
              </w:tabs>
              <w:rPr>
                <w:rFonts w:hint="eastAsia" w:ascii="仿宋" w:hAnsi="仿宋" w:eastAsia="仿宋" w:cs="仿宋"/>
                <w:b/>
                <w:szCs w:val="21"/>
              </w:rPr>
            </w:pPr>
            <w:r>
              <w:rPr>
                <w:rFonts w:hint="eastAsia" w:ascii="仿宋" w:hAnsi="仿宋" w:eastAsia="仿宋" w:cs="仿宋"/>
                <w:b/>
                <w:szCs w:val="21"/>
              </w:rPr>
              <w:t>（一）评审内容：</w:t>
            </w:r>
          </w:p>
          <w:p>
            <w:pPr>
              <w:autoSpaceDE w:val="0"/>
              <w:autoSpaceDN w:val="0"/>
              <w:adjustRightInd w:val="0"/>
              <w:snapToGrid w:val="0"/>
              <w:ind w:right="254" w:rightChars="121"/>
              <w:jc w:val="left"/>
              <w:rPr>
                <w:rFonts w:hint="eastAsia" w:ascii="仿宋" w:hAnsi="仿宋" w:eastAsia="仿宋" w:cs="仿宋"/>
                <w:kern w:val="0"/>
                <w:szCs w:val="21"/>
              </w:rPr>
            </w:pPr>
            <w:r>
              <w:rPr>
                <w:rFonts w:hint="eastAsia" w:ascii="仿宋" w:hAnsi="仿宋" w:eastAsia="仿宋" w:cs="仿宋"/>
                <w:kern w:val="0"/>
                <w:szCs w:val="21"/>
              </w:rPr>
              <w:t>投标人应如实填写《技术规格偏离表》，评审专家根据技术需求参数响应情况进行评审。</w:t>
            </w:r>
          </w:p>
          <w:p>
            <w:pPr>
              <w:tabs>
                <w:tab w:val="left" w:pos="2869"/>
                <w:tab w:val="left" w:pos="3010"/>
              </w:tabs>
              <w:jc w:val="left"/>
              <w:rPr>
                <w:rFonts w:hint="eastAsia" w:ascii="仿宋" w:hAnsi="仿宋" w:eastAsia="仿宋" w:cs="仿宋"/>
                <w:b/>
                <w:szCs w:val="21"/>
              </w:rPr>
            </w:pPr>
            <w:r>
              <w:rPr>
                <w:rFonts w:hint="eastAsia" w:ascii="仿宋" w:hAnsi="仿宋" w:eastAsia="仿宋" w:cs="仿宋"/>
                <w:b/>
                <w:szCs w:val="21"/>
              </w:rPr>
              <w:t>（二）评分标准与依据：</w:t>
            </w:r>
            <w:r>
              <w:rPr>
                <w:rFonts w:hint="eastAsia" w:ascii="仿宋" w:hAnsi="仿宋" w:eastAsia="仿宋" w:cs="仿宋"/>
                <w:szCs w:val="21"/>
              </w:rPr>
              <w:t xml:space="preserve"> </w:t>
            </w:r>
          </w:p>
          <w:p>
            <w:pPr>
              <w:tabs>
                <w:tab w:val="left" w:pos="2869"/>
                <w:tab w:val="left" w:pos="3010"/>
              </w:tabs>
              <w:ind w:right="254" w:rightChars="121"/>
              <w:jc w:val="left"/>
              <w:rPr>
                <w:rFonts w:hint="eastAsia" w:ascii="仿宋" w:hAnsi="仿宋" w:eastAsia="仿宋" w:cs="仿宋"/>
                <w:kern w:val="0"/>
                <w:szCs w:val="21"/>
              </w:rPr>
            </w:pPr>
            <w:r>
              <w:rPr>
                <w:rFonts w:hint="eastAsia" w:ascii="仿宋" w:hAnsi="仿宋" w:eastAsia="仿宋" w:cs="仿宋"/>
                <w:kern w:val="0"/>
                <w:szCs w:val="21"/>
              </w:rPr>
              <w:t>投标人应如实填写《技术规格偏离表》，评审委员会根据技术需求参数响应情况进行打分。完全满足招标文件要求得</w:t>
            </w:r>
            <w:r>
              <w:rPr>
                <w:rFonts w:hint="eastAsia" w:ascii="仿宋" w:hAnsi="仿宋" w:eastAsia="仿宋" w:cs="仿宋"/>
                <w:kern w:val="0"/>
                <w:szCs w:val="21"/>
                <w:highlight w:val="yellow"/>
                <w:lang w:val="en-US" w:eastAsia="zh-CN"/>
              </w:rPr>
              <w:t>35</w:t>
            </w:r>
            <w:r>
              <w:rPr>
                <w:rFonts w:hint="eastAsia" w:ascii="仿宋" w:hAnsi="仿宋" w:eastAsia="仿宋" w:cs="仿宋"/>
                <w:kern w:val="0"/>
                <w:szCs w:val="21"/>
              </w:rPr>
              <w:t>分，具体要求如下：</w:t>
            </w:r>
          </w:p>
          <w:p>
            <w:pPr>
              <w:tabs>
                <w:tab w:val="left" w:pos="2869"/>
                <w:tab w:val="left" w:pos="3010"/>
              </w:tabs>
              <w:ind w:right="254" w:rightChars="121"/>
              <w:jc w:val="left"/>
              <w:rPr>
                <w:rFonts w:hint="eastAsia" w:ascii="仿宋" w:hAnsi="仿宋" w:eastAsia="仿宋" w:cs="仿宋"/>
                <w:kern w:val="0"/>
                <w:szCs w:val="21"/>
              </w:rPr>
            </w:pPr>
            <w:r>
              <w:rPr>
                <w:rFonts w:hint="eastAsia" w:ascii="仿宋" w:hAnsi="仿宋" w:eastAsia="仿宋" w:cs="仿宋"/>
                <w:kern w:val="0"/>
                <w:szCs w:val="21"/>
              </w:rPr>
              <w:t>1.针对“课程平台功能”▲技术参数内容不符合要求扣3分，超过5条(含5条)不符合要求，本项不得分。</w:t>
            </w:r>
          </w:p>
          <w:p>
            <w:pPr>
              <w:tabs>
                <w:tab w:val="left" w:pos="2869"/>
                <w:tab w:val="left" w:pos="3010"/>
              </w:tabs>
              <w:ind w:right="254" w:rightChars="121"/>
              <w:jc w:val="left"/>
              <w:rPr>
                <w:rFonts w:hint="eastAsia" w:ascii="仿宋" w:hAnsi="仿宋" w:eastAsia="仿宋" w:cs="仿宋"/>
                <w:szCs w:val="21"/>
              </w:rPr>
            </w:pPr>
            <w:r>
              <w:rPr>
                <w:rFonts w:hint="eastAsia" w:ascii="仿宋" w:hAnsi="仿宋" w:eastAsia="仿宋" w:cs="仿宋"/>
                <w:kern w:val="0"/>
                <w:szCs w:val="21"/>
              </w:rPr>
              <w:t>2.其它技术参数条款，负偏离一项扣1分，扣完为止。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63" w:hRule="atLeast"/>
        </w:trPr>
        <w:tc>
          <w:tcPr>
            <w:tcW w:w="838"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实施方案（工作措施、工作方法、工作手段、工作流程）</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4384" w:type="dxa"/>
            <w:tcBorders>
              <w:top w:val="single" w:color="auto" w:sz="4" w:space="0"/>
              <w:left w:val="single" w:color="auto" w:sz="4" w:space="0"/>
              <w:bottom w:val="single" w:color="auto" w:sz="4" w:space="0"/>
              <w:right w:val="single" w:color="auto" w:sz="4" w:space="0"/>
            </w:tcBorders>
          </w:tcPr>
          <w:p>
            <w:pPr>
              <w:tabs>
                <w:tab w:val="left" w:pos="2869"/>
                <w:tab w:val="left" w:pos="3010"/>
              </w:tabs>
              <w:rPr>
                <w:rFonts w:hint="eastAsia" w:ascii="仿宋" w:hAnsi="仿宋" w:eastAsia="仿宋" w:cs="仿宋"/>
                <w:b/>
                <w:szCs w:val="21"/>
              </w:rPr>
            </w:pPr>
            <w:r>
              <w:rPr>
                <w:rFonts w:hint="eastAsia" w:ascii="仿宋" w:hAnsi="仿宋" w:eastAsia="仿宋" w:cs="仿宋"/>
                <w:b/>
                <w:szCs w:val="21"/>
              </w:rPr>
              <w:t>（一）评审内容：</w:t>
            </w:r>
          </w:p>
          <w:p>
            <w:pPr>
              <w:autoSpaceDE w:val="0"/>
              <w:autoSpaceDN w:val="0"/>
              <w:adjustRightInd w:val="0"/>
              <w:snapToGrid w:val="0"/>
              <w:ind w:right="254" w:rightChars="121"/>
              <w:jc w:val="left"/>
              <w:rPr>
                <w:rFonts w:hint="eastAsia" w:ascii="仿宋" w:hAnsi="仿宋" w:eastAsia="仿宋" w:cs="仿宋"/>
                <w:kern w:val="0"/>
                <w:szCs w:val="21"/>
              </w:rPr>
            </w:pPr>
            <w:r>
              <w:rPr>
                <w:rFonts w:hint="eastAsia" w:ascii="仿宋" w:hAnsi="仿宋" w:eastAsia="仿宋" w:cs="仿宋"/>
                <w:kern w:val="0"/>
                <w:szCs w:val="21"/>
              </w:rPr>
              <w:t>投标人提供实施方案（包括：具体服务方案等）。评审专家根据招标文件的需求和投标文件响应情况进行评审。</w:t>
            </w:r>
          </w:p>
          <w:p>
            <w:pPr>
              <w:tabs>
                <w:tab w:val="left" w:pos="2869"/>
                <w:tab w:val="left" w:pos="3010"/>
              </w:tabs>
              <w:jc w:val="left"/>
              <w:rPr>
                <w:rFonts w:hint="eastAsia" w:ascii="仿宋" w:hAnsi="仿宋" w:eastAsia="仿宋" w:cs="仿宋"/>
                <w:b/>
                <w:szCs w:val="21"/>
              </w:rPr>
            </w:pPr>
            <w:r>
              <w:rPr>
                <w:rFonts w:hint="eastAsia" w:ascii="仿宋" w:hAnsi="仿宋" w:eastAsia="仿宋" w:cs="仿宋"/>
                <w:b/>
                <w:szCs w:val="21"/>
              </w:rPr>
              <w:t>（二）评分标准与依据：</w:t>
            </w:r>
            <w:r>
              <w:rPr>
                <w:rFonts w:hint="eastAsia" w:ascii="仿宋" w:hAnsi="仿宋" w:eastAsia="仿宋" w:cs="仿宋"/>
                <w:szCs w:val="21"/>
              </w:rPr>
              <w:t xml:space="preserve"> </w:t>
            </w:r>
          </w:p>
          <w:p>
            <w:pPr>
              <w:autoSpaceDE w:val="0"/>
              <w:autoSpaceDN w:val="0"/>
              <w:adjustRightInd w:val="0"/>
              <w:snapToGrid w:val="0"/>
              <w:ind w:right="254" w:rightChars="121"/>
              <w:jc w:val="left"/>
              <w:rPr>
                <w:rFonts w:hint="eastAsia" w:ascii="仿宋" w:hAnsi="仿宋" w:eastAsia="仿宋" w:cs="仿宋"/>
                <w:kern w:val="0"/>
                <w:szCs w:val="21"/>
              </w:rPr>
            </w:pPr>
            <w:r>
              <w:rPr>
                <w:rFonts w:hint="eastAsia" w:ascii="仿宋" w:hAnsi="仿宋" w:eastAsia="仿宋" w:cs="仿宋"/>
                <w:kern w:val="0"/>
                <w:szCs w:val="21"/>
              </w:rPr>
              <w:t>1.投标人的实施方案科学、合理、贴合学校使用实际的，得5分；</w:t>
            </w:r>
          </w:p>
          <w:p>
            <w:pPr>
              <w:autoSpaceDE w:val="0"/>
              <w:autoSpaceDN w:val="0"/>
              <w:adjustRightInd w:val="0"/>
              <w:snapToGrid w:val="0"/>
              <w:ind w:right="254" w:rightChars="121"/>
              <w:jc w:val="left"/>
              <w:rPr>
                <w:rFonts w:hint="eastAsia" w:ascii="仿宋" w:hAnsi="仿宋" w:eastAsia="仿宋" w:cs="仿宋"/>
                <w:kern w:val="0"/>
                <w:szCs w:val="21"/>
              </w:rPr>
            </w:pPr>
            <w:r>
              <w:rPr>
                <w:rFonts w:hint="eastAsia" w:ascii="仿宋" w:hAnsi="仿宋" w:eastAsia="仿宋" w:cs="仿宋"/>
                <w:kern w:val="0"/>
                <w:szCs w:val="21"/>
              </w:rPr>
              <w:t>2.投标人的实施方案合理、贴合学校使用实际的，得3分；</w:t>
            </w:r>
          </w:p>
          <w:p>
            <w:pPr>
              <w:autoSpaceDE w:val="0"/>
              <w:autoSpaceDN w:val="0"/>
              <w:adjustRightInd w:val="0"/>
              <w:snapToGrid w:val="0"/>
              <w:ind w:right="254" w:rightChars="121"/>
              <w:jc w:val="left"/>
              <w:rPr>
                <w:rFonts w:hint="eastAsia" w:ascii="仿宋" w:hAnsi="仿宋" w:eastAsia="仿宋" w:cs="仿宋"/>
                <w:kern w:val="0"/>
                <w:szCs w:val="21"/>
              </w:rPr>
            </w:pPr>
            <w:r>
              <w:rPr>
                <w:rFonts w:hint="eastAsia" w:ascii="仿宋" w:hAnsi="仿宋" w:eastAsia="仿宋" w:cs="仿宋"/>
                <w:kern w:val="0"/>
                <w:szCs w:val="21"/>
              </w:rPr>
              <w:t>3.投标人的实施方案较合理的，得1分；</w:t>
            </w:r>
          </w:p>
          <w:p>
            <w:pPr>
              <w:autoSpaceDE w:val="0"/>
              <w:autoSpaceDN w:val="0"/>
              <w:adjustRightInd w:val="0"/>
              <w:snapToGrid w:val="0"/>
              <w:ind w:right="254" w:rightChars="121"/>
              <w:jc w:val="left"/>
              <w:rPr>
                <w:rFonts w:hint="eastAsia" w:ascii="仿宋" w:hAnsi="仿宋" w:eastAsia="仿宋" w:cs="仿宋"/>
                <w:szCs w:val="21"/>
              </w:rPr>
            </w:pPr>
            <w:r>
              <w:rPr>
                <w:rFonts w:hint="eastAsia" w:ascii="仿宋" w:hAnsi="仿宋" w:eastAsia="仿宋" w:cs="仿宋"/>
                <w:kern w:val="0"/>
                <w:szCs w:val="21"/>
              </w:rPr>
              <w:t>4.投标人的实施方案评价为差或不提供方案的，不得分。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63" w:hRule="atLeast"/>
        </w:trPr>
        <w:tc>
          <w:tcPr>
            <w:tcW w:w="838"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项目重点难点分析、应对措施及相关的合理化建议</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4384" w:type="dxa"/>
            <w:tcBorders>
              <w:top w:val="single" w:color="auto" w:sz="4" w:space="0"/>
              <w:left w:val="single" w:color="auto" w:sz="4" w:space="0"/>
              <w:bottom w:val="single" w:color="auto" w:sz="4" w:space="0"/>
              <w:right w:val="single" w:color="auto" w:sz="4" w:space="0"/>
            </w:tcBorders>
          </w:tcPr>
          <w:p>
            <w:pPr>
              <w:tabs>
                <w:tab w:val="left" w:pos="2869"/>
                <w:tab w:val="left" w:pos="3010"/>
              </w:tabs>
              <w:rPr>
                <w:rFonts w:hint="eastAsia" w:ascii="仿宋" w:hAnsi="仿宋" w:eastAsia="仿宋" w:cs="仿宋"/>
                <w:b/>
                <w:szCs w:val="21"/>
              </w:rPr>
            </w:pPr>
            <w:r>
              <w:rPr>
                <w:rFonts w:hint="eastAsia" w:ascii="仿宋" w:hAnsi="仿宋" w:eastAsia="仿宋" w:cs="仿宋"/>
                <w:b/>
                <w:szCs w:val="21"/>
              </w:rPr>
              <w:t>（一）评审内容：</w:t>
            </w:r>
          </w:p>
          <w:p>
            <w:pPr>
              <w:tabs>
                <w:tab w:val="left" w:pos="2869"/>
                <w:tab w:val="left" w:pos="3010"/>
              </w:tabs>
              <w:ind w:right="254" w:rightChars="121"/>
              <w:jc w:val="left"/>
              <w:rPr>
                <w:rFonts w:hint="eastAsia" w:ascii="仿宋" w:hAnsi="仿宋" w:eastAsia="仿宋" w:cs="仿宋"/>
                <w:b/>
                <w:szCs w:val="21"/>
              </w:rPr>
            </w:pPr>
            <w:r>
              <w:rPr>
                <w:rFonts w:hint="eastAsia" w:ascii="仿宋" w:hAnsi="仿宋" w:eastAsia="仿宋" w:cs="仿宋"/>
                <w:kern w:val="0"/>
                <w:szCs w:val="21"/>
              </w:rPr>
              <w:t>考察投标人提供项目重点难点分析、应对措施及相关的合理化建议。评审专家根据招标文件的需求和投标文件响应情况进行评审。</w:t>
            </w:r>
          </w:p>
          <w:p>
            <w:pPr>
              <w:tabs>
                <w:tab w:val="left" w:pos="2869"/>
                <w:tab w:val="left" w:pos="3010"/>
              </w:tabs>
              <w:rPr>
                <w:rFonts w:hint="eastAsia" w:ascii="仿宋" w:hAnsi="仿宋" w:eastAsia="仿宋" w:cs="仿宋"/>
                <w:b/>
                <w:szCs w:val="21"/>
              </w:rPr>
            </w:pPr>
            <w:r>
              <w:rPr>
                <w:rFonts w:hint="eastAsia" w:ascii="仿宋" w:hAnsi="仿宋" w:eastAsia="仿宋" w:cs="仿宋"/>
                <w:b/>
                <w:szCs w:val="21"/>
              </w:rPr>
              <w:t>（二）评分标准与依据：</w:t>
            </w:r>
          </w:p>
          <w:p>
            <w:pPr>
              <w:tabs>
                <w:tab w:val="left" w:pos="2869"/>
                <w:tab w:val="left" w:pos="3010"/>
              </w:tabs>
              <w:ind w:right="254" w:rightChars="121"/>
              <w:jc w:val="left"/>
              <w:rPr>
                <w:rFonts w:hint="eastAsia" w:ascii="仿宋" w:hAnsi="仿宋" w:eastAsia="仿宋" w:cs="仿宋"/>
                <w:kern w:val="0"/>
                <w:szCs w:val="21"/>
              </w:rPr>
            </w:pPr>
            <w:r>
              <w:rPr>
                <w:rFonts w:hint="eastAsia" w:ascii="仿宋" w:hAnsi="仿宋" w:eastAsia="仿宋" w:cs="仿宋"/>
                <w:kern w:val="0"/>
                <w:szCs w:val="21"/>
              </w:rPr>
              <w:t>1.投标人的重点难点分析和合理化建议科学、合理的，得5分；</w:t>
            </w:r>
          </w:p>
          <w:p>
            <w:pPr>
              <w:tabs>
                <w:tab w:val="left" w:pos="2869"/>
                <w:tab w:val="left" w:pos="3010"/>
              </w:tabs>
              <w:ind w:right="254" w:rightChars="121"/>
              <w:jc w:val="left"/>
              <w:rPr>
                <w:rFonts w:hint="eastAsia" w:ascii="仿宋" w:hAnsi="仿宋" w:eastAsia="仿宋" w:cs="仿宋"/>
                <w:kern w:val="0"/>
                <w:szCs w:val="21"/>
              </w:rPr>
            </w:pPr>
            <w:r>
              <w:rPr>
                <w:rFonts w:hint="eastAsia" w:ascii="仿宋" w:hAnsi="仿宋" w:eastAsia="仿宋" w:cs="仿宋"/>
                <w:kern w:val="0"/>
                <w:szCs w:val="21"/>
              </w:rPr>
              <w:t>2.投标人的重点难点分析和合理化建议较科学、较合理的，得3分；</w:t>
            </w:r>
          </w:p>
          <w:p>
            <w:pPr>
              <w:tabs>
                <w:tab w:val="left" w:pos="2869"/>
                <w:tab w:val="left" w:pos="3010"/>
              </w:tabs>
              <w:ind w:right="254" w:rightChars="121"/>
              <w:jc w:val="left"/>
              <w:rPr>
                <w:rFonts w:hint="eastAsia" w:ascii="仿宋" w:hAnsi="仿宋" w:eastAsia="仿宋" w:cs="仿宋"/>
                <w:kern w:val="0"/>
                <w:szCs w:val="21"/>
              </w:rPr>
            </w:pPr>
            <w:r>
              <w:rPr>
                <w:rFonts w:hint="eastAsia" w:ascii="仿宋" w:hAnsi="仿宋" w:eastAsia="仿宋" w:cs="仿宋"/>
                <w:kern w:val="0"/>
                <w:szCs w:val="21"/>
              </w:rPr>
              <w:t>3.投标人的重点难点分析和合理化建议较合理的，得1分；</w:t>
            </w:r>
          </w:p>
          <w:p>
            <w:pPr>
              <w:tabs>
                <w:tab w:val="left" w:pos="2869"/>
                <w:tab w:val="left" w:pos="3010"/>
              </w:tabs>
              <w:ind w:right="254" w:rightChars="121"/>
              <w:jc w:val="left"/>
              <w:rPr>
                <w:rFonts w:hint="eastAsia" w:ascii="仿宋" w:hAnsi="仿宋" w:eastAsia="仿宋" w:cs="仿宋"/>
                <w:szCs w:val="21"/>
              </w:rPr>
            </w:pPr>
            <w:r>
              <w:rPr>
                <w:rFonts w:hint="eastAsia" w:ascii="仿宋" w:hAnsi="仿宋" w:eastAsia="仿宋" w:cs="仿宋"/>
                <w:kern w:val="0"/>
                <w:szCs w:val="21"/>
              </w:rPr>
              <w:t>4.投标人的重点难点分析和合理化建议评价为差或不提供分析及建议的，不得分。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1418" w:hRule="atLeast"/>
        </w:trPr>
        <w:tc>
          <w:tcPr>
            <w:tcW w:w="838"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质量保障措施及方案</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4384" w:type="dxa"/>
            <w:tcBorders>
              <w:top w:val="single" w:color="auto" w:sz="4" w:space="0"/>
              <w:left w:val="single" w:color="auto" w:sz="4" w:space="0"/>
              <w:bottom w:val="single" w:color="auto" w:sz="4" w:space="0"/>
              <w:right w:val="single" w:color="auto" w:sz="4" w:space="0"/>
            </w:tcBorders>
          </w:tcPr>
          <w:p>
            <w:pPr>
              <w:tabs>
                <w:tab w:val="left" w:pos="2869"/>
                <w:tab w:val="left" w:pos="3010"/>
              </w:tabs>
              <w:rPr>
                <w:rFonts w:hint="eastAsia" w:ascii="仿宋" w:hAnsi="仿宋" w:eastAsia="仿宋" w:cs="仿宋"/>
                <w:b/>
                <w:szCs w:val="21"/>
              </w:rPr>
            </w:pPr>
            <w:r>
              <w:rPr>
                <w:rFonts w:hint="eastAsia" w:ascii="仿宋" w:hAnsi="仿宋" w:eastAsia="仿宋" w:cs="仿宋"/>
                <w:b/>
                <w:szCs w:val="21"/>
              </w:rPr>
              <w:t>（一）评审内容：</w:t>
            </w:r>
          </w:p>
          <w:p>
            <w:pPr>
              <w:tabs>
                <w:tab w:val="left" w:pos="2869"/>
                <w:tab w:val="left" w:pos="3010"/>
              </w:tabs>
              <w:ind w:right="254" w:rightChars="121"/>
              <w:jc w:val="left"/>
              <w:rPr>
                <w:rFonts w:hint="eastAsia" w:ascii="仿宋" w:hAnsi="仿宋" w:eastAsia="仿宋" w:cs="仿宋"/>
                <w:szCs w:val="21"/>
              </w:rPr>
            </w:pPr>
            <w:r>
              <w:rPr>
                <w:rFonts w:hint="eastAsia" w:ascii="仿宋" w:hAnsi="仿宋" w:eastAsia="仿宋" w:cs="仿宋"/>
                <w:szCs w:val="21"/>
              </w:rPr>
              <w:t>考察投标人针对本项目在</w:t>
            </w:r>
            <w:r>
              <w:rPr>
                <w:rFonts w:hint="eastAsia" w:ascii="仿宋" w:hAnsi="仿宋" w:eastAsia="仿宋" w:cs="仿宋"/>
                <w:b/>
                <w:szCs w:val="21"/>
                <w:u w:val="single"/>
              </w:rPr>
              <w:t>完成时间及进度安排、质量保证措施、应急处理方案</w:t>
            </w:r>
            <w:r>
              <w:rPr>
                <w:rFonts w:hint="eastAsia" w:ascii="仿宋" w:hAnsi="仿宋" w:eastAsia="仿宋" w:cs="仿宋"/>
                <w:szCs w:val="21"/>
              </w:rPr>
              <w:t>等方面的保障措施及方案。评审专家根据招标文件的需求和投标文件响应情况进行评审。</w:t>
            </w:r>
          </w:p>
          <w:p>
            <w:pPr>
              <w:tabs>
                <w:tab w:val="left" w:pos="2869"/>
                <w:tab w:val="left" w:pos="3010"/>
              </w:tabs>
              <w:rPr>
                <w:rFonts w:hint="eastAsia" w:ascii="仿宋" w:hAnsi="仿宋" w:eastAsia="仿宋" w:cs="仿宋"/>
                <w:b/>
                <w:szCs w:val="21"/>
              </w:rPr>
            </w:pPr>
            <w:r>
              <w:rPr>
                <w:rFonts w:hint="eastAsia" w:ascii="仿宋" w:hAnsi="仿宋" w:eastAsia="仿宋" w:cs="仿宋"/>
                <w:b/>
                <w:szCs w:val="21"/>
              </w:rPr>
              <w:t>（二）评分标准与依据：</w:t>
            </w:r>
          </w:p>
          <w:p>
            <w:pPr>
              <w:tabs>
                <w:tab w:val="left" w:pos="2869"/>
                <w:tab w:val="left" w:pos="3010"/>
              </w:tabs>
              <w:ind w:right="254" w:rightChars="121"/>
              <w:jc w:val="left"/>
              <w:rPr>
                <w:rFonts w:hint="eastAsia" w:ascii="仿宋" w:hAnsi="仿宋" w:eastAsia="仿宋" w:cs="仿宋"/>
                <w:kern w:val="0"/>
                <w:szCs w:val="21"/>
              </w:rPr>
            </w:pPr>
            <w:r>
              <w:rPr>
                <w:rFonts w:hint="eastAsia" w:ascii="仿宋" w:hAnsi="仿宋" w:eastAsia="仿宋" w:cs="仿宋"/>
                <w:kern w:val="0"/>
                <w:szCs w:val="21"/>
              </w:rPr>
              <w:t>1.投标人的质量保障措施方案方案科学、合理的，得5分；</w:t>
            </w:r>
          </w:p>
          <w:p>
            <w:pPr>
              <w:tabs>
                <w:tab w:val="left" w:pos="2869"/>
                <w:tab w:val="left" w:pos="3010"/>
              </w:tabs>
              <w:ind w:right="254" w:rightChars="121"/>
              <w:jc w:val="left"/>
              <w:rPr>
                <w:rFonts w:hint="eastAsia" w:ascii="仿宋" w:hAnsi="仿宋" w:eastAsia="仿宋" w:cs="仿宋"/>
                <w:kern w:val="0"/>
                <w:szCs w:val="21"/>
              </w:rPr>
            </w:pPr>
            <w:r>
              <w:rPr>
                <w:rFonts w:hint="eastAsia" w:ascii="仿宋" w:hAnsi="仿宋" w:eastAsia="仿宋" w:cs="仿宋"/>
                <w:kern w:val="0"/>
                <w:szCs w:val="21"/>
              </w:rPr>
              <w:t>2.投标人的质量保障措施方案较科学、较合理的，得3分；</w:t>
            </w:r>
          </w:p>
          <w:p>
            <w:pPr>
              <w:tabs>
                <w:tab w:val="left" w:pos="2869"/>
                <w:tab w:val="left" w:pos="3010"/>
              </w:tabs>
              <w:ind w:right="254" w:rightChars="121"/>
              <w:jc w:val="left"/>
              <w:rPr>
                <w:rFonts w:hint="eastAsia" w:ascii="仿宋" w:hAnsi="仿宋" w:eastAsia="仿宋" w:cs="仿宋"/>
                <w:kern w:val="0"/>
                <w:szCs w:val="21"/>
              </w:rPr>
            </w:pPr>
            <w:r>
              <w:rPr>
                <w:rFonts w:hint="eastAsia" w:ascii="仿宋" w:hAnsi="仿宋" w:eastAsia="仿宋" w:cs="仿宋"/>
                <w:kern w:val="0"/>
                <w:szCs w:val="21"/>
              </w:rPr>
              <w:t>3.投标人的保障措施方案较合理的，得1分；</w:t>
            </w:r>
          </w:p>
          <w:p>
            <w:pPr>
              <w:tabs>
                <w:tab w:val="left" w:pos="2869"/>
                <w:tab w:val="left" w:pos="3010"/>
              </w:tabs>
              <w:ind w:right="254" w:rightChars="121"/>
              <w:jc w:val="left"/>
              <w:rPr>
                <w:rFonts w:hint="eastAsia" w:ascii="仿宋" w:hAnsi="仿宋" w:eastAsia="仿宋" w:cs="仿宋"/>
                <w:szCs w:val="21"/>
              </w:rPr>
            </w:pPr>
            <w:r>
              <w:rPr>
                <w:rFonts w:hint="eastAsia" w:ascii="仿宋" w:hAnsi="仿宋" w:eastAsia="仿宋" w:cs="仿宋"/>
                <w:kern w:val="0"/>
                <w:szCs w:val="21"/>
              </w:rPr>
              <w:t>4.投标人的保障措施方案评价为差或不提供方案的，不得分。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3121" w:hRule="atLeast"/>
        </w:trPr>
        <w:tc>
          <w:tcPr>
            <w:tcW w:w="838"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服务承诺</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4384" w:type="dxa"/>
            <w:tcBorders>
              <w:top w:val="single" w:color="auto" w:sz="4" w:space="0"/>
              <w:left w:val="single" w:color="auto" w:sz="4" w:space="0"/>
              <w:bottom w:val="single" w:color="auto" w:sz="4" w:space="0"/>
              <w:right w:val="single" w:color="auto" w:sz="4" w:space="0"/>
            </w:tcBorders>
          </w:tcPr>
          <w:p>
            <w:pPr>
              <w:tabs>
                <w:tab w:val="left" w:pos="2869"/>
                <w:tab w:val="left" w:pos="3010"/>
              </w:tabs>
              <w:rPr>
                <w:rFonts w:hint="eastAsia" w:ascii="仿宋" w:hAnsi="仿宋" w:eastAsia="仿宋" w:cs="仿宋"/>
                <w:b/>
                <w:szCs w:val="21"/>
              </w:rPr>
            </w:pPr>
            <w:r>
              <w:rPr>
                <w:rFonts w:hint="eastAsia" w:ascii="仿宋" w:hAnsi="仿宋" w:eastAsia="仿宋" w:cs="仿宋"/>
                <w:b/>
                <w:szCs w:val="21"/>
              </w:rPr>
              <w:t>（一）评审内容：</w:t>
            </w:r>
          </w:p>
          <w:p>
            <w:pPr>
              <w:tabs>
                <w:tab w:val="left" w:pos="2869"/>
                <w:tab w:val="left" w:pos="3010"/>
              </w:tabs>
              <w:ind w:right="254" w:rightChars="121"/>
              <w:jc w:val="left"/>
              <w:rPr>
                <w:rFonts w:hint="eastAsia" w:ascii="仿宋" w:hAnsi="仿宋" w:eastAsia="仿宋" w:cs="仿宋"/>
                <w:kern w:val="0"/>
                <w:szCs w:val="21"/>
              </w:rPr>
            </w:pPr>
            <w:r>
              <w:rPr>
                <w:rFonts w:hint="eastAsia" w:ascii="仿宋" w:hAnsi="仿宋" w:eastAsia="仿宋" w:cs="仿宋"/>
                <w:kern w:val="0"/>
                <w:szCs w:val="21"/>
              </w:rPr>
              <w:t>投标人提供项目违约承诺。评审专家根据招标文件的需求和投标文件响应情况进行评审。</w:t>
            </w:r>
          </w:p>
          <w:p>
            <w:pPr>
              <w:tabs>
                <w:tab w:val="left" w:pos="2869"/>
                <w:tab w:val="left" w:pos="3010"/>
              </w:tabs>
              <w:rPr>
                <w:rFonts w:hint="eastAsia" w:ascii="仿宋" w:hAnsi="仿宋" w:eastAsia="仿宋" w:cs="仿宋"/>
                <w:b/>
                <w:szCs w:val="21"/>
              </w:rPr>
            </w:pPr>
            <w:r>
              <w:rPr>
                <w:rFonts w:hint="eastAsia" w:ascii="仿宋" w:hAnsi="仿宋" w:eastAsia="仿宋" w:cs="仿宋"/>
                <w:b/>
                <w:szCs w:val="21"/>
              </w:rPr>
              <w:t>（二）评分标准与依据：</w:t>
            </w:r>
          </w:p>
          <w:p>
            <w:pPr>
              <w:tabs>
                <w:tab w:val="left" w:pos="2869"/>
                <w:tab w:val="left" w:pos="3010"/>
              </w:tabs>
              <w:ind w:right="254" w:rightChars="121"/>
              <w:jc w:val="left"/>
              <w:rPr>
                <w:rFonts w:hint="eastAsia" w:ascii="仿宋" w:hAnsi="仿宋" w:eastAsia="仿宋" w:cs="仿宋"/>
                <w:kern w:val="0"/>
                <w:szCs w:val="21"/>
              </w:rPr>
            </w:pPr>
            <w:r>
              <w:rPr>
                <w:rFonts w:hint="eastAsia" w:ascii="仿宋" w:hAnsi="仿宋" w:eastAsia="仿宋" w:cs="仿宋"/>
                <w:kern w:val="0"/>
                <w:szCs w:val="21"/>
              </w:rPr>
              <w:t>1.投标人服务承诺详细，安排合理，得5分；</w:t>
            </w:r>
          </w:p>
          <w:p>
            <w:pPr>
              <w:tabs>
                <w:tab w:val="left" w:pos="2869"/>
                <w:tab w:val="left" w:pos="3010"/>
              </w:tabs>
              <w:ind w:right="254" w:rightChars="121"/>
              <w:jc w:val="left"/>
              <w:rPr>
                <w:rFonts w:hint="eastAsia" w:ascii="仿宋" w:hAnsi="仿宋" w:eastAsia="仿宋" w:cs="仿宋"/>
                <w:kern w:val="0"/>
                <w:szCs w:val="21"/>
              </w:rPr>
            </w:pPr>
            <w:r>
              <w:rPr>
                <w:rFonts w:hint="eastAsia" w:ascii="仿宋" w:hAnsi="仿宋" w:eastAsia="仿宋" w:cs="仿宋"/>
                <w:kern w:val="0"/>
                <w:szCs w:val="21"/>
              </w:rPr>
              <w:t>2.投标人服务承诺一般，安排一般，得3分；</w:t>
            </w:r>
          </w:p>
          <w:p>
            <w:pPr>
              <w:tabs>
                <w:tab w:val="left" w:pos="2869"/>
                <w:tab w:val="left" w:pos="3010"/>
              </w:tabs>
              <w:ind w:right="254" w:rightChars="121"/>
              <w:jc w:val="left"/>
              <w:rPr>
                <w:rFonts w:hint="eastAsia" w:ascii="仿宋" w:hAnsi="仿宋" w:eastAsia="仿宋" w:cs="仿宋"/>
                <w:kern w:val="0"/>
                <w:szCs w:val="21"/>
              </w:rPr>
            </w:pPr>
            <w:r>
              <w:rPr>
                <w:rFonts w:hint="eastAsia" w:ascii="仿宋" w:hAnsi="仿宋" w:eastAsia="仿宋" w:cs="仿宋"/>
                <w:kern w:val="0"/>
                <w:szCs w:val="21"/>
              </w:rPr>
              <w:t>3.投标人服务承诺不详细，安排较差，得1分。</w:t>
            </w:r>
          </w:p>
          <w:p>
            <w:pPr>
              <w:tabs>
                <w:tab w:val="left" w:pos="2869"/>
                <w:tab w:val="left" w:pos="3010"/>
              </w:tabs>
              <w:ind w:right="254" w:rightChars="121"/>
              <w:jc w:val="left"/>
              <w:rPr>
                <w:rFonts w:hint="eastAsia" w:ascii="仿宋" w:hAnsi="仿宋" w:eastAsia="仿宋" w:cs="仿宋"/>
              </w:rPr>
            </w:pPr>
            <w:r>
              <w:rPr>
                <w:rFonts w:hint="eastAsia" w:ascii="仿宋" w:hAnsi="仿宋" w:eastAsia="仿宋" w:cs="仿宋"/>
                <w:kern w:val="0"/>
                <w:szCs w:val="21"/>
              </w:rPr>
              <w:t>4.不提供服务承诺不得分。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482" w:hRule="atLeast"/>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3</w:t>
            </w:r>
          </w:p>
        </w:tc>
        <w:tc>
          <w:tcPr>
            <w:tcW w:w="331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综合实力部分</w:t>
            </w:r>
          </w:p>
        </w:tc>
        <w:tc>
          <w:tcPr>
            <w:tcW w:w="43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lang w:eastAsia="zh-CN"/>
              </w:rPr>
            </w:pPr>
            <w:r>
              <w:rPr>
                <w:rFonts w:hint="eastAsia" w:ascii="仿宋" w:hAnsi="仿宋" w:eastAsia="仿宋" w:cs="仿宋"/>
                <w:b/>
                <w:szCs w:val="21"/>
                <w:highlight w:val="yellow"/>
              </w:rPr>
              <w:t>3</w:t>
            </w:r>
            <w:r>
              <w:rPr>
                <w:rFonts w:hint="eastAsia" w:ascii="仿宋" w:hAnsi="仿宋" w:eastAsia="仿宋" w:cs="仿宋"/>
                <w:b/>
                <w:szCs w:val="21"/>
                <w:highlight w:val="yellow"/>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452" w:hRule="atLeast"/>
        </w:trPr>
        <w:tc>
          <w:tcPr>
            <w:tcW w:w="838" w:type="dxa"/>
            <w:vMerge w:val="restart"/>
            <w:tcBorders>
              <w:left w:val="single" w:color="auto" w:sz="4" w:space="0"/>
              <w:right w:val="single" w:color="auto" w:sz="4" w:space="0"/>
            </w:tcBorders>
          </w:tcPr>
          <w:p>
            <w:pPr>
              <w:jc w:val="center"/>
              <w:rPr>
                <w:rFonts w:hint="eastAsia" w:ascii="仿宋" w:hAnsi="仿宋" w:eastAsia="仿宋" w:cs="仿宋"/>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b/>
                <w:szCs w:val="21"/>
              </w:rPr>
              <w:t>序号</w:t>
            </w:r>
          </w:p>
        </w:tc>
        <w:tc>
          <w:tcPr>
            <w:tcW w:w="1756" w:type="dxa"/>
            <w:gridSpan w:val="2"/>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b/>
                <w:szCs w:val="21"/>
              </w:rPr>
              <w:t>评分因素</w:t>
            </w:r>
          </w:p>
        </w:tc>
        <w:tc>
          <w:tcPr>
            <w:tcW w:w="86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b/>
                <w:szCs w:val="21"/>
              </w:rPr>
              <w:t>权重</w:t>
            </w:r>
          </w:p>
        </w:tc>
        <w:tc>
          <w:tcPr>
            <w:tcW w:w="4384"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81" w:hRule="atLeast"/>
        </w:trPr>
        <w:tc>
          <w:tcPr>
            <w:tcW w:w="838" w:type="dxa"/>
            <w:vMerge w:val="continue"/>
            <w:tcBorders>
              <w:left w:val="single" w:color="auto" w:sz="4" w:space="0"/>
              <w:right w:val="single" w:color="auto" w:sz="4" w:space="0"/>
            </w:tcBorders>
          </w:tcPr>
          <w:p>
            <w:pPr>
              <w:jc w:val="center"/>
              <w:rPr>
                <w:rFonts w:hint="eastAsia" w:ascii="仿宋" w:hAnsi="仿宋" w:eastAsia="仿宋" w:cs="仿宋"/>
                <w:szCs w:val="21"/>
              </w:rPr>
            </w:pPr>
          </w:p>
          <w:p>
            <w:pPr>
              <w:pStyle w:val="11"/>
              <w:rPr>
                <w:rFonts w:hint="eastAsia" w:ascii="仿宋" w:hAnsi="仿宋" w:eastAsia="仿宋" w:cs="仿宋"/>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商务需求偏离情况</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4384" w:type="dxa"/>
            <w:tcBorders>
              <w:top w:val="single" w:color="auto" w:sz="4" w:space="0"/>
              <w:left w:val="single" w:color="auto" w:sz="4" w:space="0"/>
              <w:bottom w:val="single" w:color="auto" w:sz="4" w:space="0"/>
              <w:right w:val="single" w:color="auto" w:sz="4" w:space="0"/>
            </w:tcBorders>
          </w:tcPr>
          <w:p>
            <w:pPr>
              <w:tabs>
                <w:tab w:val="left" w:pos="2869"/>
                <w:tab w:val="left" w:pos="3010"/>
              </w:tabs>
              <w:rPr>
                <w:rFonts w:hint="eastAsia" w:ascii="仿宋" w:hAnsi="仿宋" w:eastAsia="仿宋" w:cs="仿宋"/>
                <w:b/>
                <w:szCs w:val="21"/>
              </w:rPr>
            </w:pPr>
            <w:r>
              <w:rPr>
                <w:rFonts w:hint="eastAsia" w:ascii="仿宋" w:hAnsi="仿宋" w:eastAsia="仿宋" w:cs="仿宋"/>
                <w:b/>
                <w:szCs w:val="21"/>
              </w:rPr>
              <w:t>（一）评审内容：</w:t>
            </w:r>
          </w:p>
          <w:p>
            <w:pPr>
              <w:tabs>
                <w:tab w:val="left" w:pos="2869"/>
                <w:tab w:val="left" w:pos="3010"/>
              </w:tabs>
              <w:ind w:right="254" w:rightChars="121"/>
              <w:jc w:val="left"/>
              <w:rPr>
                <w:rFonts w:hint="eastAsia" w:ascii="仿宋" w:hAnsi="仿宋" w:eastAsia="仿宋" w:cs="仿宋"/>
                <w:kern w:val="0"/>
                <w:szCs w:val="21"/>
              </w:rPr>
            </w:pPr>
            <w:r>
              <w:rPr>
                <w:rFonts w:hint="eastAsia" w:ascii="仿宋" w:hAnsi="仿宋" w:eastAsia="仿宋" w:cs="仿宋"/>
                <w:kern w:val="0"/>
                <w:szCs w:val="21"/>
              </w:rPr>
              <w:t>投标人应如实填写《商务偏离表》，评审专家根据商务需求参数响应情况进行评审。</w:t>
            </w:r>
          </w:p>
          <w:p>
            <w:pPr>
              <w:tabs>
                <w:tab w:val="left" w:pos="2869"/>
                <w:tab w:val="left" w:pos="3010"/>
              </w:tabs>
              <w:jc w:val="left"/>
              <w:rPr>
                <w:rFonts w:hint="eastAsia" w:ascii="仿宋" w:hAnsi="仿宋" w:eastAsia="仿宋" w:cs="仿宋"/>
                <w:b/>
                <w:szCs w:val="21"/>
              </w:rPr>
            </w:pPr>
            <w:r>
              <w:rPr>
                <w:rFonts w:hint="eastAsia" w:ascii="仿宋" w:hAnsi="仿宋" w:eastAsia="仿宋" w:cs="仿宋"/>
                <w:b/>
                <w:szCs w:val="21"/>
              </w:rPr>
              <w:t>（二）评分标准与依据：</w:t>
            </w:r>
            <w:r>
              <w:rPr>
                <w:rFonts w:hint="eastAsia" w:ascii="仿宋" w:hAnsi="仿宋" w:eastAsia="仿宋" w:cs="仿宋"/>
                <w:szCs w:val="21"/>
              </w:rPr>
              <w:t xml:space="preserve"> </w:t>
            </w:r>
          </w:p>
          <w:p>
            <w:pPr>
              <w:ind w:right="168" w:rightChars="80"/>
              <w:jc w:val="left"/>
              <w:rPr>
                <w:rFonts w:hint="eastAsia" w:ascii="仿宋" w:hAnsi="仿宋" w:eastAsia="仿宋" w:cs="仿宋"/>
                <w:szCs w:val="21"/>
              </w:rPr>
            </w:pPr>
            <w:r>
              <w:rPr>
                <w:rFonts w:hint="eastAsia" w:ascii="仿宋" w:hAnsi="仿宋" w:eastAsia="仿宋" w:cs="仿宋"/>
                <w:kern w:val="0"/>
                <w:szCs w:val="21"/>
              </w:rPr>
              <w:t>投标人应如实填写《商务需求偏离表》，评审委员会根据商务需求响应情况进行打分。完全满足招标文件要求得4分；对普通商务需求条款响应为负偏离的，一项扣0.5分，扣完为止。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78" w:hRule="atLeast"/>
        </w:trPr>
        <w:tc>
          <w:tcPr>
            <w:tcW w:w="838"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投标人通过相关认证情况</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4384" w:type="dxa"/>
            <w:tcBorders>
              <w:top w:val="single" w:color="auto" w:sz="4" w:space="0"/>
              <w:left w:val="single" w:color="auto" w:sz="4" w:space="0"/>
              <w:bottom w:val="single" w:color="auto" w:sz="4" w:space="0"/>
              <w:right w:val="single" w:color="auto" w:sz="4" w:space="0"/>
            </w:tcBorders>
          </w:tcPr>
          <w:p>
            <w:pPr>
              <w:textAlignment w:val="baseline"/>
              <w:rPr>
                <w:rFonts w:hint="eastAsia" w:ascii="仿宋" w:hAnsi="仿宋" w:eastAsia="仿宋" w:cs="仿宋"/>
                <w:b/>
                <w:bCs/>
                <w:color w:val="000000"/>
                <w:szCs w:val="21"/>
              </w:rPr>
            </w:pPr>
            <w:r>
              <w:rPr>
                <w:rFonts w:hint="eastAsia" w:ascii="仿宋" w:hAnsi="仿宋" w:eastAsia="仿宋" w:cs="仿宋"/>
                <w:b/>
                <w:bCs/>
                <w:color w:val="000000"/>
                <w:szCs w:val="21"/>
              </w:rPr>
              <w:t>（一）评分内容：</w:t>
            </w:r>
          </w:p>
          <w:p>
            <w:pPr>
              <w:ind w:right="168" w:rightChars="80"/>
              <w:jc w:val="left"/>
              <w:rPr>
                <w:rFonts w:hint="eastAsia" w:ascii="仿宋" w:hAnsi="仿宋" w:eastAsia="仿宋" w:cs="仿宋"/>
                <w:szCs w:val="21"/>
              </w:rPr>
            </w:pPr>
            <w:r>
              <w:rPr>
                <w:rFonts w:hint="eastAsia" w:ascii="仿宋" w:hAnsi="仿宋" w:eastAsia="仿宋" w:cs="仿宋"/>
                <w:kern w:val="0"/>
                <w:szCs w:val="21"/>
              </w:rPr>
              <w:t>1.投标人具有</w:t>
            </w:r>
            <w:r>
              <w:rPr>
                <w:rFonts w:hint="eastAsia" w:ascii="仿宋" w:hAnsi="仿宋" w:eastAsia="仿宋" w:cs="仿宋"/>
              </w:rPr>
              <w:t>质量管理体系认证证书</w:t>
            </w:r>
            <w:r>
              <w:rPr>
                <w:rFonts w:hint="eastAsia" w:ascii="仿宋" w:hAnsi="仿宋" w:eastAsia="仿宋" w:cs="仿宋"/>
                <w:kern w:val="0"/>
                <w:szCs w:val="21"/>
              </w:rPr>
              <w:t>得2分。</w:t>
            </w:r>
          </w:p>
          <w:p>
            <w:pPr>
              <w:ind w:right="168" w:rightChars="80"/>
              <w:jc w:val="left"/>
              <w:rPr>
                <w:rFonts w:hint="eastAsia" w:ascii="仿宋" w:hAnsi="仿宋" w:eastAsia="仿宋" w:cs="仿宋"/>
                <w:kern w:val="0"/>
                <w:szCs w:val="21"/>
              </w:rPr>
            </w:pPr>
            <w:r>
              <w:rPr>
                <w:rFonts w:hint="eastAsia" w:ascii="仿宋" w:hAnsi="仿宋" w:eastAsia="仿宋" w:cs="仿宋"/>
                <w:kern w:val="0"/>
                <w:szCs w:val="21"/>
              </w:rPr>
              <w:t>2.投标人具</w:t>
            </w:r>
            <w:r>
              <w:rPr>
                <w:rFonts w:hint="eastAsia" w:ascii="仿宋" w:hAnsi="仿宋" w:eastAsia="仿宋" w:cs="仿宋"/>
              </w:rPr>
              <w:t>信息技术服务管理体系认证证书</w:t>
            </w:r>
            <w:r>
              <w:rPr>
                <w:rFonts w:hint="eastAsia" w:ascii="仿宋" w:hAnsi="仿宋" w:eastAsia="仿宋" w:cs="仿宋"/>
                <w:kern w:val="0"/>
                <w:szCs w:val="21"/>
              </w:rPr>
              <w:t>得2分。</w:t>
            </w:r>
          </w:p>
          <w:p>
            <w:pPr>
              <w:jc w:val="left"/>
              <w:rPr>
                <w:rFonts w:hint="eastAsia" w:ascii="仿宋" w:hAnsi="仿宋" w:eastAsia="仿宋" w:cs="仿宋"/>
                <w:kern w:val="0"/>
                <w:szCs w:val="21"/>
              </w:rPr>
            </w:pPr>
            <w:r>
              <w:rPr>
                <w:rFonts w:hint="eastAsia" w:ascii="仿宋" w:hAnsi="仿宋" w:eastAsia="仿宋" w:cs="仿宋"/>
                <w:szCs w:val="21"/>
              </w:rPr>
              <w:t>以上2项得分累计，最高4分。</w:t>
            </w:r>
          </w:p>
          <w:p>
            <w:pPr>
              <w:ind w:right="168" w:rightChars="80"/>
              <w:jc w:val="left"/>
              <w:rPr>
                <w:rFonts w:hint="eastAsia" w:ascii="仿宋" w:hAnsi="仿宋" w:eastAsia="仿宋" w:cs="仿宋"/>
                <w:b/>
                <w:bCs/>
                <w:kern w:val="0"/>
                <w:szCs w:val="21"/>
              </w:rPr>
            </w:pPr>
            <w:r>
              <w:rPr>
                <w:rFonts w:hint="eastAsia" w:ascii="仿宋" w:hAnsi="仿宋" w:eastAsia="仿宋" w:cs="仿宋"/>
                <w:b/>
                <w:bCs/>
                <w:kern w:val="0"/>
                <w:szCs w:val="21"/>
              </w:rPr>
              <w:t>（二）评分依据：</w:t>
            </w:r>
          </w:p>
          <w:p>
            <w:pPr>
              <w:ind w:right="168" w:rightChars="80"/>
              <w:jc w:val="left"/>
              <w:rPr>
                <w:rFonts w:hint="eastAsia" w:ascii="仿宋" w:hAnsi="仿宋" w:eastAsia="仿宋" w:cs="仿宋"/>
                <w:szCs w:val="21"/>
              </w:rPr>
            </w:pPr>
            <w:r>
              <w:rPr>
                <w:rFonts w:hint="eastAsia" w:ascii="仿宋" w:hAnsi="仿宋" w:eastAsia="仿宋" w:cs="仿宋"/>
                <w:kern w:val="0"/>
                <w:szCs w:val="21"/>
              </w:rPr>
              <w:t>提供有效的认证证书扫描件作为得分依据。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78" w:hRule="atLeast"/>
        </w:trPr>
        <w:tc>
          <w:tcPr>
            <w:tcW w:w="838"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eastAsia="zh-CN"/>
              </w:rPr>
            </w:pPr>
            <w:r>
              <w:rPr>
                <w:rFonts w:hint="eastAsia" w:ascii="仿宋" w:hAnsi="仿宋" w:eastAsia="仿宋" w:cs="仿宋"/>
                <w:szCs w:val="21"/>
                <w:lang w:val="en-US" w:eastAsia="zh-CN"/>
              </w:rPr>
              <w:t>3</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拟安排的项目负责人情况</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4384"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仿宋"/>
                <w:szCs w:val="21"/>
              </w:rPr>
            </w:pPr>
            <w:r>
              <w:rPr>
                <w:rFonts w:hint="eastAsia" w:ascii="仿宋" w:hAnsi="仿宋" w:eastAsia="仿宋" w:cs="仿宋"/>
                <w:b/>
                <w:bCs/>
                <w:szCs w:val="21"/>
              </w:rPr>
              <w:t>（一）评审内容</w:t>
            </w:r>
          </w:p>
          <w:p>
            <w:pPr>
              <w:jc w:val="left"/>
              <w:rPr>
                <w:rFonts w:hint="eastAsia" w:ascii="仿宋" w:hAnsi="仿宋" w:eastAsia="仿宋" w:cs="仿宋"/>
                <w:szCs w:val="21"/>
              </w:rPr>
            </w:pPr>
            <w:r>
              <w:rPr>
                <w:rFonts w:hint="eastAsia" w:ascii="仿宋" w:hAnsi="仿宋" w:eastAsia="仿宋" w:cs="仿宋"/>
                <w:szCs w:val="21"/>
              </w:rPr>
              <w:t>1.项目负责人须具有会计专业本科(或以上)学历得1分；</w:t>
            </w:r>
          </w:p>
          <w:p>
            <w:pPr>
              <w:jc w:val="left"/>
              <w:rPr>
                <w:rFonts w:hint="eastAsia" w:ascii="仿宋" w:hAnsi="仿宋" w:eastAsia="仿宋" w:cs="仿宋"/>
                <w:szCs w:val="21"/>
              </w:rPr>
            </w:pPr>
            <w:r>
              <w:rPr>
                <w:rFonts w:hint="eastAsia" w:ascii="仿宋" w:hAnsi="仿宋" w:eastAsia="仿宋" w:cs="仿宋"/>
                <w:szCs w:val="21"/>
              </w:rPr>
              <w:t>2.具有高级信息系统项目管理师证书2分</w:t>
            </w:r>
          </w:p>
          <w:p>
            <w:pPr>
              <w:jc w:val="left"/>
              <w:rPr>
                <w:rFonts w:hint="eastAsia" w:ascii="仿宋" w:hAnsi="仿宋" w:eastAsia="仿宋" w:cs="仿宋"/>
                <w:szCs w:val="21"/>
              </w:rPr>
            </w:pPr>
            <w:r>
              <w:rPr>
                <w:rFonts w:hint="eastAsia" w:ascii="仿宋" w:hAnsi="仿宋" w:eastAsia="仿宋" w:cs="仿宋"/>
                <w:szCs w:val="21"/>
              </w:rPr>
              <w:t>以上2项全部满足得分3分</w:t>
            </w:r>
          </w:p>
          <w:p>
            <w:pPr>
              <w:jc w:val="left"/>
              <w:rPr>
                <w:rFonts w:hint="eastAsia" w:ascii="仿宋" w:hAnsi="仿宋" w:eastAsia="仿宋" w:cs="仿宋"/>
                <w:b/>
                <w:bCs/>
                <w:szCs w:val="21"/>
              </w:rPr>
            </w:pPr>
            <w:r>
              <w:rPr>
                <w:rFonts w:hint="eastAsia" w:ascii="仿宋" w:hAnsi="仿宋" w:eastAsia="仿宋" w:cs="仿宋"/>
                <w:b/>
                <w:bCs/>
                <w:szCs w:val="21"/>
              </w:rPr>
              <w:t>（二）评分依据</w:t>
            </w:r>
          </w:p>
          <w:p>
            <w:pPr>
              <w:jc w:val="left"/>
              <w:rPr>
                <w:rFonts w:hint="eastAsia" w:ascii="仿宋" w:hAnsi="仿宋" w:eastAsia="仿宋" w:cs="仿宋"/>
                <w:szCs w:val="21"/>
              </w:rPr>
            </w:pPr>
            <w:r>
              <w:rPr>
                <w:rFonts w:hint="eastAsia" w:ascii="仿宋" w:hAnsi="仿宋" w:eastAsia="仿宋" w:cs="仿宋"/>
                <w:szCs w:val="21"/>
              </w:rPr>
              <w:t>1.提供相关证书扫描件作为得分依据。</w:t>
            </w:r>
          </w:p>
          <w:p>
            <w:pPr>
              <w:ind w:right="168" w:rightChars="80"/>
              <w:jc w:val="left"/>
              <w:rPr>
                <w:rFonts w:hint="eastAsia" w:ascii="仿宋" w:hAnsi="仿宋" w:eastAsia="仿宋" w:cs="仿宋"/>
                <w:szCs w:val="21"/>
              </w:rPr>
            </w:pPr>
            <w:r>
              <w:rPr>
                <w:rFonts w:hint="eastAsia" w:ascii="仿宋" w:hAnsi="仿宋" w:eastAsia="仿宋" w:cs="仿宋"/>
                <w:szCs w:val="21"/>
              </w:rPr>
              <w:t>2.提供投标人为其缴纳的2024年8-10月份有效社保证明作为本单位员工的证明依据。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78" w:hRule="atLeast"/>
        </w:trPr>
        <w:tc>
          <w:tcPr>
            <w:tcW w:w="838"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eastAsia="zh-CN"/>
              </w:rPr>
            </w:pPr>
            <w:r>
              <w:rPr>
                <w:rFonts w:hint="eastAsia" w:ascii="仿宋" w:hAnsi="仿宋" w:eastAsia="仿宋" w:cs="仿宋"/>
                <w:szCs w:val="21"/>
                <w:lang w:val="en-US" w:eastAsia="zh-CN"/>
              </w:rPr>
              <w:t>4</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b/>
                <w:sz w:val="20"/>
                <w:szCs w:val="20"/>
              </w:rPr>
            </w:pPr>
            <w:r>
              <w:rPr>
                <w:rFonts w:hint="eastAsia" w:ascii="仿宋" w:hAnsi="仿宋" w:eastAsia="仿宋" w:cs="仿宋"/>
                <w:szCs w:val="21"/>
              </w:rPr>
              <w:t>拟安排的项目团队成员（项目负责人除外）情况</w:t>
            </w:r>
          </w:p>
          <w:p>
            <w:pPr>
              <w:jc w:val="center"/>
              <w:rPr>
                <w:rFonts w:hint="eastAsia" w:ascii="仿宋" w:hAnsi="仿宋" w:eastAsia="仿宋" w:cs="仿宋"/>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9</w:t>
            </w:r>
          </w:p>
        </w:tc>
        <w:tc>
          <w:tcPr>
            <w:tcW w:w="4384" w:type="dxa"/>
            <w:tcBorders>
              <w:top w:val="single" w:color="auto" w:sz="4" w:space="0"/>
              <w:left w:val="single" w:color="auto" w:sz="4" w:space="0"/>
              <w:bottom w:val="single" w:color="auto" w:sz="4" w:space="0"/>
              <w:right w:val="single" w:color="auto" w:sz="4" w:space="0"/>
            </w:tcBorders>
          </w:tcPr>
          <w:p>
            <w:pPr>
              <w:ind w:right="168" w:rightChars="80"/>
              <w:jc w:val="left"/>
              <w:rPr>
                <w:rFonts w:hint="eastAsia" w:ascii="仿宋" w:hAnsi="仿宋" w:eastAsia="仿宋" w:cs="仿宋"/>
                <w:kern w:val="0"/>
                <w:szCs w:val="21"/>
              </w:rPr>
            </w:pPr>
            <w:r>
              <w:rPr>
                <w:rFonts w:hint="eastAsia" w:ascii="仿宋" w:hAnsi="仿宋" w:eastAsia="仿宋" w:cs="仿宋"/>
                <w:kern w:val="0"/>
                <w:szCs w:val="21"/>
              </w:rPr>
              <w:t>1.团队成员具有注册会计师证书得1分；</w:t>
            </w:r>
          </w:p>
          <w:p>
            <w:pPr>
              <w:ind w:right="168" w:rightChars="80"/>
              <w:jc w:val="left"/>
              <w:rPr>
                <w:rFonts w:hint="eastAsia" w:ascii="仿宋" w:hAnsi="仿宋" w:eastAsia="仿宋" w:cs="仿宋"/>
                <w:kern w:val="0"/>
                <w:szCs w:val="21"/>
              </w:rPr>
            </w:pPr>
            <w:r>
              <w:rPr>
                <w:rFonts w:hint="eastAsia" w:ascii="仿宋" w:hAnsi="仿宋" w:eastAsia="仿宋" w:cs="仿宋"/>
                <w:kern w:val="0"/>
                <w:szCs w:val="21"/>
              </w:rPr>
              <w:t>2.团队成员具有教师资格证书，每提供一个得1分最多得3分；</w:t>
            </w:r>
          </w:p>
          <w:p>
            <w:pPr>
              <w:ind w:right="168" w:rightChars="80"/>
              <w:jc w:val="left"/>
              <w:rPr>
                <w:rFonts w:hint="eastAsia" w:ascii="仿宋" w:hAnsi="仿宋" w:eastAsia="仿宋" w:cs="仿宋"/>
                <w:kern w:val="0"/>
                <w:szCs w:val="21"/>
              </w:rPr>
            </w:pPr>
            <w:r>
              <w:rPr>
                <w:rFonts w:hint="eastAsia" w:ascii="仿宋" w:hAnsi="仿宋" w:eastAsia="仿宋" w:cs="仿宋"/>
                <w:kern w:val="0"/>
                <w:szCs w:val="21"/>
              </w:rPr>
              <w:t>3.团队成员具有中级会计师证书，每提供一个得1分最多得3分；</w:t>
            </w:r>
          </w:p>
          <w:p>
            <w:pPr>
              <w:ind w:right="168" w:rightChars="80"/>
              <w:jc w:val="left"/>
              <w:rPr>
                <w:rFonts w:hint="eastAsia" w:ascii="仿宋" w:hAnsi="仿宋" w:eastAsia="仿宋" w:cs="仿宋"/>
                <w:kern w:val="0"/>
                <w:szCs w:val="21"/>
              </w:rPr>
            </w:pPr>
            <w:r>
              <w:rPr>
                <w:rFonts w:hint="eastAsia" w:ascii="仿宋" w:hAnsi="仿宋" w:eastAsia="仿宋" w:cs="仿宋"/>
                <w:kern w:val="0"/>
                <w:szCs w:val="21"/>
              </w:rPr>
              <w:t>4.团队成员具有高级工艺美术师证书得2分；</w:t>
            </w:r>
          </w:p>
          <w:p>
            <w:pPr>
              <w:ind w:right="168" w:rightChars="80"/>
              <w:jc w:val="left"/>
              <w:rPr>
                <w:rFonts w:hint="eastAsia" w:ascii="仿宋" w:hAnsi="仿宋" w:eastAsia="仿宋" w:cs="仿宋"/>
                <w:kern w:val="0"/>
                <w:szCs w:val="21"/>
              </w:rPr>
            </w:pPr>
            <w:r>
              <w:rPr>
                <w:rFonts w:hint="eastAsia" w:ascii="仿宋" w:hAnsi="仿宋" w:eastAsia="仿宋" w:cs="仿宋"/>
                <w:kern w:val="0"/>
                <w:szCs w:val="21"/>
              </w:rPr>
              <w:t>以上4项得分累计，满分9分。同一人同时具备上述不同子项要求的多个证书，不累计得分，按得分最优情况计算。</w:t>
            </w:r>
          </w:p>
          <w:p>
            <w:pPr>
              <w:jc w:val="left"/>
              <w:rPr>
                <w:rFonts w:hint="eastAsia" w:ascii="仿宋" w:hAnsi="仿宋" w:eastAsia="仿宋" w:cs="仿宋"/>
                <w:szCs w:val="21"/>
              </w:rPr>
            </w:pPr>
            <w:r>
              <w:rPr>
                <w:rFonts w:hint="eastAsia" w:ascii="仿宋" w:hAnsi="仿宋" w:eastAsia="仿宋" w:cs="仿宋"/>
                <w:szCs w:val="21"/>
              </w:rPr>
              <w:t>（二）评分依据：</w:t>
            </w:r>
          </w:p>
          <w:p>
            <w:pPr>
              <w:widowControl/>
              <w:wordWrap w:val="0"/>
              <w:jc w:val="left"/>
              <w:rPr>
                <w:rFonts w:hint="eastAsia" w:ascii="仿宋" w:hAnsi="仿宋" w:eastAsia="仿宋" w:cs="仿宋"/>
                <w:sz w:val="22"/>
                <w:szCs w:val="21"/>
              </w:rPr>
            </w:pPr>
            <w:r>
              <w:rPr>
                <w:rFonts w:hint="eastAsia" w:ascii="仿宋" w:hAnsi="仿宋" w:eastAsia="仿宋" w:cs="仿宋"/>
                <w:sz w:val="22"/>
              </w:rPr>
              <w:t>提供相关证书扫描件</w:t>
            </w:r>
            <w:r>
              <w:rPr>
                <w:rFonts w:hint="eastAsia" w:ascii="仿宋" w:hAnsi="仿宋" w:eastAsia="仿宋" w:cs="仿宋"/>
                <w:kern w:val="0"/>
                <w:szCs w:val="21"/>
              </w:rPr>
              <w:t>作为得分依据</w:t>
            </w:r>
            <w:r>
              <w:rPr>
                <w:rFonts w:hint="eastAsia" w:ascii="仿宋" w:hAnsi="仿宋" w:eastAsia="仿宋" w:cs="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1405" w:hRule="atLeast"/>
        </w:trPr>
        <w:tc>
          <w:tcPr>
            <w:tcW w:w="838" w:type="dxa"/>
            <w:vMerge w:val="continue"/>
            <w:tcBorders>
              <w:left w:val="single" w:color="auto" w:sz="4" w:space="0"/>
              <w:right w:val="single" w:color="auto" w:sz="4" w:space="0"/>
            </w:tcBorders>
            <w:vAlign w:val="center"/>
          </w:tcPr>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t xml:space="preserve">    </w:t>
            </w: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t xml:space="preserve">                 </w:t>
            </w: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t>1111主要主要</w:t>
            </w:r>
            <w:r>
              <w:rPr>
                <w:rFonts w:hint="eastAsia" w:ascii="仿宋" w:hAnsi="仿宋" w:eastAsia="仿宋" w:cs="仿宋"/>
                <w:b/>
                <w:bCs/>
                <w:color w:val="000000"/>
                <w:szCs w:val="21"/>
              </w:rPr>
              <w:t>主要</w:t>
            </w:r>
            <w:r>
              <w:rPr>
                <w:rFonts w:hint="eastAsia" w:ascii="仿宋" w:hAnsi="仿宋" w:eastAsia="仿宋" w:cs="仿宋"/>
                <w:szCs w:val="21"/>
              </w:rPr>
              <w:t>树妖主要技术技术技术</w:t>
            </w:r>
            <w:r>
              <w:rPr>
                <w:rFonts w:hint="eastAsia" w:ascii="仿宋" w:hAnsi="仿宋" w:eastAsia="仿宋" w:cs="仿宋"/>
                <w:b/>
                <w:bCs/>
                <w:color w:val="000000"/>
                <w:szCs w:val="21"/>
              </w:rPr>
              <w:t>5（）</w:t>
            </w:r>
            <w:r>
              <w:rPr>
                <w:rFonts w:hint="eastAsia" w:ascii="仿宋" w:hAnsi="仿宋" w:eastAsia="仿宋" w:cs="仿宋"/>
                <w:szCs w:val="21"/>
              </w:rPr>
              <w:t>5555555555555555555555</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eastAsia="zh-CN"/>
              </w:rPr>
            </w:pPr>
            <w:r>
              <w:rPr>
                <w:rFonts w:hint="eastAsia" w:ascii="仿宋" w:hAnsi="仿宋" w:eastAsia="仿宋" w:cs="仿宋"/>
                <w:szCs w:val="21"/>
                <w:lang w:val="en-US" w:eastAsia="zh-CN"/>
              </w:rPr>
              <w:t>5</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投标人自主知识产权产品（创新、设计）情况</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10</w:t>
            </w:r>
          </w:p>
        </w:tc>
        <w:tc>
          <w:tcPr>
            <w:tcW w:w="438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rPr>
            </w:pPr>
            <w:r>
              <w:rPr>
                <w:rFonts w:hint="eastAsia" w:ascii="仿宋" w:hAnsi="仿宋" w:eastAsia="仿宋" w:cs="仿宋"/>
              </w:rPr>
              <w:t>（一）评分内容：</w:t>
            </w:r>
          </w:p>
          <w:p>
            <w:pPr>
              <w:ind w:right="168" w:rightChars="80"/>
              <w:jc w:val="left"/>
              <w:rPr>
                <w:rFonts w:hint="eastAsia" w:ascii="仿宋" w:hAnsi="仿宋" w:eastAsia="仿宋" w:cs="仿宋"/>
                <w:kern w:val="0"/>
                <w:szCs w:val="21"/>
              </w:rPr>
            </w:pPr>
            <w:r>
              <w:rPr>
                <w:rFonts w:hint="eastAsia" w:ascii="仿宋" w:hAnsi="仿宋" w:eastAsia="仿宋" w:cs="仿宋"/>
                <w:kern w:val="0"/>
                <w:szCs w:val="21"/>
              </w:rPr>
              <w:t>1、具有</w:t>
            </w:r>
            <w:r>
              <w:rPr>
                <w:rFonts w:hint="eastAsia" w:ascii="仿宋" w:hAnsi="仿宋" w:eastAsia="仿宋" w:cs="仿宋"/>
                <w:szCs w:val="21"/>
              </w:rPr>
              <w:t>电子发票类软件著作权证书</w:t>
            </w:r>
            <w:r>
              <w:rPr>
                <w:rFonts w:hint="eastAsia" w:ascii="仿宋" w:hAnsi="仿宋" w:eastAsia="仿宋" w:cs="仿宋"/>
                <w:kern w:val="0"/>
                <w:szCs w:val="21"/>
              </w:rPr>
              <w:t>得5分。</w:t>
            </w:r>
          </w:p>
          <w:p>
            <w:pPr>
              <w:ind w:right="168" w:rightChars="80"/>
              <w:jc w:val="left"/>
              <w:rPr>
                <w:rFonts w:hint="eastAsia" w:ascii="仿宋" w:hAnsi="仿宋" w:eastAsia="仿宋" w:cs="仿宋"/>
                <w:kern w:val="0"/>
                <w:szCs w:val="21"/>
              </w:rPr>
            </w:pPr>
            <w:r>
              <w:rPr>
                <w:rFonts w:hint="eastAsia" w:ascii="仿宋" w:hAnsi="仿宋" w:eastAsia="仿宋" w:cs="仿宋"/>
                <w:kern w:val="0"/>
                <w:szCs w:val="21"/>
              </w:rPr>
              <w:t>2、具有</w:t>
            </w:r>
            <w:r>
              <w:rPr>
                <w:rFonts w:hint="eastAsia" w:ascii="仿宋" w:hAnsi="仿宋" w:eastAsia="仿宋" w:cs="仿宋"/>
                <w:szCs w:val="21"/>
              </w:rPr>
              <w:t>增值税申报系统类软件著作权证书</w:t>
            </w:r>
            <w:r>
              <w:rPr>
                <w:rFonts w:hint="eastAsia" w:ascii="仿宋" w:hAnsi="仿宋" w:eastAsia="仿宋" w:cs="仿宋"/>
                <w:kern w:val="0"/>
                <w:szCs w:val="21"/>
              </w:rPr>
              <w:t>得5分。</w:t>
            </w:r>
          </w:p>
          <w:p>
            <w:pPr>
              <w:jc w:val="left"/>
              <w:rPr>
                <w:rFonts w:hint="eastAsia" w:ascii="仿宋" w:hAnsi="仿宋" w:eastAsia="仿宋" w:cs="仿宋"/>
                <w:b/>
                <w:bCs/>
                <w:szCs w:val="21"/>
              </w:rPr>
            </w:pPr>
            <w:r>
              <w:rPr>
                <w:rFonts w:hint="eastAsia" w:ascii="仿宋" w:hAnsi="仿宋" w:eastAsia="仿宋" w:cs="仿宋"/>
                <w:b/>
                <w:bCs/>
                <w:szCs w:val="21"/>
              </w:rPr>
              <w:t>（二）评分依据</w:t>
            </w:r>
          </w:p>
          <w:p>
            <w:pPr>
              <w:widowControl/>
              <w:wordWrap w:val="0"/>
              <w:jc w:val="left"/>
              <w:rPr>
                <w:rFonts w:hint="eastAsia" w:ascii="仿宋" w:hAnsi="仿宋" w:eastAsia="仿宋" w:cs="仿宋"/>
              </w:rPr>
            </w:pPr>
            <w:r>
              <w:rPr>
                <w:rFonts w:hint="eastAsia" w:ascii="仿宋" w:hAnsi="仿宋" w:eastAsia="仿宋" w:cs="仿宋"/>
                <w:sz w:val="22"/>
              </w:rPr>
              <w:t>提供相关证书扫描件</w:t>
            </w:r>
            <w:r>
              <w:rPr>
                <w:rFonts w:hint="eastAsia" w:ascii="仿宋" w:hAnsi="仿宋" w:eastAsia="仿宋" w:cs="仿宋"/>
                <w:kern w:val="0"/>
                <w:szCs w:val="21"/>
              </w:rPr>
              <w:t>作为得分依据</w:t>
            </w:r>
            <w:r>
              <w:rPr>
                <w:rFonts w:hint="eastAsia" w:ascii="仿宋" w:hAnsi="仿宋" w:eastAsia="仿宋" w:cs="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rPr>
            </w:pPr>
            <w:bookmarkStart w:id="0" w:name="InsertEnd"/>
            <w:bookmarkEnd w:id="0"/>
            <w:r>
              <w:rPr>
                <w:rFonts w:hint="eastAsia" w:ascii="仿宋" w:hAnsi="仿宋" w:eastAsia="仿宋" w:cs="仿宋"/>
                <w:b/>
                <w:szCs w:val="21"/>
              </w:rPr>
              <w:t>4</w:t>
            </w:r>
          </w:p>
        </w:tc>
        <w:tc>
          <w:tcPr>
            <w:tcW w:w="331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诚信情况部分</w:t>
            </w:r>
          </w:p>
        </w:tc>
        <w:tc>
          <w:tcPr>
            <w:tcW w:w="43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color w:val="FF0000"/>
                <w:szCs w:val="21"/>
              </w:rPr>
              <w:t>5</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color w:val="FF0000"/>
                <w:szCs w:val="21"/>
              </w:rPr>
              <w:t>5</w:t>
            </w:r>
          </w:p>
        </w:tc>
        <w:tc>
          <w:tcPr>
            <w:tcW w:w="4252"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
                <w:szCs w:val="21"/>
              </w:rPr>
            </w:pPr>
            <w:r>
              <w:rPr>
                <w:rFonts w:hint="eastAsia" w:ascii="仿宋" w:hAnsi="仿宋" w:eastAsia="仿宋" w:cs="仿宋"/>
                <w:sz w:val="22"/>
              </w:rPr>
              <w:t>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78" w:hRule="atLeast"/>
        </w:trPr>
        <w:tc>
          <w:tcPr>
            <w:tcW w:w="838" w:type="dxa"/>
            <w:vMerge w:val="restart"/>
            <w:tcBorders>
              <w:top w:val="single" w:color="auto" w:sz="4" w:space="0"/>
              <w:left w:val="single" w:color="auto" w:sz="4" w:space="0"/>
              <w:right w:val="single" w:color="auto" w:sz="4" w:space="0"/>
            </w:tcBorders>
          </w:tcPr>
          <w:p>
            <w:pPr>
              <w:jc w:val="center"/>
              <w:rPr>
                <w:rFonts w:hint="eastAsia" w:ascii="仿宋" w:hAnsi="仿宋" w:eastAsia="仿宋" w:cs="仿宋"/>
                <w:szCs w:val="21"/>
              </w:rPr>
            </w:pPr>
          </w:p>
        </w:tc>
        <w:tc>
          <w:tcPr>
            <w:tcW w:w="705" w:type="dxa"/>
            <w:gridSpan w:val="2"/>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Cs w:val="21"/>
              </w:rPr>
            </w:pPr>
            <w:r>
              <w:rPr>
                <w:rFonts w:hint="eastAsia" w:ascii="仿宋" w:hAnsi="仿宋" w:eastAsia="仿宋" w:cs="仿宋"/>
                <w:b/>
                <w:szCs w:val="21"/>
              </w:rPr>
              <w:t>序号</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Cs w:val="21"/>
              </w:rPr>
            </w:pPr>
            <w:r>
              <w:rPr>
                <w:rFonts w:hint="eastAsia" w:ascii="仿宋" w:hAnsi="仿宋" w:eastAsia="仿宋" w:cs="仿宋"/>
                <w:b/>
                <w:szCs w:val="21"/>
              </w:rPr>
              <w:t>评分因素</w:t>
            </w:r>
          </w:p>
        </w:tc>
        <w:tc>
          <w:tcPr>
            <w:tcW w:w="86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Cs w:val="21"/>
              </w:rPr>
            </w:pPr>
            <w:r>
              <w:rPr>
                <w:rFonts w:hint="eastAsia" w:ascii="仿宋" w:hAnsi="仿宋" w:eastAsia="仿宋" w:cs="仿宋"/>
                <w:b/>
                <w:szCs w:val="21"/>
              </w:rPr>
              <w:t>权重</w:t>
            </w:r>
          </w:p>
        </w:tc>
        <w:tc>
          <w:tcPr>
            <w:tcW w:w="4384"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Cs w:val="21"/>
              </w:rPr>
            </w:pPr>
            <w:r>
              <w:rPr>
                <w:rFonts w:hint="eastAsia" w:ascii="仿宋" w:hAnsi="仿宋" w:eastAsia="仿宋" w:cs="仿宋"/>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504" w:type="dxa"/>
          <w:trHeight w:val="78" w:hRule="atLeast"/>
        </w:trPr>
        <w:tc>
          <w:tcPr>
            <w:tcW w:w="838" w:type="dxa"/>
            <w:vMerge w:val="continue"/>
            <w:tcBorders>
              <w:left w:val="single" w:color="auto" w:sz="4" w:space="0"/>
              <w:right w:val="single" w:color="auto" w:sz="4" w:space="0"/>
            </w:tcBorders>
          </w:tcPr>
          <w:p>
            <w:pPr>
              <w:jc w:val="center"/>
              <w:rPr>
                <w:rFonts w:hint="eastAsia" w:ascii="仿宋" w:hAnsi="仿宋" w:eastAsia="仿宋" w:cs="仿宋"/>
                <w:szCs w:val="21"/>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FF0000"/>
                <w:szCs w:val="21"/>
              </w:rPr>
            </w:pPr>
            <w:r>
              <w:rPr>
                <w:rFonts w:hint="eastAsia" w:ascii="仿宋" w:hAnsi="仿宋" w:eastAsia="仿宋" w:cs="仿宋"/>
                <w:b/>
                <w:color w:val="FF0000"/>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FF0000"/>
                <w:szCs w:val="21"/>
              </w:rPr>
            </w:pPr>
            <w:r>
              <w:rPr>
                <w:rFonts w:hint="eastAsia" w:ascii="仿宋" w:hAnsi="仿宋" w:eastAsia="仿宋" w:cs="仿宋"/>
                <w:b/>
                <w:color w:val="FF0000"/>
                <w:szCs w:val="21"/>
              </w:rPr>
              <w:t>诚信评价</w:t>
            </w:r>
          </w:p>
          <w:p>
            <w:pPr>
              <w:jc w:val="center"/>
              <w:rPr>
                <w:rFonts w:hint="eastAsia" w:ascii="仿宋" w:hAnsi="仿宋" w:eastAsia="仿宋" w:cs="仿宋"/>
                <w:b/>
                <w:color w:val="FF0000"/>
                <w:szCs w:val="21"/>
              </w:rPr>
            </w:pPr>
            <w:r>
              <w:rPr>
                <w:rFonts w:hint="eastAsia" w:ascii="仿宋" w:hAnsi="仿宋" w:eastAsia="仿宋" w:cs="仿宋"/>
                <w:b/>
                <w:color w:val="FF0000"/>
                <w:szCs w:val="21"/>
              </w:rPr>
              <w:t>（不可修改项）</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FF0000"/>
                <w:szCs w:val="21"/>
              </w:rPr>
            </w:pPr>
            <w:r>
              <w:rPr>
                <w:rFonts w:hint="eastAsia" w:ascii="仿宋" w:hAnsi="仿宋" w:eastAsia="仿宋" w:cs="仿宋"/>
                <w:b/>
                <w:color w:val="FF0000"/>
                <w:szCs w:val="21"/>
              </w:rPr>
              <w:t xml:space="preserve">5 </w:t>
            </w:r>
          </w:p>
        </w:tc>
        <w:tc>
          <w:tcPr>
            <w:tcW w:w="438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
                <w:color w:val="FF0000"/>
                <w:szCs w:val="21"/>
              </w:rPr>
            </w:pPr>
            <w:r>
              <w:rPr>
                <w:rFonts w:hint="eastAsia" w:ascii="仿宋" w:hAnsi="仿宋" w:eastAsia="仿宋" w:cs="仿宋"/>
                <w:b/>
                <w:color w:val="FF0000"/>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3"/>
        <w:rPr>
          <w:rFonts w:hint="eastAsia"/>
        </w:rPr>
      </w:pPr>
    </w:p>
    <w:p>
      <w:pPr>
        <w:pStyle w:val="3"/>
      </w:pPr>
      <w:r>
        <w:rPr>
          <w:rFonts w:hint="eastAsia"/>
        </w:rPr>
        <w:t>第二章  项目需求</w:t>
      </w:r>
    </w:p>
    <w:p>
      <w:pPr>
        <w:pStyle w:val="6"/>
        <w:spacing w:before="156" w:beforeLines="50" w:after="156" w:afterLines="50"/>
        <w:rPr>
          <w:rFonts w:cs="宋体"/>
          <w:szCs w:val="28"/>
        </w:rPr>
      </w:pPr>
      <w:bookmarkStart w:id="1" w:name="_Toc73518117"/>
      <w:bookmarkStart w:id="2" w:name="_Toc73521547"/>
      <w:bookmarkStart w:id="3" w:name="_Toc101074876"/>
      <w:bookmarkStart w:id="4" w:name="_Toc60560625"/>
      <w:bookmarkStart w:id="5" w:name="_Toc73517639"/>
      <w:bookmarkStart w:id="6" w:name="_Toc100052364"/>
      <w:bookmarkStart w:id="7" w:name="_Toc73521635"/>
      <w:bookmarkStart w:id="8" w:name="_Toc60631620"/>
      <w:r>
        <w:rPr>
          <w:rFonts w:hint="eastAsia" w:cs="宋体"/>
          <w:szCs w:val="28"/>
        </w:rPr>
        <w:t>一、项目概况</w:t>
      </w:r>
    </w:p>
    <w:bookmarkEnd w:id="1"/>
    <w:bookmarkEnd w:id="2"/>
    <w:bookmarkEnd w:id="3"/>
    <w:bookmarkEnd w:id="4"/>
    <w:bookmarkEnd w:id="5"/>
    <w:bookmarkEnd w:id="6"/>
    <w:bookmarkEnd w:id="7"/>
    <w:bookmarkEnd w:id="8"/>
    <w:p>
      <w:pPr>
        <w:ind w:firstLine="480"/>
        <w:rPr>
          <w:rFonts w:hint="eastAsia"/>
          <w:lang w:val="en-US" w:eastAsia="zh-CN"/>
        </w:rPr>
      </w:pPr>
      <w:r>
        <w:rPr>
          <w:rFonts w:hint="eastAsia"/>
          <w:lang w:val="en-US" w:eastAsia="zh-CN"/>
        </w:rPr>
        <w:t>根据学校教学发展方向，特采购《税收基础》在线精品课程建设服务，结合实际教学需要，以服务课程教与学为重点，以课程资源的系统、完整为基本要求，以资源丰富、充分开放共享为基本目标，注重课程资源的适用性和易用性。</w:t>
      </w:r>
    </w:p>
    <w:p>
      <w:pPr>
        <w:ind w:firstLine="480"/>
        <w:rPr>
          <w:rFonts w:hint="eastAsia"/>
        </w:rPr>
      </w:pPr>
      <w:r>
        <w:rPr>
          <w:rFonts w:hint="eastAsia"/>
          <w:lang w:val="en-US" w:eastAsia="zh-CN"/>
        </w:rPr>
        <w:t>适应用于在校学生、社会学习者、公司员工等各种角色的使用者网络自主学习能力，提高教学活动的质量，增强学习者的积极性，通过教学资源共享，实现个性化学习，让更多的该证书面向的从业人员通过本课程的学习得到专业能力和专业素养的提升。</w:t>
      </w:r>
    </w:p>
    <w:p>
      <w:pPr>
        <w:pStyle w:val="6"/>
        <w:numPr>
          <w:ilvl w:val="0"/>
          <w:numId w:val="2"/>
        </w:numPr>
        <w:spacing w:before="156" w:beforeLines="50" w:after="156" w:afterLines="50"/>
        <w:rPr>
          <w:rFonts w:cs="宋体"/>
          <w:szCs w:val="28"/>
        </w:rPr>
      </w:pPr>
      <w:r>
        <w:rPr>
          <w:rFonts w:hint="eastAsia" w:cs="宋体"/>
          <w:szCs w:val="28"/>
          <w:lang w:val="en-US" w:eastAsia="zh-CN"/>
        </w:rPr>
        <w:t>服务</w:t>
      </w:r>
      <w:r>
        <w:rPr>
          <w:rFonts w:hint="eastAsia" w:cs="宋体"/>
          <w:szCs w:val="28"/>
        </w:rPr>
        <w:t>清单</w:t>
      </w:r>
    </w:p>
    <w:tbl>
      <w:tblPr>
        <w:tblStyle w:val="16"/>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784"/>
        <w:gridCol w:w="1556"/>
        <w:gridCol w:w="741"/>
        <w:gridCol w:w="834"/>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jc w:val="center"/>
              <w:rPr>
                <w:rFonts w:hint="eastAsia" w:ascii="仿宋" w:hAnsi="仿宋" w:eastAsia="仿宋"/>
                <w:bCs/>
                <w:sz w:val="20"/>
                <w:szCs w:val="20"/>
              </w:rPr>
            </w:pPr>
            <w:r>
              <w:rPr>
                <w:rFonts w:hint="eastAsia" w:ascii="仿宋" w:hAnsi="仿宋" w:eastAsia="仿宋"/>
                <w:bCs/>
                <w:sz w:val="20"/>
                <w:szCs w:val="20"/>
              </w:rPr>
              <w:t>序号</w:t>
            </w:r>
          </w:p>
        </w:tc>
        <w:tc>
          <w:tcPr>
            <w:tcW w:w="2784" w:type="dxa"/>
            <w:vAlign w:val="center"/>
          </w:tcPr>
          <w:p>
            <w:pPr>
              <w:jc w:val="center"/>
              <w:rPr>
                <w:rFonts w:hint="eastAsia" w:ascii="仿宋" w:hAnsi="仿宋" w:eastAsia="仿宋"/>
                <w:bCs/>
                <w:sz w:val="20"/>
                <w:szCs w:val="20"/>
              </w:rPr>
            </w:pPr>
            <w:r>
              <w:rPr>
                <w:rFonts w:hint="eastAsia" w:ascii="仿宋" w:hAnsi="仿宋" w:eastAsia="仿宋"/>
                <w:sz w:val="20"/>
                <w:szCs w:val="20"/>
              </w:rPr>
              <w:t>采购计划编号/财务流水编号</w:t>
            </w:r>
          </w:p>
        </w:tc>
        <w:tc>
          <w:tcPr>
            <w:tcW w:w="1556" w:type="dxa"/>
            <w:vAlign w:val="center"/>
          </w:tcPr>
          <w:p>
            <w:pPr>
              <w:jc w:val="center"/>
              <w:rPr>
                <w:rFonts w:hint="eastAsia" w:ascii="仿宋" w:hAnsi="仿宋" w:eastAsia="仿宋"/>
                <w:bCs/>
                <w:sz w:val="20"/>
                <w:szCs w:val="20"/>
              </w:rPr>
            </w:pPr>
            <w:r>
              <w:rPr>
                <w:rFonts w:hint="eastAsia" w:ascii="仿宋" w:hAnsi="仿宋" w:eastAsia="仿宋"/>
                <w:bCs/>
                <w:sz w:val="20"/>
                <w:szCs w:val="20"/>
              </w:rPr>
              <w:t>服务名称</w:t>
            </w:r>
          </w:p>
        </w:tc>
        <w:tc>
          <w:tcPr>
            <w:tcW w:w="741" w:type="dxa"/>
            <w:vAlign w:val="center"/>
          </w:tcPr>
          <w:p>
            <w:pPr>
              <w:jc w:val="center"/>
              <w:rPr>
                <w:rFonts w:hint="eastAsia" w:ascii="仿宋" w:hAnsi="仿宋" w:eastAsia="仿宋"/>
                <w:bCs/>
                <w:sz w:val="20"/>
                <w:szCs w:val="20"/>
              </w:rPr>
            </w:pPr>
            <w:r>
              <w:rPr>
                <w:rFonts w:hint="eastAsia" w:ascii="仿宋" w:hAnsi="仿宋" w:eastAsia="仿宋"/>
                <w:bCs/>
                <w:sz w:val="20"/>
                <w:szCs w:val="20"/>
              </w:rPr>
              <w:t>数量</w:t>
            </w:r>
          </w:p>
        </w:tc>
        <w:tc>
          <w:tcPr>
            <w:tcW w:w="834" w:type="dxa"/>
            <w:vAlign w:val="center"/>
          </w:tcPr>
          <w:p>
            <w:pPr>
              <w:jc w:val="center"/>
              <w:rPr>
                <w:rFonts w:hint="eastAsia" w:ascii="仿宋" w:hAnsi="仿宋" w:eastAsia="仿宋"/>
                <w:bCs/>
                <w:sz w:val="20"/>
                <w:szCs w:val="20"/>
              </w:rPr>
            </w:pPr>
            <w:r>
              <w:rPr>
                <w:rFonts w:hint="eastAsia" w:ascii="仿宋" w:hAnsi="仿宋" w:eastAsia="仿宋"/>
                <w:bCs/>
                <w:sz w:val="20"/>
                <w:szCs w:val="20"/>
              </w:rPr>
              <w:t>单位</w:t>
            </w:r>
          </w:p>
        </w:tc>
        <w:tc>
          <w:tcPr>
            <w:tcW w:w="1438" w:type="dxa"/>
            <w:vAlign w:val="center"/>
          </w:tcPr>
          <w:p>
            <w:pPr>
              <w:jc w:val="center"/>
              <w:rPr>
                <w:rFonts w:hint="eastAsia" w:ascii="仿宋" w:hAnsi="仿宋" w:eastAsia="仿宋"/>
                <w:bCs/>
                <w:sz w:val="20"/>
                <w:szCs w:val="20"/>
              </w:rPr>
            </w:pPr>
            <w:r>
              <w:rPr>
                <w:rFonts w:hint="eastAsia" w:ascii="仿宋" w:hAnsi="仿宋" w:eastAsia="仿宋"/>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vAlign w:val="center"/>
          </w:tcPr>
          <w:p>
            <w:pPr>
              <w:jc w:val="center"/>
              <w:rPr>
                <w:rFonts w:hint="eastAsia" w:ascii="仿宋" w:hAnsi="仿宋" w:eastAsia="仿宋"/>
                <w:bCs/>
                <w:sz w:val="20"/>
                <w:szCs w:val="20"/>
              </w:rPr>
            </w:pPr>
            <w:r>
              <w:rPr>
                <w:rFonts w:hint="eastAsia" w:ascii="仿宋" w:hAnsi="仿宋" w:eastAsia="仿宋"/>
                <w:bCs/>
                <w:sz w:val="20"/>
                <w:szCs w:val="20"/>
              </w:rPr>
              <w:t>1</w:t>
            </w:r>
          </w:p>
        </w:tc>
        <w:tc>
          <w:tcPr>
            <w:tcW w:w="2784" w:type="dxa"/>
            <w:vMerge w:val="restart"/>
            <w:vAlign w:val="center"/>
          </w:tcPr>
          <w:p>
            <w:pPr>
              <w:jc w:val="center"/>
              <w:rPr>
                <w:rFonts w:hint="eastAsia" w:ascii="仿宋" w:hAnsi="仿宋" w:eastAsia="仿宋"/>
                <w:sz w:val="20"/>
                <w:szCs w:val="20"/>
              </w:rPr>
            </w:pPr>
          </w:p>
        </w:tc>
        <w:tc>
          <w:tcPr>
            <w:tcW w:w="1556" w:type="dxa"/>
            <w:vAlign w:val="center"/>
          </w:tcPr>
          <w:p>
            <w:pPr>
              <w:jc w:val="center"/>
              <w:rPr>
                <w:rFonts w:hint="eastAsia" w:ascii="仿宋" w:hAnsi="仿宋" w:eastAsia="仿宋" w:cs="仿宋"/>
                <w:szCs w:val="21"/>
              </w:rPr>
            </w:pPr>
            <w:r>
              <w:rPr>
                <w:rFonts w:hint="eastAsia" w:ascii="仿宋" w:hAnsi="仿宋" w:eastAsia="仿宋" w:cs="仿宋"/>
                <w:szCs w:val="21"/>
              </w:rPr>
              <w:t>课程概述</w:t>
            </w:r>
          </w:p>
        </w:tc>
        <w:tc>
          <w:tcPr>
            <w:tcW w:w="741"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1</w:t>
            </w:r>
          </w:p>
        </w:tc>
        <w:tc>
          <w:tcPr>
            <w:tcW w:w="834"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个</w:t>
            </w:r>
          </w:p>
        </w:tc>
        <w:tc>
          <w:tcPr>
            <w:tcW w:w="1438"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5-10分钟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vAlign w:val="center"/>
          </w:tcPr>
          <w:p>
            <w:pPr>
              <w:jc w:val="center"/>
              <w:rPr>
                <w:rFonts w:hint="eastAsia" w:ascii="仿宋" w:hAnsi="仿宋" w:eastAsia="仿宋"/>
                <w:bCs/>
                <w:sz w:val="20"/>
                <w:szCs w:val="20"/>
              </w:rPr>
            </w:pPr>
            <w:r>
              <w:rPr>
                <w:rFonts w:hint="eastAsia" w:ascii="仿宋" w:hAnsi="仿宋" w:eastAsia="仿宋"/>
                <w:bCs/>
                <w:sz w:val="20"/>
                <w:szCs w:val="20"/>
              </w:rPr>
              <w:t>2</w:t>
            </w:r>
          </w:p>
        </w:tc>
        <w:tc>
          <w:tcPr>
            <w:tcW w:w="2784" w:type="dxa"/>
            <w:vMerge w:val="continue"/>
            <w:vAlign w:val="center"/>
          </w:tcPr>
          <w:p>
            <w:pPr>
              <w:jc w:val="center"/>
              <w:rPr>
                <w:rFonts w:hint="eastAsia" w:ascii="仿宋" w:hAnsi="仿宋" w:eastAsia="仿宋"/>
                <w:sz w:val="20"/>
                <w:szCs w:val="20"/>
              </w:rPr>
            </w:pPr>
          </w:p>
        </w:tc>
        <w:tc>
          <w:tcPr>
            <w:tcW w:w="1556" w:type="dxa"/>
            <w:vAlign w:val="center"/>
          </w:tcPr>
          <w:p>
            <w:pPr>
              <w:jc w:val="center"/>
              <w:rPr>
                <w:rFonts w:hint="eastAsia" w:ascii="仿宋" w:hAnsi="仿宋" w:eastAsia="仿宋" w:cs="仿宋"/>
                <w:szCs w:val="21"/>
              </w:rPr>
            </w:pPr>
            <w:r>
              <w:rPr>
                <w:rFonts w:hint="eastAsia" w:ascii="仿宋" w:hAnsi="仿宋" w:eastAsia="仿宋" w:cs="仿宋"/>
                <w:szCs w:val="21"/>
              </w:rPr>
              <w:t>课程宣传片</w:t>
            </w:r>
          </w:p>
        </w:tc>
        <w:tc>
          <w:tcPr>
            <w:tcW w:w="741"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1</w:t>
            </w:r>
          </w:p>
        </w:tc>
        <w:tc>
          <w:tcPr>
            <w:tcW w:w="834"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个</w:t>
            </w:r>
          </w:p>
        </w:tc>
        <w:tc>
          <w:tcPr>
            <w:tcW w:w="1438"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不超过3分钟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jc w:val="center"/>
              <w:rPr>
                <w:rFonts w:hint="eastAsia" w:ascii="仿宋" w:hAnsi="仿宋" w:eastAsia="仿宋"/>
                <w:bCs/>
                <w:sz w:val="20"/>
                <w:szCs w:val="20"/>
              </w:rPr>
            </w:pPr>
            <w:r>
              <w:rPr>
                <w:rFonts w:hint="eastAsia" w:ascii="仿宋" w:hAnsi="仿宋" w:eastAsia="仿宋"/>
                <w:bCs/>
                <w:sz w:val="20"/>
                <w:szCs w:val="20"/>
              </w:rPr>
              <w:t>3</w:t>
            </w:r>
          </w:p>
        </w:tc>
        <w:tc>
          <w:tcPr>
            <w:tcW w:w="2784" w:type="dxa"/>
            <w:vMerge w:val="continue"/>
            <w:vAlign w:val="center"/>
          </w:tcPr>
          <w:p>
            <w:pPr>
              <w:jc w:val="center"/>
              <w:rPr>
                <w:rFonts w:hint="eastAsia" w:ascii="仿宋" w:hAnsi="仿宋" w:eastAsia="仿宋"/>
                <w:sz w:val="20"/>
                <w:szCs w:val="20"/>
              </w:rPr>
            </w:pPr>
          </w:p>
        </w:tc>
        <w:tc>
          <w:tcPr>
            <w:tcW w:w="1556" w:type="dxa"/>
            <w:vAlign w:val="center"/>
          </w:tcPr>
          <w:p>
            <w:pPr>
              <w:jc w:val="center"/>
              <w:rPr>
                <w:rFonts w:hint="eastAsia" w:ascii="仿宋" w:hAnsi="仿宋" w:eastAsia="仿宋" w:cs="仿宋"/>
                <w:szCs w:val="21"/>
              </w:rPr>
            </w:pPr>
            <w:r>
              <w:rPr>
                <w:rFonts w:hint="eastAsia" w:ascii="仿宋" w:hAnsi="仿宋" w:eastAsia="仿宋" w:cs="仿宋"/>
                <w:szCs w:val="21"/>
              </w:rPr>
              <w:t>微课视频</w:t>
            </w:r>
          </w:p>
        </w:tc>
        <w:tc>
          <w:tcPr>
            <w:tcW w:w="741"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40-50</w:t>
            </w:r>
          </w:p>
        </w:tc>
        <w:tc>
          <w:tcPr>
            <w:tcW w:w="834"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个</w:t>
            </w:r>
          </w:p>
        </w:tc>
        <w:tc>
          <w:tcPr>
            <w:tcW w:w="1438"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&gt;320分钟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vAlign w:val="center"/>
          </w:tcPr>
          <w:p>
            <w:pPr>
              <w:jc w:val="center"/>
              <w:rPr>
                <w:rFonts w:hint="eastAsia" w:ascii="仿宋" w:hAnsi="仿宋" w:eastAsia="仿宋"/>
                <w:bCs/>
                <w:sz w:val="20"/>
                <w:szCs w:val="20"/>
              </w:rPr>
            </w:pPr>
            <w:r>
              <w:rPr>
                <w:rFonts w:hint="eastAsia" w:ascii="仿宋" w:hAnsi="仿宋" w:eastAsia="仿宋"/>
                <w:bCs/>
                <w:sz w:val="20"/>
                <w:szCs w:val="20"/>
              </w:rPr>
              <w:t>4</w:t>
            </w:r>
          </w:p>
        </w:tc>
        <w:tc>
          <w:tcPr>
            <w:tcW w:w="2784" w:type="dxa"/>
            <w:vMerge w:val="continue"/>
            <w:vAlign w:val="center"/>
          </w:tcPr>
          <w:p>
            <w:pPr>
              <w:jc w:val="center"/>
              <w:rPr>
                <w:rFonts w:hint="eastAsia" w:ascii="仿宋" w:hAnsi="仿宋" w:eastAsia="仿宋"/>
                <w:sz w:val="20"/>
                <w:szCs w:val="20"/>
              </w:rPr>
            </w:pPr>
          </w:p>
        </w:tc>
        <w:tc>
          <w:tcPr>
            <w:tcW w:w="1556" w:type="dxa"/>
            <w:vAlign w:val="center"/>
          </w:tcPr>
          <w:p>
            <w:pPr>
              <w:jc w:val="center"/>
              <w:rPr>
                <w:rFonts w:hint="eastAsia" w:ascii="仿宋" w:hAnsi="仿宋" w:eastAsia="仿宋" w:cs="仿宋"/>
                <w:szCs w:val="21"/>
              </w:rPr>
            </w:pPr>
            <w:r>
              <w:rPr>
                <w:rFonts w:hint="eastAsia" w:ascii="仿宋" w:hAnsi="仿宋" w:eastAsia="仿宋" w:cs="仿宋"/>
                <w:szCs w:val="21"/>
              </w:rPr>
              <w:t>PPT课件美化</w:t>
            </w:r>
          </w:p>
        </w:tc>
        <w:tc>
          <w:tcPr>
            <w:tcW w:w="741" w:type="dxa"/>
            <w:vAlign w:val="center"/>
          </w:tcPr>
          <w:p>
            <w:pPr>
              <w:jc w:val="center"/>
              <w:rPr>
                <w:rFonts w:hint="eastAsia" w:ascii="仿宋" w:hAnsi="仿宋" w:eastAsia="仿宋" w:cs="仿宋"/>
                <w:bCs/>
                <w:szCs w:val="21"/>
              </w:rPr>
            </w:pPr>
            <w:r>
              <w:rPr>
                <w:rFonts w:hint="eastAsia" w:ascii="仿宋" w:hAnsi="仿宋" w:eastAsia="仿宋" w:cs="仿宋"/>
                <w:bCs/>
                <w:szCs w:val="21"/>
              </w:rPr>
              <w:t>1</w:t>
            </w:r>
          </w:p>
        </w:tc>
        <w:tc>
          <w:tcPr>
            <w:tcW w:w="834" w:type="dxa"/>
            <w:vAlign w:val="center"/>
          </w:tcPr>
          <w:p>
            <w:pPr>
              <w:jc w:val="center"/>
              <w:rPr>
                <w:rFonts w:hint="eastAsia" w:ascii="仿宋" w:hAnsi="仿宋" w:eastAsia="仿宋" w:cs="仿宋"/>
                <w:bCs/>
                <w:szCs w:val="21"/>
              </w:rPr>
            </w:pPr>
            <w:r>
              <w:rPr>
                <w:rFonts w:hint="eastAsia" w:ascii="仿宋" w:hAnsi="仿宋" w:eastAsia="仿宋" w:cs="仿宋"/>
                <w:szCs w:val="21"/>
                <w:lang w:bidi="ar"/>
              </w:rPr>
              <w:t>套</w:t>
            </w:r>
          </w:p>
        </w:tc>
        <w:tc>
          <w:tcPr>
            <w:tcW w:w="1438" w:type="dxa"/>
            <w:vAlign w:val="center"/>
          </w:tcPr>
          <w:p>
            <w:pPr>
              <w:jc w:val="center"/>
              <w:rPr>
                <w:rFonts w:hint="eastAsia" w:ascii="仿宋" w:hAnsi="仿宋" w:eastAsia="仿宋" w:cs="仿宋"/>
                <w:bCs/>
                <w:szCs w:val="21"/>
              </w:rPr>
            </w:pPr>
            <w:r>
              <w:rPr>
                <w:rFonts w:hint="eastAsia" w:ascii="仿宋" w:hAnsi="仿宋" w:eastAsia="仿宋" w:cs="仿宋"/>
                <w:szCs w:val="21"/>
              </w:rPr>
              <w:t>每个微课视频对应1个PPT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jc w:val="center"/>
              <w:rPr>
                <w:rFonts w:hint="eastAsia" w:ascii="仿宋" w:hAnsi="仿宋" w:eastAsia="仿宋"/>
                <w:bCs/>
                <w:sz w:val="20"/>
                <w:szCs w:val="20"/>
              </w:rPr>
            </w:pPr>
            <w:r>
              <w:rPr>
                <w:rFonts w:hint="eastAsia" w:ascii="仿宋" w:hAnsi="仿宋" w:eastAsia="仿宋"/>
                <w:bCs/>
                <w:sz w:val="20"/>
                <w:szCs w:val="20"/>
              </w:rPr>
              <w:t>5</w:t>
            </w:r>
          </w:p>
        </w:tc>
        <w:tc>
          <w:tcPr>
            <w:tcW w:w="2784" w:type="dxa"/>
            <w:vMerge w:val="continue"/>
            <w:vAlign w:val="center"/>
          </w:tcPr>
          <w:p>
            <w:pPr>
              <w:jc w:val="center"/>
              <w:rPr>
                <w:rFonts w:hint="eastAsia" w:ascii="仿宋" w:hAnsi="仿宋" w:eastAsia="仿宋"/>
                <w:sz w:val="20"/>
                <w:szCs w:val="20"/>
              </w:rPr>
            </w:pPr>
          </w:p>
        </w:tc>
        <w:tc>
          <w:tcPr>
            <w:tcW w:w="1556" w:type="dxa"/>
            <w:vAlign w:val="center"/>
          </w:tcPr>
          <w:p>
            <w:pPr>
              <w:jc w:val="center"/>
              <w:rPr>
                <w:rFonts w:hint="eastAsia" w:ascii="仿宋" w:hAnsi="仿宋" w:eastAsia="仿宋" w:cs="仿宋"/>
                <w:szCs w:val="21"/>
              </w:rPr>
            </w:pPr>
            <w:r>
              <w:rPr>
                <w:rFonts w:hint="eastAsia" w:ascii="仿宋" w:hAnsi="仿宋" w:eastAsia="仿宋" w:cs="仿宋"/>
                <w:szCs w:val="21"/>
              </w:rPr>
              <w:t>片头片尾</w:t>
            </w:r>
          </w:p>
        </w:tc>
        <w:tc>
          <w:tcPr>
            <w:tcW w:w="741"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1</w:t>
            </w:r>
          </w:p>
        </w:tc>
        <w:tc>
          <w:tcPr>
            <w:tcW w:w="834"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套</w:t>
            </w:r>
          </w:p>
        </w:tc>
        <w:tc>
          <w:tcPr>
            <w:tcW w:w="1438"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总时长不超过15秒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11" w:type="dxa"/>
            <w:vAlign w:val="center"/>
          </w:tcPr>
          <w:p>
            <w:pPr>
              <w:jc w:val="center"/>
              <w:rPr>
                <w:rFonts w:hint="eastAsia" w:ascii="仿宋" w:hAnsi="仿宋" w:eastAsia="仿宋"/>
                <w:bCs/>
                <w:sz w:val="20"/>
                <w:szCs w:val="20"/>
              </w:rPr>
            </w:pPr>
            <w:r>
              <w:rPr>
                <w:rFonts w:hint="eastAsia" w:ascii="仿宋" w:hAnsi="仿宋" w:eastAsia="仿宋"/>
                <w:bCs/>
                <w:sz w:val="20"/>
                <w:szCs w:val="20"/>
              </w:rPr>
              <w:t>6</w:t>
            </w:r>
          </w:p>
        </w:tc>
        <w:tc>
          <w:tcPr>
            <w:tcW w:w="2784" w:type="dxa"/>
            <w:vMerge w:val="continue"/>
            <w:vAlign w:val="center"/>
          </w:tcPr>
          <w:p>
            <w:pPr>
              <w:jc w:val="center"/>
              <w:rPr>
                <w:rFonts w:hint="eastAsia" w:ascii="仿宋" w:hAnsi="仿宋" w:eastAsia="仿宋"/>
                <w:sz w:val="20"/>
                <w:szCs w:val="20"/>
              </w:rPr>
            </w:pPr>
          </w:p>
        </w:tc>
        <w:tc>
          <w:tcPr>
            <w:tcW w:w="1556" w:type="dxa"/>
            <w:vAlign w:val="center"/>
          </w:tcPr>
          <w:p>
            <w:pPr>
              <w:jc w:val="center"/>
              <w:rPr>
                <w:rFonts w:hint="eastAsia" w:ascii="仿宋" w:hAnsi="仿宋" w:eastAsia="仿宋" w:cs="仿宋"/>
                <w:szCs w:val="21"/>
              </w:rPr>
            </w:pPr>
            <w:r>
              <w:rPr>
                <w:rFonts w:hint="eastAsia" w:ascii="仿宋" w:hAnsi="仿宋" w:eastAsia="仿宋" w:cs="仿宋"/>
                <w:szCs w:val="21"/>
              </w:rPr>
              <w:t>二维动画</w:t>
            </w:r>
          </w:p>
        </w:tc>
        <w:tc>
          <w:tcPr>
            <w:tcW w:w="741" w:type="dxa"/>
            <w:vAlign w:val="center"/>
          </w:tcPr>
          <w:p>
            <w:pPr>
              <w:jc w:val="center"/>
              <w:rPr>
                <w:rFonts w:hint="eastAsia" w:ascii="仿宋" w:hAnsi="仿宋" w:eastAsia="仿宋" w:cs="仿宋"/>
                <w:bCs/>
                <w:szCs w:val="21"/>
              </w:rPr>
            </w:pPr>
            <w:r>
              <w:rPr>
                <w:rFonts w:hint="eastAsia" w:ascii="仿宋" w:hAnsi="仿宋" w:eastAsia="仿宋" w:cs="仿宋"/>
                <w:bCs/>
                <w:szCs w:val="21"/>
              </w:rPr>
              <w:t>5</w:t>
            </w:r>
          </w:p>
        </w:tc>
        <w:tc>
          <w:tcPr>
            <w:tcW w:w="834" w:type="dxa"/>
            <w:vAlign w:val="center"/>
          </w:tcPr>
          <w:p>
            <w:pPr>
              <w:jc w:val="center"/>
              <w:rPr>
                <w:rFonts w:hint="eastAsia" w:ascii="仿宋" w:hAnsi="仿宋" w:eastAsia="仿宋" w:cs="仿宋"/>
                <w:bCs/>
                <w:szCs w:val="21"/>
              </w:rPr>
            </w:pPr>
            <w:r>
              <w:rPr>
                <w:rFonts w:hint="eastAsia" w:ascii="仿宋" w:hAnsi="仿宋" w:eastAsia="仿宋" w:cs="仿宋"/>
                <w:bCs/>
                <w:szCs w:val="21"/>
              </w:rPr>
              <w:t>个</w:t>
            </w:r>
          </w:p>
        </w:tc>
        <w:tc>
          <w:tcPr>
            <w:tcW w:w="1438" w:type="dxa"/>
            <w:vAlign w:val="center"/>
          </w:tcPr>
          <w:p>
            <w:pPr>
              <w:jc w:val="center"/>
              <w:rPr>
                <w:rFonts w:hint="eastAsia" w:ascii="仿宋" w:hAnsi="仿宋" w:eastAsia="仿宋" w:cs="仿宋"/>
                <w:bCs/>
                <w:szCs w:val="21"/>
              </w:rPr>
            </w:pPr>
            <w:r>
              <w:rPr>
                <w:rFonts w:hint="eastAsia" w:ascii="仿宋" w:hAnsi="仿宋" w:eastAsia="仿宋" w:cs="仿宋"/>
                <w:bCs/>
                <w:szCs w:val="21"/>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jc w:val="center"/>
              <w:rPr>
                <w:rFonts w:hint="eastAsia" w:ascii="仿宋" w:hAnsi="仿宋" w:eastAsia="仿宋"/>
                <w:bCs/>
                <w:sz w:val="20"/>
                <w:szCs w:val="20"/>
              </w:rPr>
            </w:pPr>
            <w:r>
              <w:rPr>
                <w:rFonts w:hint="eastAsia" w:ascii="仿宋" w:hAnsi="仿宋" w:eastAsia="仿宋"/>
                <w:bCs/>
                <w:sz w:val="20"/>
                <w:szCs w:val="20"/>
              </w:rPr>
              <w:t>7</w:t>
            </w:r>
          </w:p>
        </w:tc>
        <w:tc>
          <w:tcPr>
            <w:tcW w:w="2784" w:type="dxa"/>
            <w:vMerge w:val="continue"/>
            <w:vAlign w:val="center"/>
          </w:tcPr>
          <w:p>
            <w:pPr>
              <w:jc w:val="center"/>
              <w:rPr>
                <w:rFonts w:hint="eastAsia" w:ascii="仿宋" w:hAnsi="仿宋" w:eastAsia="仿宋"/>
                <w:sz w:val="20"/>
                <w:szCs w:val="20"/>
              </w:rPr>
            </w:pPr>
          </w:p>
        </w:tc>
        <w:tc>
          <w:tcPr>
            <w:tcW w:w="1556" w:type="dxa"/>
            <w:vAlign w:val="center"/>
          </w:tcPr>
          <w:p>
            <w:pPr>
              <w:jc w:val="center"/>
              <w:rPr>
                <w:rFonts w:hint="eastAsia" w:ascii="仿宋" w:hAnsi="仿宋" w:eastAsia="仿宋" w:cs="仿宋"/>
                <w:szCs w:val="21"/>
              </w:rPr>
            </w:pPr>
            <w:r>
              <w:rPr>
                <w:rFonts w:hint="eastAsia" w:ascii="仿宋" w:hAnsi="仿宋" w:eastAsia="仿宋" w:cs="仿宋"/>
                <w:szCs w:val="21"/>
              </w:rPr>
              <w:t>拓展资源与案例</w:t>
            </w:r>
          </w:p>
        </w:tc>
        <w:tc>
          <w:tcPr>
            <w:tcW w:w="741" w:type="dxa"/>
            <w:vAlign w:val="center"/>
          </w:tcPr>
          <w:p>
            <w:pPr>
              <w:jc w:val="center"/>
              <w:rPr>
                <w:rFonts w:hint="eastAsia" w:ascii="仿宋" w:hAnsi="仿宋" w:eastAsia="仿宋" w:cs="仿宋"/>
                <w:bCs/>
                <w:szCs w:val="21"/>
              </w:rPr>
            </w:pPr>
            <w:r>
              <w:rPr>
                <w:rFonts w:hint="eastAsia" w:ascii="仿宋" w:hAnsi="仿宋" w:eastAsia="仿宋" w:cs="仿宋"/>
                <w:bCs/>
                <w:szCs w:val="21"/>
              </w:rPr>
              <w:t>≥15</w:t>
            </w:r>
          </w:p>
        </w:tc>
        <w:tc>
          <w:tcPr>
            <w:tcW w:w="834" w:type="dxa"/>
            <w:vAlign w:val="center"/>
          </w:tcPr>
          <w:p>
            <w:pPr>
              <w:jc w:val="center"/>
              <w:rPr>
                <w:rFonts w:hint="eastAsia" w:ascii="仿宋" w:hAnsi="仿宋" w:eastAsia="仿宋" w:cs="仿宋"/>
                <w:bCs/>
                <w:szCs w:val="21"/>
              </w:rPr>
            </w:pPr>
            <w:r>
              <w:rPr>
                <w:rFonts w:hint="eastAsia" w:ascii="仿宋" w:hAnsi="仿宋" w:eastAsia="仿宋" w:cs="仿宋"/>
                <w:szCs w:val="21"/>
                <w:lang w:bidi="ar"/>
              </w:rPr>
              <w:t>个</w:t>
            </w:r>
          </w:p>
        </w:tc>
        <w:tc>
          <w:tcPr>
            <w:tcW w:w="1438" w:type="dxa"/>
            <w:vAlign w:val="center"/>
          </w:tcPr>
          <w:p>
            <w:pPr>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jc w:val="center"/>
              <w:rPr>
                <w:rFonts w:hint="eastAsia" w:ascii="仿宋" w:hAnsi="仿宋" w:eastAsia="仿宋"/>
                <w:bCs/>
                <w:sz w:val="20"/>
                <w:szCs w:val="20"/>
              </w:rPr>
            </w:pPr>
            <w:r>
              <w:rPr>
                <w:rFonts w:hint="eastAsia" w:ascii="仿宋" w:hAnsi="仿宋" w:eastAsia="仿宋"/>
                <w:bCs/>
                <w:sz w:val="20"/>
                <w:szCs w:val="20"/>
              </w:rPr>
              <w:t>8</w:t>
            </w:r>
          </w:p>
        </w:tc>
        <w:tc>
          <w:tcPr>
            <w:tcW w:w="2784" w:type="dxa"/>
            <w:vMerge w:val="continue"/>
            <w:vAlign w:val="center"/>
          </w:tcPr>
          <w:p>
            <w:pPr>
              <w:jc w:val="center"/>
              <w:rPr>
                <w:rFonts w:ascii="仿宋_GB2312" w:eastAsia="仿宋_GB2312"/>
                <w:lang w:bidi="ar"/>
              </w:rPr>
            </w:pPr>
          </w:p>
        </w:tc>
        <w:tc>
          <w:tcPr>
            <w:tcW w:w="1556" w:type="dxa"/>
            <w:vAlign w:val="center"/>
          </w:tcPr>
          <w:p>
            <w:pPr>
              <w:jc w:val="center"/>
              <w:rPr>
                <w:rFonts w:hint="eastAsia" w:ascii="仿宋" w:hAnsi="仿宋" w:eastAsia="仿宋" w:cs="仿宋"/>
                <w:szCs w:val="21"/>
              </w:rPr>
            </w:pPr>
            <w:r>
              <w:rPr>
                <w:rFonts w:hint="eastAsia" w:ascii="仿宋" w:hAnsi="仿宋" w:eastAsia="仿宋" w:cs="仿宋"/>
                <w:szCs w:val="21"/>
              </w:rPr>
              <w:t>课堂活动设计</w:t>
            </w:r>
          </w:p>
        </w:tc>
        <w:tc>
          <w:tcPr>
            <w:tcW w:w="741"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10</w:t>
            </w:r>
          </w:p>
        </w:tc>
        <w:tc>
          <w:tcPr>
            <w:tcW w:w="834"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个</w:t>
            </w:r>
          </w:p>
        </w:tc>
        <w:tc>
          <w:tcPr>
            <w:tcW w:w="1438" w:type="dxa"/>
            <w:vAlign w:val="center"/>
          </w:tcPr>
          <w:p>
            <w:pPr>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11" w:type="dxa"/>
            <w:vAlign w:val="center"/>
          </w:tcPr>
          <w:p>
            <w:pPr>
              <w:jc w:val="center"/>
              <w:rPr>
                <w:rFonts w:hint="eastAsia" w:ascii="仿宋" w:hAnsi="仿宋" w:eastAsia="仿宋"/>
                <w:bCs/>
                <w:sz w:val="20"/>
                <w:szCs w:val="20"/>
              </w:rPr>
            </w:pPr>
            <w:r>
              <w:rPr>
                <w:rFonts w:hint="eastAsia" w:ascii="仿宋" w:hAnsi="仿宋" w:eastAsia="仿宋"/>
                <w:bCs/>
                <w:sz w:val="20"/>
                <w:szCs w:val="20"/>
              </w:rPr>
              <w:t>9</w:t>
            </w:r>
          </w:p>
        </w:tc>
        <w:tc>
          <w:tcPr>
            <w:tcW w:w="2784" w:type="dxa"/>
            <w:vMerge w:val="continue"/>
            <w:vAlign w:val="center"/>
          </w:tcPr>
          <w:p>
            <w:pPr>
              <w:jc w:val="center"/>
              <w:rPr>
                <w:rFonts w:ascii="仿宋_GB2312" w:eastAsia="仿宋_GB2312"/>
                <w:lang w:bidi="ar"/>
              </w:rPr>
            </w:pPr>
          </w:p>
        </w:tc>
        <w:tc>
          <w:tcPr>
            <w:tcW w:w="1556" w:type="dxa"/>
            <w:vAlign w:val="center"/>
          </w:tcPr>
          <w:p>
            <w:pPr>
              <w:jc w:val="center"/>
              <w:rPr>
                <w:rFonts w:hint="eastAsia" w:ascii="仿宋" w:hAnsi="仿宋" w:eastAsia="仿宋" w:cs="仿宋"/>
                <w:szCs w:val="21"/>
              </w:rPr>
            </w:pPr>
            <w:r>
              <w:rPr>
                <w:rFonts w:hint="eastAsia" w:ascii="仿宋" w:hAnsi="仿宋" w:eastAsia="仿宋" w:cs="仿宋"/>
                <w:szCs w:val="21"/>
              </w:rPr>
              <w:t>思维导图</w:t>
            </w:r>
          </w:p>
        </w:tc>
        <w:tc>
          <w:tcPr>
            <w:tcW w:w="741"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1</w:t>
            </w:r>
          </w:p>
        </w:tc>
        <w:tc>
          <w:tcPr>
            <w:tcW w:w="834"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套</w:t>
            </w:r>
          </w:p>
        </w:tc>
        <w:tc>
          <w:tcPr>
            <w:tcW w:w="1438" w:type="dxa"/>
            <w:vAlign w:val="center"/>
          </w:tcPr>
          <w:p>
            <w:pPr>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jc w:val="center"/>
              <w:rPr>
                <w:rFonts w:hint="eastAsia" w:ascii="仿宋" w:hAnsi="仿宋" w:eastAsia="仿宋"/>
                <w:bCs/>
                <w:sz w:val="20"/>
                <w:szCs w:val="20"/>
              </w:rPr>
            </w:pPr>
            <w:r>
              <w:rPr>
                <w:rFonts w:hint="eastAsia" w:ascii="仿宋" w:hAnsi="仿宋" w:eastAsia="仿宋"/>
                <w:bCs/>
                <w:sz w:val="20"/>
                <w:szCs w:val="20"/>
              </w:rPr>
              <w:t>10</w:t>
            </w:r>
          </w:p>
        </w:tc>
        <w:tc>
          <w:tcPr>
            <w:tcW w:w="2784" w:type="dxa"/>
            <w:vMerge w:val="continue"/>
            <w:vAlign w:val="center"/>
          </w:tcPr>
          <w:p>
            <w:pPr>
              <w:jc w:val="center"/>
              <w:rPr>
                <w:rFonts w:ascii="仿宋_GB2312" w:eastAsia="仿宋_GB2312"/>
                <w:lang w:bidi="ar"/>
              </w:rPr>
            </w:pPr>
          </w:p>
        </w:tc>
        <w:tc>
          <w:tcPr>
            <w:tcW w:w="1556"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音频资源</w:t>
            </w:r>
          </w:p>
        </w:tc>
        <w:tc>
          <w:tcPr>
            <w:tcW w:w="741"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10</w:t>
            </w:r>
          </w:p>
        </w:tc>
        <w:tc>
          <w:tcPr>
            <w:tcW w:w="834"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个</w:t>
            </w:r>
          </w:p>
        </w:tc>
        <w:tc>
          <w:tcPr>
            <w:tcW w:w="1438" w:type="dxa"/>
            <w:vAlign w:val="center"/>
          </w:tcPr>
          <w:p>
            <w:pPr>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jc w:val="center"/>
              <w:rPr>
                <w:rFonts w:hint="eastAsia" w:ascii="仿宋" w:hAnsi="仿宋" w:eastAsia="仿宋"/>
                <w:bCs/>
                <w:sz w:val="20"/>
                <w:szCs w:val="20"/>
              </w:rPr>
            </w:pPr>
            <w:r>
              <w:rPr>
                <w:rFonts w:hint="eastAsia" w:ascii="仿宋" w:hAnsi="仿宋" w:eastAsia="仿宋"/>
                <w:bCs/>
                <w:sz w:val="20"/>
                <w:szCs w:val="20"/>
              </w:rPr>
              <w:t>11</w:t>
            </w:r>
          </w:p>
        </w:tc>
        <w:tc>
          <w:tcPr>
            <w:tcW w:w="2784" w:type="dxa"/>
            <w:vMerge w:val="continue"/>
            <w:vAlign w:val="center"/>
          </w:tcPr>
          <w:p>
            <w:pPr>
              <w:jc w:val="center"/>
              <w:rPr>
                <w:rFonts w:hint="eastAsia" w:ascii="仿宋" w:hAnsi="仿宋" w:eastAsia="仿宋"/>
                <w:sz w:val="20"/>
                <w:szCs w:val="20"/>
              </w:rPr>
            </w:pPr>
          </w:p>
        </w:tc>
        <w:tc>
          <w:tcPr>
            <w:tcW w:w="1556"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讨论思考题</w:t>
            </w:r>
          </w:p>
        </w:tc>
        <w:tc>
          <w:tcPr>
            <w:tcW w:w="741"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20</w:t>
            </w:r>
          </w:p>
        </w:tc>
        <w:tc>
          <w:tcPr>
            <w:tcW w:w="834"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道</w:t>
            </w:r>
          </w:p>
        </w:tc>
        <w:tc>
          <w:tcPr>
            <w:tcW w:w="1438" w:type="dxa"/>
            <w:vAlign w:val="center"/>
          </w:tcPr>
          <w:p>
            <w:pPr>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jc w:val="center"/>
              <w:rPr>
                <w:rFonts w:hint="eastAsia" w:ascii="仿宋" w:hAnsi="仿宋" w:eastAsia="仿宋"/>
                <w:bCs/>
                <w:sz w:val="20"/>
                <w:szCs w:val="20"/>
              </w:rPr>
            </w:pPr>
            <w:r>
              <w:rPr>
                <w:rFonts w:hint="eastAsia" w:ascii="仿宋" w:hAnsi="仿宋" w:eastAsia="仿宋"/>
                <w:bCs/>
                <w:sz w:val="20"/>
                <w:szCs w:val="20"/>
              </w:rPr>
              <w:t>12</w:t>
            </w:r>
          </w:p>
        </w:tc>
        <w:tc>
          <w:tcPr>
            <w:tcW w:w="2784" w:type="dxa"/>
            <w:vMerge w:val="continue"/>
            <w:vAlign w:val="center"/>
          </w:tcPr>
          <w:p>
            <w:pPr>
              <w:jc w:val="center"/>
              <w:rPr>
                <w:rFonts w:hint="eastAsia" w:ascii="仿宋" w:hAnsi="仿宋" w:eastAsia="仿宋"/>
                <w:sz w:val="20"/>
                <w:szCs w:val="20"/>
              </w:rPr>
            </w:pPr>
          </w:p>
        </w:tc>
        <w:tc>
          <w:tcPr>
            <w:tcW w:w="1556" w:type="dxa"/>
            <w:vAlign w:val="center"/>
          </w:tcPr>
          <w:p>
            <w:pPr>
              <w:jc w:val="center"/>
              <w:rPr>
                <w:rFonts w:hint="eastAsia" w:ascii="仿宋" w:hAnsi="仿宋" w:eastAsia="仿宋" w:cs="仿宋"/>
                <w:bCs/>
                <w:szCs w:val="21"/>
              </w:rPr>
            </w:pPr>
            <w:r>
              <w:rPr>
                <w:rFonts w:hint="eastAsia" w:ascii="仿宋" w:hAnsi="仿宋" w:eastAsia="仿宋" w:cs="仿宋"/>
                <w:szCs w:val="21"/>
                <w:lang w:bidi="ar"/>
              </w:rPr>
              <w:t>题库</w:t>
            </w:r>
          </w:p>
        </w:tc>
        <w:tc>
          <w:tcPr>
            <w:tcW w:w="741" w:type="dxa"/>
            <w:vAlign w:val="center"/>
          </w:tcPr>
          <w:p>
            <w:pPr>
              <w:jc w:val="center"/>
              <w:rPr>
                <w:rFonts w:hint="eastAsia" w:ascii="仿宋" w:hAnsi="仿宋" w:eastAsia="仿宋" w:cs="仿宋"/>
                <w:bCs/>
                <w:szCs w:val="21"/>
              </w:rPr>
            </w:pPr>
            <w:r>
              <w:rPr>
                <w:rFonts w:hint="eastAsia" w:ascii="仿宋" w:hAnsi="仿宋" w:eastAsia="仿宋" w:cs="仿宋"/>
                <w:bCs/>
                <w:szCs w:val="21"/>
              </w:rPr>
              <w:t>500</w:t>
            </w:r>
          </w:p>
        </w:tc>
        <w:tc>
          <w:tcPr>
            <w:tcW w:w="834" w:type="dxa"/>
            <w:vAlign w:val="center"/>
          </w:tcPr>
          <w:p>
            <w:pPr>
              <w:jc w:val="center"/>
              <w:rPr>
                <w:rFonts w:hint="eastAsia" w:ascii="仿宋" w:hAnsi="仿宋" w:eastAsia="仿宋" w:cs="仿宋"/>
                <w:bCs/>
                <w:szCs w:val="21"/>
              </w:rPr>
            </w:pPr>
            <w:r>
              <w:rPr>
                <w:rFonts w:hint="eastAsia" w:ascii="仿宋" w:hAnsi="仿宋" w:eastAsia="仿宋" w:cs="仿宋"/>
                <w:szCs w:val="21"/>
                <w:lang w:bidi="ar"/>
              </w:rPr>
              <w:t>道</w:t>
            </w:r>
          </w:p>
        </w:tc>
        <w:tc>
          <w:tcPr>
            <w:tcW w:w="1438" w:type="dxa"/>
            <w:vAlign w:val="center"/>
          </w:tcPr>
          <w:p>
            <w:pPr>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jc w:val="center"/>
              <w:rPr>
                <w:rFonts w:hint="eastAsia" w:ascii="仿宋" w:hAnsi="仿宋" w:eastAsia="仿宋"/>
                <w:bCs/>
                <w:sz w:val="20"/>
                <w:szCs w:val="20"/>
              </w:rPr>
            </w:pPr>
            <w:r>
              <w:rPr>
                <w:rFonts w:hint="eastAsia" w:ascii="仿宋" w:hAnsi="仿宋" w:eastAsia="仿宋"/>
                <w:bCs/>
                <w:sz w:val="20"/>
                <w:szCs w:val="20"/>
              </w:rPr>
              <w:t>13</w:t>
            </w:r>
          </w:p>
        </w:tc>
        <w:tc>
          <w:tcPr>
            <w:tcW w:w="2784" w:type="dxa"/>
            <w:vMerge w:val="continue"/>
            <w:vAlign w:val="center"/>
          </w:tcPr>
          <w:p>
            <w:pPr>
              <w:jc w:val="center"/>
              <w:rPr>
                <w:rFonts w:hint="eastAsia" w:ascii="仿宋" w:hAnsi="仿宋" w:eastAsia="仿宋"/>
                <w:sz w:val="20"/>
                <w:szCs w:val="20"/>
              </w:rPr>
            </w:pPr>
          </w:p>
        </w:tc>
        <w:tc>
          <w:tcPr>
            <w:tcW w:w="1556"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参考实训资源</w:t>
            </w:r>
          </w:p>
        </w:tc>
        <w:tc>
          <w:tcPr>
            <w:tcW w:w="741"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1</w:t>
            </w:r>
          </w:p>
        </w:tc>
        <w:tc>
          <w:tcPr>
            <w:tcW w:w="834" w:type="dxa"/>
            <w:vAlign w:val="center"/>
          </w:tcPr>
          <w:p>
            <w:pPr>
              <w:jc w:val="center"/>
              <w:rPr>
                <w:rFonts w:hint="eastAsia" w:ascii="仿宋" w:hAnsi="仿宋" w:eastAsia="仿宋" w:cs="仿宋"/>
                <w:szCs w:val="21"/>
                <w:lang w:bidi="ar"/>
              </w:rPr>
            </w:pPr>
            <w:r>
              <w:rPr>
                <w:rFonts w:hint="eastAsia" w:ascii="仿宋" w:hAnsi="仿宋" w:eastAsia="仿宋" w:cs="仿宋"/>
                <w:szCs w:val="21"/>
                <w:lang w:bidi="ar"/>
              </w:rPr>
              <w:t>个</w:t>
            </w:r>
          </w:p>
        </w:tc>
        <w:tc>
          <w:tcPr>
            <w:tcW w:w="1438" w:type="dxa"/>
            <w:vAlign w:val="center"/>
          </w:tcPr>
          <w:p>
            <w:pPr>
              <w:jc w:val="center"/>
              <w:rPr>
                <w:rFonts w:hint="eastAsia" w:ascii="仿宋" w:hAnsi="仿宋" w:eastAsia="仿宋" w:cs="仿宋"/>
                <w:bCs/>
                <w:szCs w:val="21"/>
              </w:rPr>
            </w:pPr>
          </w:p>
        </w:tc>
      </w:tr>
    </w:tbl>
    <w:p>
      <w:pPr>
        <w:pStyle w:val="6"/>
        <w:spacing w:before="156" w:beforeLines="50" w:after="156" w:afterLines="50"/>
        <w:rPr>
          <w:rFonts w:cs="宋体"/>
          <w:b/>
          <w:bCs w:val="0"/>
          <w:szCs w:val="28"/>
        </w:rPr>
      </w:pPr>
      <w:r>
        <w:rPr>
          <w:rFonts w:hint="eastAsia" w:cs="宋体"/>
          <w:b/>
          <w:bCs w:val="0"/>
          <w:szCs w:val="28"/>
        </w:rPr>
        <w:t>三、具体技术要求</w:t>
      </w:r>
    </w:p>
    <w:p>
      <w:pPr>
        <w:rPr>
          <w:rFonts w:ascii="宋体" w:hAnsi="宋体" w:cs="宋体"/>
          <w:b w:val="0"/>
          <w:bCs/>
          <w:szCs w:val="21"/>
        </w:rPr>
      </w:pPr>
      <w:r>
        <w:rPr>
          <w:rFonts w:hint="eastAsia" w:ascii="宋体" w:hAnsi="宋体" w:cs="宋体"/>
          <w:b w:val="0"/>
          <w:bCs/>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6"/>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shd w:val="clear" w:color="auto" w:fill="auto"/>
            <w:noWrap w:val="0"/>
            <w:vAlign w:val="center"/>
          </w:tcPr>
          <w:p>
            <w:pPr>
              <w:jc w:val="center"/>
              <w:rPr>
                <w:rFonts w:hint="eastAsia" w:ascii="仿宋" w:hAnsi="仿宋" w:cs="仿宋"/>
              </w:rPr>
            </w:pPr>
            <w:r>
              <w:rPr>
                <w:rFonts w:hint="eastAsia" w:ascii="仿宋" w:hAnsi="仿宋" w:cs="仿宋"/>
              </w:rPr>
              <w:t>序号</w:t>
            </w:r>
          </w:p>
        </w:tc>
        <w:tc>
          <w:tcPr>
            <w:tcW w:w="736" w:type="dxa"/>
            <w:shd w:val="clear" w:color="auto" w:fill="auto"/>
            <w:noWrap w:val="0"/>
            <w:vAlign w:val="center"/>
          </w:tcPr>
          <w:p>
            <w:pPr>
              <w:widowControl/>
              <w:jc w:val="center"/>
              <w:rPr>
                <w:rFonts w:hint="eastAsia" w:ascii="仿宋" w:hAnsi="仿宋" w:cs="仿宋"/>
              </w:rPr>
            </w:pPr>
            <w:r>
              <w:rPr>
                <w:rFonts w:hint="eastAsia" w:ascii="仿宋" w:hAnsi="仿宋" w:cs="仿宋"/>
              </w:rPr>
              <w:t>货物名称</w:t>
            </w:r>
          </w:p>
        </w:tc>
        <w:tc>
          <w:tcPr>
            <w:tcW w:w="7795" w:type="dxa"/>
            <w:shd w:val="clear" w:color="auto" w:fill="auto"/>
            <w:noWrap w:val="0"/>
            <w:vAlign w:val="center"/>
          </w:tcPr>
          <w:p>
            <w:pPr>
              <w:jc w:val="center"/>
              <w:rPr>
                <w:rFonts w:hint="eastAsia" w:ascii="仿宋" w:hAnsi="仿宋" w:cs="仿宋"/>
              </w:rPr>
            </w:pPr>
            <w:r>
              <w:rPr>
                <w:rFonts w:hint="eastAsia" w:ascii="仿宋" w:hAnsi="仿宋" w:cs="仿宋"/>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shd w:val="clear" w:color="auto" w:fill="auto"/>
            <w:noWrap w:val="0"/>
            <w:vAlign w:val="center"/>
          </w:tcPr>
          <w:p>
            <w:pPr>
              <w:widowControl/>
              <w:rPr>
                <w:rFonts w:hint="eastAsia" w:ascii="仿宋" w:hAnsi="仿宋" w:cs="仿宋"/>
              </w:rPr>
            </w:pPr>
            <w:r>
              <w:rPr>
                <w:rFonts w:hint="eastAsia" w:ascii="仿宋" w:hAnsi="仿宋" w:cs="仿宋"/>
              </w:rPr>
              <w:t>1</w:t>
            </w:r>
          </w:p>
        </w:tc>
        <w:tc>
          <w:tcPr>
            <w:tcW w:w="736" w:type="dxa"/>
            <w:shd w:val="clear" w:color="auto" w:fill="auto"/>
            <w:noWrap w:val="0"/>
            <w:vAlign w:val="center"/>
          </w:tcPr>
          <w:p>
            <w:pPr>
              <w:widowControl/>
              <w:rPr>
                <w:rFonts w:hint="eastAsia" w:ascii="仿宋" w:hAnsi="仿宋" w:eastAsia="宋体" w:cs="仿宋"/>
                <w:lang w:eastAsia="zh-CN"/>
              </w:rPr>
            </w:pPr>
            <w:r>
              <w:rPr>
                <w:rFonts w:hint="eastAsia" w:ascii="仿宋" w:hAnsi="仿宋" w:cs="仿宋"/>
                <w:lang w:eastAsia="zh-CN"/>
              </w:rPr>
              <w:t>《税收基础》精品课程建设</w:t>
            </w:r>
          </w:p>
        </w:tc>
        <w:tc>
          <w:tcPr>
            <w:tcW w:w="7795" w:type="dxa"/>
            <w:shd w:val="clear" w:color="auto" w:fill="auto"/>
            <w:noWrap w:val="0"/>
            <w:vAlign w:val="center"/>
          </w:tcPr>
          <w:p>
            <w:pPr>
              <w:widowControl/>
              <w:rPr>
                <w:rFonts w:hint="eastAsia" w:ascii="仿宋" w:hAnsi="仿宋" w:cs="仿宋"/>
              </w:rPr>
            </w:pPr>
            <w:r>
              <w:rPr>
                <w:rFonts w:hint="eastAsia" w:ascii="仿宋" w:hAnsi="仿宋" w:cs="仿宋"/>
              </w:rPr>
              <w:t>一、建设内容</w:t>
            </w:r>
          </w:p>
          <w:p>
            <w:pPr>
              <w:widowControl/>
              <w:rPr>
                <w:rFonts w:hint="eastAsia" w:ascii="仿宋" w:hAnsi="仿宋" w:cs="仿宋"/>
              </w:rPr>
            </w:pPr>
            <w:r>
              <w:rPr>
                <w:rFonts w:hint="eastAsia" w:ascii="仿宋" w:hAnsi="仿宋" w:cs="仿宋"/>
              </w:rPr>
              <w:t>1.课程概述数量为1个，视频时长5-10分钟，拍摄形式采用高清大屏、虚拟抠像、访谈、实景拍摄等方式，视频内容含基本信息、课程设计、课程建设、课程实施、教学环境、教学效果和特色创新等。视频中标注出镜人姓名、单位，课程负责人出镜不少于3分钟。</w:t>
            </w:r>
          </w:p>
          <w:p>
            <w:pPr>
              <w:widowControl/>
              <w:rPr>
                <w:rFonts w:hint="eastAsia" w:ascii="仿宋" w:hAnsi="仿宋" w:cs="仿宋"/>
              </w:rPr>
            </w:pPr>
            <w:r>
              <w:rPr>
                <w:rFonts w:hint="eastAsia" w:ascii="仿宋" w:hAnsi="仿宋" w:cs="仿宋"/>
              </w:rPr>
              <w:t>2.课程宣传片数量1个，根据课程特色和教师团队需求制作课程宣传片，时长不超过3分钟，同时根据脚本添加课程相关素材；包含学校名称、学校logo、课程名称和教师信息等。</w:t>
            </w:r>
          </w:p>
          <w:p>
            <w:pPr>
              <w:widowControl/>
              <w:rPr>
                <w:rFonts w:hint="eastAsia" w:ascii="仿宋" w:hAnsi="仿宋" w:cs="仿宋"/>
              </w:rPr>
            </w:pPr>
            <w:r>
              <w:rPr>
                <w:rFonts w:hint="eastAsia" w:ascii="仿宋" w:hAnsi="仿宋" w:cs="仿宋"/>
              </w:rPr>
              <w:t>3.微课视频数量40-50个，每个视频时长不超过15分钟，拍摄形式采用高清大屏、虚拟抠像、访谈、实景拍摄等方式，提供内容设计1套。如背景设计、课程名称落版和人名条设计等。</w:t>
            </w:r>
          </w:p>
          <w:p>
            <w:pPr>
              <w:widowControl/>
              <w:rPr>
                <w:rFonts w:hint="eastAsia" w:ascii="仿宋" w:hAnsi="仿宋" w:cs="仿宋"/>
              </w:rPr>
            </w:pPr>
            <w:r>
              <w:rPr>
                <w:rFonts w:hint="eastAsia" w:ascii="仿宋" w:hAnsi="仿宋" w:cs="仿宋"/>
              </w:rPr>
              <w:t>4.PPT格式美化数量1套，每个微课视频对应1个PPT，包含文字排版、格式调整、PPT模板定制化设计。</w:t>
            </w:r>
          </w:p>
          <w:p>
            <w:pPr>
              <w:widowControl/>
              <w:rPr>
                <w:rFonts w:hint="eastAsia" w:ascii="仿宋" w:hAnsi="仿宋" w:cs="仿宋"/>
              </w:rPr>
            </w:pPr>
            <w:r>
              <w:rPr>
                <w:rFonts w:hint="eastAsia" w:ascii="仿宋" w:hAnsi="仿宋" w:cs="仿宋"/>
              </w:rPr>
              <w:t>5.定制化设计片头片尾1套，总时长不超过15秒。</w:t>
            </w:r>
          </w:p>
          <w:p>
            <w:pPr>
              <w:widowControl/>
              <w:rPr>
                <w:rFonts w:hint="eastAsia" w:ascii="仿宋" w:hAnsi="仿宋" w:cs="仿宋"/>
              </w:rPr>
            </w:pPr>
            <w:r>
              <w:rPr>
                <w:rFonts w:hint="eastAsia" w:ascii="仿宋" w:hAnsi="仿宋" w:cs="仿宋"/>
              </w:rPr>
              <w:t>6.二维动画数量为5个，每个2分钟左右。根据课程内容，选择最佳的呈现方式，如情景动画或MG动画（动画人物、场景等与课程内容紧密相关，并结合内容配备不同角色的配音）。</w:t>
            </w:r>
          </w:p>
          <w:p>
            <w:pPr>
              <w:widowControl/>
              <w:rPr>
                <w:rFonts w:hint="eastAsia" w:ascii="仿宋" w:hAnsi="仿宋" w:cs="仿宋"/>
              </w:rPr>
            </w:pPr>
            <w:r>
              <w:rPr>
                <w:rFonts w:hint="eastAsia" w:ascii="仿宋" w:hAnsi="仿宋" w:cs="仿宋"/>
              </w:rPr>
              <w:t>7.拓展资源与案例15个，包含企业实际案例、综合实训案例等。</w:t>
            </w:r>
            <w:r>
              <w:rPr>
                <w:rFonts w:hint="eastAsia" w:ascii="仿宋" w:hAnsi="仿宋" w:cs="仿宋"/>
              </w:rPr>
              <w:br w:type="textWrapping"/>
            </w:r>
            <w:r>
              <w:rPr>
                <w:rFonts w:hint="eastAsia" w:ascii="仿宋" w:hAnsi="仿宋" w:cs="仿宋"/>
              </w:rPr>
              <w:t>8.课堂活动设计10个，包含问卷调查、头脑风暴、分组任务、随堂测验等。</w:t>
            </w:r>
          </w:p>
          <w:p>
            <w:pPr>
              <w:widowControl/>
              <w:rPr>
                <w:rFonts w:hint="eastAsia" w:ascii="仿宋" w:hAnsi="仿宋" w:cs="仿宋"/>
              </w:rPr>
            </w:pPr>
            <w:r>
              <w:rPr>
                <w:rFonts w:hint="eastAsia" w:ascii="仿宋" w:hAnsi="仿宋" w:cs="仿宋"/>
              </w:rPr>
              <w:t>9.思维导图数量1套，每个章节配置一张思维导图。</w:t>
            </w:r>
          </w:p>
          <w:p>
            <w:pPr>
              <w:widowControl/>
              <w:rPr>
                <w:rFonts w:hint="eastAsia" w:ascii="仿宋" w:hAnsi="仿宋" w:cs="仿宋"/>
              </w:rPr>
            </w:pPr>
            <w:r>
              <w:rPr>
                <w:rFonts w:hint="eastAsia" w:ascii="仿宋" w:hAnsi="仿宋" w:cs="仿宋"/>
              </w:rPr>
              <w:t>10.音频资源数量10个，配置跟本课程内容相关的音频资源。</w:t>
            </w:r>
            <w:r>
              <w:rPr>
                <w:rFonts w:hint="eastAsia" w:ascii="仿宋" w:hAnsi="仿宋" w:cs="仿宋"/>
              </w:rPr>
              <w:br w:type="textWrapping"/>
            </w:r>
            <w:r>
              <w:rPr>
                <w:rFonts w:hint="eastAsia" w:ascii="仿宋" w:hAnsi="仿宋" w:cs="仿宋"/>
              </w:rPr>
              <w:t>11.讨论思考题20道，包含背景知识类等。</w:t>
            </w:r>
          </w:p>
          <w:p>
            <w:pPr>
              <w:widowControl/>
              <w:rPr>
                <w:rFonts w:hint="eastAsia" w:ascii="仿宋" w:hAnsi="仿宋" w:cs="仿宋"/>
              </w:rPr>
            </w:pPr>
            <w:r>
              <w:rPr>
                <w:rFonts w:hint="eastAsia" w:ascii="仿宋" w:hAnsi="仿宋" w:cs="仿宋"/>
              </w:rPr>
              <w:t>12.题库资源500道，包含客观题、综合题等。</w:t>
            </w:r>
          </w:p>
          <w:p>
            <w:pPr>
              <w:widowControl/>
              <w:rPr>
                <w:rFonts w:hint="eastAsia" w:ascii="仿宋" w:hAnsi="仿宋" w:cs="仿宋"/>
                <w:lang w:val="zh-CN"/>
              </w:rPr>
            </w:pPr>
            <w:r>
              <w:rPr>
                <w:rFonts w:hint="eastAsia" w:ascii="仿宋" w:hAnsi="仿宋" w:cs="仿宋"/>
              </w:rPr>
              <w:t>▲13.</w:t>
            </w:r>
            <w:r>
              <w:rPr>
                <w:rFonts w:hint="eastAsia" w:ascii="仿宋" w:hAnsi="仿宋" w:cs="仿宋"/>
                <w:lang w:val="zh-CN"/>
              </w:rPr>
              <w:t>为保障课程制作融入信息技术，成交（中标）企业</w:t>
            </w:r>
            <w:r>
              <w:rPr>
                <w:rFonts w:hint="eastAsia" w:ascii="仿宋" w:hAnsi="仿宋" w:cs="仿宋"/>
              </w:rPr>
              <w:t>需要采用学校现有</w:t>
            </w:r>
            <w:r>
              <w:rPr>
                <w:rFonts w:hint="eastAsia" w:ascii="仿宋" w:hAnsi="仿宋" w:cs="仿宋"/>
                <w:lang w:val="zh-CN"/>
              </w:rPr>
              <w:t>需要Aisino财税教学系统</w:t>
            </w:r>
            <w:r>
              <w:rPr>
                <w:rFonts w:hint="eastAsia" w:ascii="仿宋" w:hAnsi="仿宋" w:cs="仿宋"/>
              </w:rPr>
              <w:t>实训</w:t>
            </w:r>
            <w:r>
              <w:rPr>
                <w:rFonts w:hint="eastAsia" w:ascii="仿宋" w:hAnsi="仿宋" w:cs="仿宋"/>
                <w:lang w:val="zh-CN"/>
              </w:rPr>
              <w:t>平台，用于课程制作相关素材的截取或者引用。</w:t>
            </w:r>
          </w:p>
          <w:p>
            <w:pPr>
              <w:widowControl/>
              <w:rPr>
                <w:rFonts w:hint="eastAsia" w:ascii="仿宋" w:hAnsi="仿宋" w:cs="仿宋"/>
                <w:lang w:val="zh-CN"/>
              </w:rPr>
            </w:pPr>
            <w:r>
              <w:rPr>
                <w:rFonts w:hint="eastAsia" w:ascii="仿宋" w:hAnsi="仿宋" w:cs="仿宋"/>
                <w:lang w:val="zh-CN"/>
              </w:rPr>
              <w:t>（1）教学平台涵盖精品课堂、理实教学题库、教学案例（业务实践）三大模块</w:t>
            </w:r>
          </w:p>
          <w:p>
            <w:pPr>
              <w:widowControl/>
              <w:rPr>
                <w:rFonts w:hint="eastAsia" w:ascii="仿宋" w:hAnsi="仿宋" w:cs="仿宋"/>
                <w:lang w:val="zh-CN"/>
              </w:rPr>
            </w:pPr>
            <w:r>
              <w:rPr>
                <w:rFonts w:hint="eastAsia" w:ascii="仿宋" w:hAnsi="仿宋" w:cs="仿宋"/>
                <w:lang w:val="zh-CN"/>
              </w:rPr>
              <w:t>（2）课程内容包括的知识点如下：</w:t>
            </w:r>
          </w:p>
          <w:p>
            <w:pPr>
              <w:widowControl/>
              <w:rPr>
                <w:rFonts w:hint="eastAsia" w:ascii="仿宋" w:hAnsi="仿宋" w:cs="仿宋"/>
                <w:lang w:val="zh-CN"/>
              </w:rPr>
            </w:pPr>
            <w:r>
              <w:rPr>
                <w:rFonts w:hint="eastAsia" w:ascii="仿宋" w:hAnsi="仿宋" w:cs="仿宋"/>
                <w:lang w:val="zh-CN"/>
              </w:rPr>
              <w:t>①开票准备工作、项目信息维护及管理、客户信息维护及管理、附加信息维护及管理、蓝字发票开具（含建筑服务、货物运输服务、不动产销售服务、不动产经营租赁服务、旅客运输服务、差额发票等特定业务发票）、红字发票开具、发票勾选确认、发票查询统计、发票查验、红字信息确认单、授信额度调整申请、发票入账标识等；</w:t>
            </w:r>
          </w:p>
          <w:p>
            <w:pPr>
              <w:widowControl/>
              <w:rPr>
                <w:rFonts w:hint="eastAsia" w:ascii="仿宋" w:hAnsi="仿宋" w:cs="仿宋"/>
                <w:lang w:val="zh-CN"/>
              </w:rPr>
            </w:pPr>
            <w:r>
              <w:rPr>
                <w:rFonts w:hint="eastAsia" w:ascii="仿宋" w:hAnsi="仿宋" w:cs="仿宋"/>
                <w:lang w:val="zh-CN"/>
              </w:rPr>
              <w:t>②纳税准备工作、增值税一般纳税人纳税申报、增值税小规模纳税人纳税申报、消费税纳税申报、个人所得税申报、企业所得税季度申报、企业所得税年度申报、城建税及教育费附加税（费）申报、印花税申报、契税申报、房产税申报、城镇土地使用税等其他税申报；</w:t>
            </w:r>
          </w:p>
          <w:p>
            <w:pPr>
              <w:widowControl/>
              <w:rPr>
                <w:rFonts w:hint="eastAsia" w:ascii="仿宋" w:hAnsi="仿宋" w:cs="仿宋"/>
                <w:lang w:val="zh-CN"/>
              </w:rPr>
            </w:pPr>
            <w:r>
              <w:rPr>
                <w:rFonts w:hint="eastAsia" w:ascii="仿宋" w:hAnsi="仿宋" w:cs="仿宋"/>
                <w:lang w:val="zh-CN"/>
              </w:rPr>
              <w:t>（3）综合训练提供涵盖上述内容的不少于30道实操试题、90道理论试题。</w:t>
            </w:r>
          </w:p>
          <w:p>
            <w:pPr>
              <w:widowControl/>
              <w:rPr>
                <w:rFonts w:hint="eastAsia" w:ascii="仿宋" w:hAnsi="仿宋" w:cs="仿宋"/>
                <w:lang w:val="zh-CN"/>
              </w:rPr>
            </w:pPr>
            <w:r>
              <w:rPr>
                <w:rFonts w:hint="eastAsia" w:ascii="仿宋" w:hAnsi="仿宋" w:cs="仿宋"/>
                <w:lang w:val="zh-CN"/>
              </w:rPr>
              <w:t>学生通过自主训练，可掌握相关税务行政事项办理、各税种的纳税申报、年度所得税的汇算清缴、开票业务、税务数字账户等网上涉税业务相关的知识、技能。</w:t>
            </w:r>
          </w:p>
          <w:p>
            <w:pPr>
              <w:widowControl/>
              <w:rPr>
                <w:rFonts w:hint="eastAsia" w:ascii="仿宋" w:hAnsi="仿宋" w:cs="仿宋"/>
              </w:rPr>
            </w:pPr>
            <w:r>
              <w:rPr>
                <w:rFonts w:hint="eastAsia" w:ascii="仿宋" w:hAnsi="仿宋" w:cs="仿宋"/>
              </w:rPr>
              <w:t>14.服务及维护</w:t>
            </w:r>
          </w:p>
          <w:p>
            <w:pPr>
              <w:widowControl/>
              <w:rPr>
                <w:rFonts w:hint="eastAsia" w:ascii="仿宋" w:hAnsi="仿宋" w:cs="仿宋"/>
              </w:rPr>
            </w:pPr>
            <w:r>
              <w:rPr>
                <w:rFonts w:hint="eastAsia" w:ascii="仿宋" w:hAnsi="仿宋" w:cs="仿宋"/>
              </w:rPr>
              <w:t>（1）组织1-2次平台使用的操作培训，提供使用工具包；</w:t>
            </w:r>
          </w:p>
          <w:p>
            <w:pPr>
              <w:widowControl/>
              <w:rPr>
                <w:rFonts w:hint="eastAsia" w:ascii="仿宋" w:hAnsi="仿宋" w:cs="仿宋"/>
              </w:rPr>
            </w:pPr>
            <w:r>
              <w:rPr>
                <w:rFonts w:hint="eastAsia" w:ascii="仿宋" w:hAnsi="仿宋" w:cs="仿宋"/>
              </w:rPr>
              <w:t>（2）提供课程资源分类上传服务；</w:t>
            </w:r>
          </w:p>
          <w:p>
            <w:pPr>
              <w:widowControl/>
              <w:rPr>
                <w:rFonts w:hint="eastAsia" w:ascii="仿宋" w:hAnsi="仿宋" w:cs="仿宋"/>
                <w:lang w:val="zh-CN"/>
              </w:rPr>
            </w:pPr>
            <w:r>
              <w:rPr>
                <w:rFonts w:hint="eastAsia" w:ascii="仿宋" w:hAnsi="仿宋" w:cs="仿宋"/>
              </w:rPr>
              <w:t>（3）提供平台使用中的日常维护及售后服务。</w:t>
            </w:r>
          </w:p>
          <w:p>
            <w:pPr>
              <w:widowControl/>
              <w:rPr>
                <w:rFonts w:hint="eastAsia" w:ascii="仿宋" w:hAnsi="仿宋" w:cs="仿宋"/>
              </w:rPr>
            </w:pPr>
            <w:r>
              <w:rPr>
                <w:rFonts w:hint="eastAsia" w:ascii="仿宋" w:hAnsi="仿宋" w:cs="仿宋"/>
              </w:rPr>
              <w:t>二、服务要求</w:t>
            </w:r>
          </w:p>
          <w:p>
            <w:pPr>
              <w:widowControl/>
              <w:rPr>
                <w:rFonts w:hint="eastAsia" w:ascii="仿宋" w:hAnsi="仿宋" w:cs="仿宋"/>
              </w:rPr>
            </w:pPr>
            <w:r>
              <w:rPr>
                <w:rFonts w:hint="eastAsia" w:ascii="仿宋" w:hAnsi="仿宋" w:cs="仿宋"/>
              </w:rPr>
              <w:t>1.人员配置</w:t>
            </w:r>
          </w:p>
          <w:p>
            <w:pPr>
              <w:widowControl/>
              <w:rPr>
                <w:rFonts w:hint="eastAsia" w:ascii="仿宋" w:hAnsi="仿宋" w:cs="仿宋"/>
              </w:rPr>
            </w:pPr>
            <w:r>
              <w:rPr>
                <w:rFonts w:hint="eastAsia" w:ascii="仿宋" w:hAnsi="仿宋" w:cs="仿宋"/>
                <w:lang w:val="zh-CN"/>
              </w:rPr>
              <w:t>课程建设团队成员制作经验丰富，并严格按照标准和流程进行制作。课程资源建设团队成员包括项目经理、教研团队、编导、摄像、后期制作等1</w:t>
            </w:r>
            <w:r>
              <w:rPr>
                <w:rFonts w:hint="eastAsia" w:ascii="仿宋" w:hAnsi="仿宋" w:cs="仿宋"/>
              </w:rPr>
              <w:t>0</w:t>
            </w:r>
            <w:r>
              <w:rPr>
                <w:rFonts w:hint="eastAsia" w:ascii="仿宋" w:hAnsi="仿宋" w:cs="仿宋"/>
                <w:lang w:val="zh-CN"/>
              </w:rPr>
              <w:t>位工作人员，人员配置如下：</w:t>
            </w:r>
          </w:p>
          <w:p>
            <w:pPr>
              <w:widowControl/>
              <w:rPr>
                <w:rFonts w:hint="eastAsia" w:ascii="仿宋" w:hAnsi="仿宋" w:cs="仿宋"/>
              </w:rPr>
            </w:pPr>
            <w:r>
              <w:rPr>
                <w:rFonts w:hint="eastAsia" w:ascii="仿宋" w:hAnsi="仿宋" w:cs="仿宋"/>
              </w:rPr>
              <w:t>课程建设团队</w:t>
            </w:r>
          </w:p>
          <w:tbl>
            <w:tblPr>
              <w:tblStyle w:val="17"/>
              <w:tblW w:w="8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6"/>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19" w:type="dxa"/>
                  <w:shd w:val="clear" w:color="auto" w:fill="auto"/>
                  <w:vAlign w:val="center"/>
                </w:tcPr>
                <w:p>
                  <w:pPr>
                    <w:widowControl/>
                    <w:rPr>
                      <w:rFonts w:hint="eastAsia" w:ascii="仿宋" w:hAnsi="仿宋" w:cs="仿宋"/>
                    </w:rPr>
                  </w:pPr>
                  <w:r>
                    <w:rPr>
                      <w:rFonts w:hint="eastAsia" w:ascii="仿宋" w:hAnsi="仿宋" w:cs="仿宋"/>
                    </w:rPr>
                    <w:t>人员配置</w:t>
                  </w:r>
                </w:p>
              </w:tc>
              <w:tc>
                <w:tcPr>
                  <w:tcW w:w="1416" w:type="dxa"/>
                  <w:shd w:val="clear" w:color="auto" w:fill="auto"/>
                  <w:vAlign w:val="center"/>
                </w:tcPr>
                <w:p>
                  <w:pPr>
                    <w:widowControl/>
                    <w:rPr>
                      <w:rFonts w:hint="eastAsia" w:ascii="仿宋" w:hAnsi="仿宋" w:cs="仿宋"/>
                    </w:rPr>
                  </w:pPr>
                  <w:r>
                    <w:rPr>
                      <w:rFonts w:hint="eastAsia" w:ascii="仿宋" w:hAnsi="仿宋" w:cs="仿宋"/>
                    </w:rPr>
                    <w:t>数量（名）</w:t>
                  </w:r>
                </w:p>
              </w:tc>
              <w:tc>
                <w:tcPr>
                  <w:tcW w:w="5324" w:type="dxa"/>
                  <w:shd w:val="clear" w:color="auto" w:fill="auto"/>
                  <w:vAlign w:val="center"/>
                </w:tcPr>
                <w:p>
                  <w:pPr>
                    <w:widowControl/>
                    <w:rPr>
                      <w:rFonts w:hint="eastAsia" w:ascii="仿宋" w:hAnsi="仿宋" w:cs="仿宋"/>
                    </w:rPr>
                  </w:pPr>
                  <w:r>
                    <w:rPr>
                      <w:rFonts w:hint="eastAsia" w:ascii="仿宋" w:hAnsi="仿宋" w:cs="仿宋"/>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19" w:type="dxa"/>
                  <w:vAlign w:val="center"/>
                </w:tcPr>
                <w:p>
                  <w:pPr>
                    <w:widowControl/>
                    <w:rPr>
                      <w:rFonts w:hint="eastAsia" w:ascii="仿宋" w:hAnsi="仿宋" w:cs="仿宋"/>
                    </w:rPr>
                  </w:pPr>
                  <w:r>
                    <w:rPr>
                      <w:rFonts w:hint="eastAsia" w:ascii="仿宋" w:hAnsi="仿宋" w:cs="仿宋"/>
                    </w:rPr>
                    <w:t>项目经理</w:t>
                  </w:r>
                </w:p>
              </w:tc>
              <w:tc>
                <w:tcPr>
                  <w:tcW w:w="1416" w:type="dxa"/>
                  <w:vAlign w:val="center"/>
                </w:tcPr>
                <w:p>
                  <w:pPr>
                    <w:widowControl/>
                    <w:rPr>
                      <w:rFonts w:hint="eastAsia" w:ascii="仿宋" w:hAnsi="仿宋" w:cs="仿宋"/>
                    </w:rPr>
                  </w:pPr>
                  <w:r>
                    <w:rPr>
                      <w:rFonts w:hint="eastAsia" w:ascii="仿宋" w:hAnsi="仿宋" w:cs="仿宋"/>
                    </w:rPr>
                    <w:t>1</w:t>
                  </w:r>
                </w:p>
              </w:tc>
              <w:tc>
                <w:tcPr>
                  <w:tcW w:w="5324" w:type="dxa"/>
                  <w:vAlign w:val="center"/>
                </w:tcPr>
                <w:p>
                  <w:pPr>
                    <w:widowControl/>
                    <w:rPr>
                      <w:rFonts w:hint="eastAsia" w:ascii="仿宋" w:hAnsi="仿宋" w:cs="仿宋"/>
                    </w:rPr>
                  </w:pPr>
                  <w:r>
                    <w:rPr>
                      <w:rFonts w:hint="eastAsia" w:ascii="仿宋" w:hAnsi="仿宋" w:cs="仿宋"/>
                    </w:rPr>
                    <w:t>上传下达，全程协助院校教师参与课程建设的每一个环节。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419" w:type="dxa"/>
                  <w:vAlign w:val="center"/>
                </w:tcPr>
                <w:p>
                  <w:pPr>
                    <w:widowControl/>
                    <w:rPr>
                      <w:rFonts w:hint="eastAsia" w:ascii="仿宋" w:hAnsi="仿宋" w:cs="仿宋"/>
                      <w:lang w:eastAsia="zh-Hans"/>
                    </w:rPr>
                  </w:pPr>
                  <w:r>
                    <w:rPr>
                      <w:rFonts w:hint="eastAsia" w:ascii="仿宋" w:hAnsi="仿宋" w:cs="仿宋"/>
                    </w:rPr>
                    <w:t>教研团队</w:t>
                  </w:r>
                </w:p>
              </w:tc>
              <w:tc>
                <w:tcPr>
                  <w:tcW w:w="1416" w:type="dxa"/>
                  <w:vAlign w:val="center"/>
                </w:tcPr>
                <w:p>
                  <w:pPr>
                    <w:widowControl/>
                    <w:rPr>
                      <w:rFonts w:hint="eastAsia" w:ascii="仿宋" w:hAnsi="仿宋" w:cs="仿宋"/>
                    </w:rPr>
                  </w:pPr>
                  <w:r>
                    <w:rPr>
                      <w:rFonts w:hint="eastAsia" w:ascii="仿宋" w:hAnsi="仿宋" w:cs="仿宋"/>
                    </w:rPr>
                    <w:t>2</w:t>
                  </w:r>
                </w:p>
              </w:tc>
              <w:tc>
                <w:tcPr>
                  <w:tcW w:w="5324" w:type="dxa"/>
                  <w:vAlign w:val="center"/>
                </w:tcPr>
                <w:p>
                  <w:pPr>
                    <w:widowControl/>
                    <w:rPr>
                      <w:rFonts w:hint="eastAsia" w:ascii="仿宋" w:hAnsi="仿宋" w:cs="仿宋"/>
                      <w:lang w:eastAsia="zh-Hans"/>
                    </w:rPr>
                  </w:pPr>
                  <w:r>
                    <w:rPr>
                      <w:rFonts w:hint="eastAsia" w:ascii="仿宋" w:hAnsi="仿宋" w:cs="仿宋"/>
                    </w:rPr>
                    <w:t>参与课程规划和设计中，根据课程特点及目标定位，完成课程整体教学设计，确保课程最终呈现效果。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9" w:type="dxa"/>
                  <w:vAlign w:val="center"/>
                </w:tcPr>
                <w:p>
                  <w:pPr>
                    <w:widowControl/>
                    <w:rPr>
                      <w:rFonts w:hint="eastAsia" w:ascii="仿宋" w:hAnsi="仿宋" w:cs="仿宋"/>
                    </w:rPr>
                  </w:pPr>
                  <w:r>
                    <w:rPr>
                      <w:rFonts w:hint="eastAsia" w:ascii="仿宋" w:hAnsi="仿宋" w:cs="仿宋"/>
                    </w:rPr>
                    <w:t>编导</w:t>
                  </w:r>
                </w:p>
              </w:tc>
              <w:tc>
                <w:tcPr>
                  <w:tcW w:w="1416" w:type="dxa"/>
                  <w:vAlign w:val="center"/>
                </w:tcPr>
                <w:p>
                  <w:pPr>
                    <w:widowControl/>
                    <w:rPr>
                      <w:rFonts w:hint="eastAsia" w:ascii="仿宋" w:hAnsi="仿宋" w:cs="仿宋"/>
                    </w:rPr>
                  </w:pPr>
                  <w:r>
                    <w:rPr>
                      <w:rFonts w:hint="eastAsia" w:ascii="仿宋" w:hAnsi="仿宋" w:cs="仿宋"/>
                    </w:rPr>
                    <w:t>1</w:t>
                  </w:r>
                </w:p>
              </w:tc>
              <w:tc>
                <w:tcPr>
                  <w:tcW w:w="5324" w:type="dxa"/>
                  <w:vAlign w:val="center"/>
                </w:tcPr>
                <w:p>
                  <w:pPr>
                    <w:widowControl/>
                    <w:rPr>
                      <w:rFonts w:hint="eastAsia" w:ascii="仿宋" w:hAnsi="仿宋" w:cs="仿宋"/>
                      <w:lang w:eastAsia="zh-Hans"/>
                    </w:rPr>
                  </w:pPr>
                  <w:r>
                    <w:rPr>
                      <w:rFonts w:hint="eastAsia" w:ascii="仿宋" w:hAnsi="仿宋" w:cs="仿宋"/>
                    </w:rPr>
                    <w:t>为院校制定拍摄计划、提供一对一摄前指导，并为主讲教师设计优质的展现形式。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19" w:type="dxa"/>
                  <w:vAlign w:val="center"/>
                </w:tcPr>
                <w:p>
                  <w:pPr>
                    <w:widowControl/>
                    <w:rPr>
                      <w:rFonts w:hint="eastAsia" w:ascii="仿宋" w:hAnsi="仿宋" w:cs="仿宋"/>
                    </w:rPr>
                  </w:pPr>
                  <w:r>
                    <w:rPr>
                      <w:rFonts w:hint="eastAsia" w:ascii="仿宋" w:hAnsi="仿宋" w:cs="仿宋"/>
                    </w:rPr>
                    <w:t>摄像团队</w:t>
                  </w:r>
                </w:p>
              </w:tc>
              <w:tc>
                <w:tcPr>
                  <w:tcW w:w="1416" w:type="dxa"/>
                  <w:vAlign w:val="center"/>
                </w:tcPr>
                <w:p>
                  <w:pPr>
                    <w:widowControl/>
                    <w:rPr>
                      <w:rFonts w:hint="eastAsia" w:ascii="仿宋" w:hAnsi="仿宋" w:cs="仿宋"/>
                    </w:rPr>
                  </w:pPr>
                  <w:r>
                    <w:rPr>
                      <w:rFonts w:hint="eastAsia" w:ascii="仿宋" w:hAnsi="仿宋" w:cs="仿宋"/>
                    </w:rPr>
                    <w:t>2</w:t>
                  </w:r>
                </w:p>
              </w:tc>
              <w:tc>
                <w:tcPr>
                  <w:tcW w:w="5324" w:type="dxa"/>
                  <w:vAlign w:val="center"/>
                </w:tcPr>
                <w:p>
                  <w:pPr>
                    <w:widowControl/>
                    <w:rPr>
                      <w:rFonts w:hint="eastAsia" w:ascii="仿宋" w:hAnsi="仿宋" w:cs="仿宋"/>
                      <w:lang w:eastAsia="zh-Hans"/>
                    </w:rPr>
                  </w:pPr>
                  <w:r>
                    <w:rPr>
                      <w:rFonts w:hint="eastAsia" w:ascii="仿宋" w:hAnsi="仿宋" w:cs="仿宋"/>
                    </w:rPr>
                    <w:t>通过录播系统对老师讲课过程进行录制监控，并整理核验录制素材。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19" w:type="dxa"/>
                  <w:vAlign w:val="center"/>
                </w:tcPr>
                <w:p>
                  <w:pPr>
                    <w:widowControl/>
                    <w:rPr>
                      <w:rFonts w:hint="eastAsia" w:ascii="仿宋" w:hAnsi="仿宋" w:cs="仿宋"/>
                    </w:rPr>
                  </w:pPr>
                  <w:r>
                    <w:rPr>
                      <w:rFonts w:hint="eastAsia" w:ascii="仿宋" w:hAnsi="仿宋" w:cs="仿宋"/>
                    </w:rPr>
                    <w:t>化妆师</w:t>
                  </w:r>
                </w:p>
              </w:tc>
              <w:tc>
                <w:tcPr>
                  <w:tcW w:w="1416" w:type="dxa"/>
                  <w:vAlign w:val="center"/>
                </w:tcPr>
                <w:p>
                  <w:pPr>
                    <w:widowControl/>
                    <w:rPr>
                      <w:rFonts w:hint="eastAsia" w:ascii="仿宋" w:hAnsi="仿宋" w:cs="仿宋"/>
                    </w:rPr>
                  </w:pPr>
                  <w:r>
                    <w:rPr>
                      <w:rFonts w:hint="eastAsia" w:ascii="仿宋" w:hAnsi="仿宋" w:cs="仿宋"/>
                    </w:rPr>
                    <w:t>1</w:t>
                  </w:r>
                </w:p>
              </w:tc>
              <w:tc>
                <w:tcPr>
                  <w:tcW w:w="5324" w:type="dxa"/>
                  <w:vAlign w:val="center"/>
                </w:tcPr>
                <w:p>
                  <w:pPr>
                    <w:widowControl/>
                    <w:rPr>
                      <w:rFonts w:hint="eastAsia" w:ascii="仿宋" w:hAnsi="仿宋" w:cs="仿宋"/>
                      <w:lang w:eastAsia="zh-Hans"/>
                    </w:rPr>
                  </w:pPr>
                  <w:r>
                    <w:rPr>
                      <w:rFonts w:hint="eastAsia" w:ascii="仿宋" w:hAnsi="仿宋" w:cs="仿宋"/>
                    </w:rPr>
                    <w:t>提供现场化妆和发型设计服务。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19" w:type="dxa"/>
                  <w:vAlign w:val="center"/>
                </w:tcPr>
                <w:p>
                  <w:pPr>
                    <w:widowControl/>
                    <w:rPr>
                      <w:rFonts w:hint="eastAsia" w:ascii="仿宋" w:hAnsi="仿宋" w:cs="仿宋"/>
                    </w:rPr>
                  </w:pPr>
                  <w:r>
                    <w:rPr>
                      <w:rFonts w:hint="eastAsia" w:ascii="仿宋" w:hAnsi="仿宋" w:cs="仿宋"/>
                    </w:rPr>
                    <w:t>后期制作团队</w:t>
                  </w:r>
                </w:p>
              </w:tc>
              <w:tc>
                <w:tcPr>
                  <w:tcW w:w="1416" w:type="dxa"/>
                  <w:vAlign w:val="center"/>
                </w:tcPr>
                <w:p>
                  <w:pPr>
                    <w:widowControl/>
                    <w:rPr>
                      <w:rFonts w:hint="eastAsia" w:ascii="仿宋" w:hAnsi="仿宋" w:cs="仿宋"/>
                    </w:rPr>
                  </w:pPr>
                  <w:r>
                    <w:rPr>
                      <w:rFonts w:hint="eastAsia" w:ascii="仿宋" w:hAnsi="仿宋" w:cs="仿宋"/>
                    </w:rPr>
                    <w:t>3</w:t>
                  </w:r>
                </w:p>
              </w:tc>
              <w:tc>
                <w:tcPr>
                  <w:tcW w:w="5324" w:type="dxa"/>
                  <w:vAlign w:val="center"/>
                </w:tcPr>
                <w:p>
                  <w:pPr>
                    <w:widowControl/>
                    <w:rPr>
                      <w:rFonts w:hint="eastAsia" w:ascii="仿宋" w:hAnsi="仿宋" w:cs="仿宋"/>
                    </w:rPr>
                  </w:pPr>
                  <w:r>
                    <w:rPr>
                      <w:rFonts w:hint="eastAsia" w:ascii="仿宋" w:hAnsi="仿宋" w:cs="仿宋"/>
                    </w:rPr>
                    <w:t>负责剪辑、修改、特效、包装、动画制作、录音合成等课程制作工作。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19" w:type="dxa"/>
                  <w:vAlign w:val="center"/>
                </w:tcPr>
                <w:p>
                  <w:pPr>
                    <w:widowControl/>
                    <w:rPr>
                      <w:rFonts w:hint="eastAsia" w:ascii="仿宋" w:hAnsi="仿宋" w:cs="仿宋"/>
                    </w:rPr>
                  </w:pPr>
                  <w:r>
                    <w:rPr>
                      <w:rFonts w:hint="eastAsia" w:ascii="仿宋" w:hAnsi="仿宋" w:cs="仿宋"/>
                    </w:rPr>
                    <w:t>平台建设团队</w:t>
                  </w:r>
                </w:p>
              </w:tc>
              <w:tc>
                <w:tcPr>
                  <w:tcW w:w="1416" w:type="dxa"/>
                  <w:vAlign w:val="center"/>
                </w:tcPr>
                <w:p>
                  <w:pPr>
                    <w:widowControl/>
                    <w:rPr>
                      <w:rFonts w:hint="eastAsia" w:ascii="仿宋" w:hAnsi="仿宋" w:cs="仿宋"/>
                    </w:rPr>
                  </w:pPr>
                  <w:r>
                    <w:rPr>
                      <w:rFonts w:hint="eastAsia" w:ascii="仿宋" w:hAnsi="仿宋" w:cs="仿宋"/>
                    </w:rPr>
                    <w:t>2</w:t>
                  </w:r>
                </w:p>
              </w:tc>
              <w:tc>
                <w:tcPr>
                  <w:tcW w:w="5324" w:type="dxa"/>
                  <w:vAlign w:val="center"/>
                </w:tcPr>
                <w:p>
                  <w:pPr>
                    <w:widowControl/>
                    <w:rPr>
                      <w:rFonts w:hint="eastAsia" w:ascii="仿宋" w:hAnsi="仿宋" w:cs="仿宋"/>
                    </w:rPr>
                  </w:pPr>
                  <w:r>
                    <w:rPr>
                      <w:rFonts w:hint="eastAsia" w:ascii="仿宋" w:hAnsi="仿宋" w:cs="仿宋"/>
                    </w:rPr>
                    <w:t>负责平台技术搭建、模块素材上传等。</w:t>
                  </w:r>
                </w:p>
              </w:tc>
            </w:tr>
          </w:tbl>
          <w:p>
            <w:pPr>
              <w:widowControl/>
              <w:rPr>
                <w:rFonts w:hint="eastAsia" w:ascii="仿宋" w:hAnsi="仿宋" w:cs="仿宋"/>
              </w:rPr>
            </w:pPr>
            <w:r>
              <w:rPr>
                <w:rFonts w:hint="eastAsia" w:ascii="仿宋" w:hAnsi="仿宋" w:cs="仿宋"/>
              </w:rPr>
              <w:t>2.服务内容</w:t>
            </w:r>
          </w:p>
          <w:p>
            <w:pPr>
              <w:widowControl/>
              <w:rPr>
                <w:rFonts w:hint="eastAsia" w:ascii="仿宋" w:hAnsi="仿宋" w:cs="仿宋"/>
              </w:rPr>
            </w:pPr>
            <w:r>
              <w:rPr>
                <w:rFonts w:hint="eastAsia" w:ascii="仿宋" w:hAnsi="仿宋" w:cs="仿宋"/>
              </w:rPr>
              <w:t>（1）提供课程顾问式一对一服务，教研团队参与课程规划和设计中，确保课程最终呈现效果。</w:t>
            </w:r>
          </w:p>
          <w:p>
            <w:pPr>
              <w:widowControl/>
              <w:rPr>
                <w:rFonts w:hint="eastAsia" w:ascii="仿宋" w:hAnsi="仿宋" w:cs="仿宋"/>
              </w:rPr>
            </w:pPr>
            <w:r>
              <w:rPr>
                <w:rFonts w:hint="eastAsia" w:ascii="仿宋" w:hAnsi="仿宋" w:cs="仿宋"/>
              </w:rPr>
              <w:t>（2）提供定制化设计服务，如PPT模板、片头片尾等。</w:t>
            </w:r>
          </w:p>
          <w:p>
            <w:pPr>
              <w:widowControl/>
              <w:rPr>
                <w:rFonts w:hint="eastAsia" w:ascii="仿宋" w:hAnsi="仿宋" w:cs="仿宋"/>
              </w:rPr>
            </w:pPr>
            <w:r>
              <w:rPr>
                <w:rFonts w:hint="eastAsia" w:ascii="仿宋" w:hAnsi="仿宋" w:cs="仿宋"/>
              </w:rPr>
              <w:t>（3）配备专业化妆师，提供化妆和发型设计服务，使教师上镜端庄自然。</w:t>
            </w:r>
          </w:p>
          <w:p>
            <w:pPr>
              <w:widowControl/>
              <w:rPr>
                <w:rFonts w:hint="eastAsia" w:ascii="仿宋" w:hAnsi="仿宋" w:cs="仿宋"/>
              </w:rPr>
            </w:pPr>
            <w:r>
              <w:rPr>
                <w:rFonts w:hint="eastAsia" w:ascii="仿宋" w:hAnsi="仿宋" w:cs="仿宋"/>
              </w:rPr>
              <w:t>（4）配备编导和摄像团队为院校制定拍摄计划、提供一对一摄前指导，并为课程设计优质的展现形式，通过录播系统对老师讲课过程进行录制监控，并整理核验录制素材。</w:t>
            </w:r>
          </w:p>
          <w:p>
            <w:pPr>
              <w:widowControl/>
              <w:rPr>
                <w:rFonts w:hint="eastAsia" w:ascii="仿宋" w:hAnsi="仿宋" w:cs="仿宋"/>
              </w:rPr>
            </w:pPr>
            <w:r>
              <w:rPr>
                <w:rFonts w:hint="eastAsia" w:ascii="仿宋" w:hAnsi="仿宋" w:cs="仿宋"/>
              </w:rPr>
              <w:t>（5）配备专业教研团队，提供专业内容校对审核服务（三次审核三次校对），把好课程质量关。</w:t>
            </w:r>
            <w:r>
              <w:rPr>
                <w:rFonts w:hint="eastAsia" w:ascii="仿宋" w:hAnsi="仿宋" w:cs="仿宋"/>
              </w:rPr>
              <w:br w:type="textWrapping"/>
            </w:r>
            <w:r>
              <w:rPr>
                <w:rFonts w:hint="eastAsia" w:ascii="仿宋" w:hAnsi="仿宋" w:cs="仿宋"/>
              </w:rPr>
              <w:t>（6）课程制作团队负责课程后期制作（剪辑、修改、特效、包装、动画制作、录音合成）。</w:t>
            </w:r>
            <w:r>
              <w:rPr>
                <w:rFonts w:hint="eastAsia" w:ascii="仿宋" w:hAnsi="仿宋" w:cs="仿宋"/>
              </w:rPr>
              <w:br w:type="textWrapping"/>
            </w:r>
            <w:r>
              <w:rPr>
                <w:rFonts w:hint="eastAsia" w:ascii="仿宋" w:hAnsi="仿宋" w:cs="仿宋"/>
              </w:rPr>
              <w:t>（7）课程团队完成视频成品校对后，由院校课程负责人终审，无误后进行课程上线。</w:t>
            </w:r>
          </w:p>
          <w:p>
            <w:pPr>
              <w:widowControl/>
              <w:rPr>
                <w:rFonts w:hint="eastAsia" w:ascii="仿宋" w:hAnsi="仿宋" w:cs="仿宋"/>
              </w:rPr>
            </w:pPr>
            <w:r>
              <w:rPr>
                <w:rFonts w:hint="eastAsia" w:ascii="仿宋" w:hAnsi="仿宋" w:cs="仿宋"/>
              </w:rPr>
              <w:t>（8）视频中所引用的素材保证不涉及版权问题。</w:t>
            </w:r>
          </w:p>
          <w:p>
            <w:pPr>
              <w:widowControl/>
              <w:rPr>
                <w:rFonts w:hint="eastAsia" w:ascii="仿宋" w:hAnsi="仿宋" w:cs="仿宋"/>
              </w:rPr>
            </w:pPr>
            <w:r>
              <w:rPr>
                <w:rFonts w:hint="eastAsia" w:ascii="仿宋" w:hAnsi="仿宋" w:cs="仿宋"/>
              </w:rPr>
              <w:t>三、课程建设技术要求</w:t>
            </w:r>
          </w:p>
          <w:p>
            <w:pPr>
              <w:widowControl/>
              <w:rPr>
                <w:rFonts w:hint="eastAsia" w:ascii="仿宋" w:hAnsi="仿宋" w:cs="仿宋"/>
              </w:rPr>
            </w:pPr>
            <w:r>
              <w:rPr>
                <w:rFonts w:hint="eastAsia" w:ascii="仿宋" w:hAnsi="仿宋" w:cs="仿宋"/>
              </w:rPr>
              <w:t>1.视频类素材技术要求</w:t>
            </w:r>
          </w:p>
          <w:p>
            <w:pPr>
              <w:widowControl/>
              <w:rPr>
                <w:rFonts w:hint="eastAsia" w:ascii="仿宋" w:hAnsi="仿宋" w:cs="仿宋"/>
              </w:rPr>
            </w:pPr>
            <w:r>
              <w:rPr>
                <w:rFonts w:hint="eastAsia" w:ascii="仿宋" w:hAnsi="仿宋" w:cs="仿宋"/>
              </w:rPr>
              <w:t>（1）文件格式：扩展名：*.mp4；</w:t>
            </w:r>
          </w:p>
          <w:p>
            <w:pPr>
              <w:widowControl/>
              <w:rPr>
                <w:rFonts w:hint="eastAsia" w:ascii="仿宋" w:hAnsi="仿宋" w:cs="仿宋"/>
              </w:rPr>
            </w:pPr>
            <w:r>
              <w:rPr>
                <w:rFonts w:hint="eastAsia" w:ascii="仿宋" w:hAnsi="仿宋" w:cs="仿宋"/>
              </w:rPr>
              <w:t>（2）品质要求：时长范围：控制在15分钟以内，视频采用MP4格式，视频采用H.264编码方式，分辨率不低于720p（1280×720，16:9）；</w:t>
            </w:r>
          </w:p>
          <w:p>
            <w:pPr>
              <w:widowControl/>
              <w:rPr>
                <w:rFonts w:hint="eastAsia" w:ascii="仿宋" w:hAnsi="仿宋" w:cs="仿宋"/>
              </w:rPr>
            </w:pPr>
            <w:r>
              <w:rPr>
                <w:rFonts w:hint="eastAsia" w:ascii="仿宋" w:hAnsi="仿宋" w:cs="仿宋"/>
              </w:rPr>
              <w:t>（3）视频质量稳定性：全片图像同步性能稳定，无失步现象图像无抖动跳跃，色彩无突变，编辑点处图像稳定；</w:t>
            </w:r>
          </w:p>
          <w:p>
            <w:pPr>
              <w:widowControl/>
              <w:rPr>
                <w:rFonts w:hint="eastAsia" w:ascii="仿宋" w:hAnsi="仿宋" w:cs="仿宋"/>
              </w:rPr>
            </w:pPr>
            <w:r>
              <w:rPr>
                <w:rFonts w:hint="eastAsia" w:ascii="仿宋" w:hAnsi="仿宋" w:cs="仿宋"/>
              </w:rPr>
              <w:t>（4）色调：白平衡正确，无明显偏色，多机位拍摄的镜头衔接处无明显色差；</w:t>
            </w:r>
          </w:p>
          <w:p>
            <w:pPr>
              <w:widowControl/>
              <w:rPr>
                <w:rFonts w:hint="eastAsia" w:ascii="仿宋" w:hAnsi="仿宋" w:cs="仿宋"/>
              </w:rPr>
            </w:pPr>
            <w:r>
              <w:rPr>
                <w:rFonts w:hint="eastAsia" w:ascii="仿宋" w:hAnsi="仿宋" w:cs="仿宋"/>
              </w:rPr>
              <w:t>（5）彩色视频素材每帧图像颜色均为真彩色；</w:t>
            </w:r>
          </w:p>
          <w:p>
            <w:pPr>
              <w:widowControl/>
              <w:rPr>
                <w:rFonts w:hint="eastAsia" w:ascii="仿宋" w:hAnsi="仿宋" w:cs="仿宋"/>
              </w:rPr>
            </w:pPr>
            <w:r>
              <w:rPr>
                <w:rFonts w:hint="eastAsia" w:ascii="仿宋" w:hAnsi="仿宋" w:cs="仿宋"/>
              </w:rPr>
              <w:t>（6）画面中教师以中景和近景为主，要求人物和板书（或其他画面元素）同样清晰，不使用无教师形象的全程板书或PPT配音；</w:t>
            </w:r>
          </w:p>
          <w:p>
            <w:pPr>
              <w:widowControl/>
              <w:rPr>
                <w:rFonts w:hint="eastAsia" w:ascii="仿宋" w:hAnsi="仿宋" w:cs="仿宋"/>
              </w:rPr>
            </w:pPr>
            <w:r>
              <w:rPr>
                <w:rFonts w:hint="eastAsia" w:ascii="仿宋" w:hAnsi="仿宋" w:cs="仿宋"/>
              </w:rPr>
              <w:t>（7）声道：中文内容音频信号记录于第一声道，音乐、音效、同期声记录于第二声道，若有其他文字解说记录于第三声道(如录音设备无第3声道,则录于第2声道)；</w:t>
            </w:r>
          </w:p>
          <w:p>
            <w:pPr>
              <w:widowControl/>
              <w:rPr>
                <w:rFonts w:hint="eastAsia" w:ascii="仿宋" w:hAnsi="仿宋" w:cs="仿宋"/>
              </w:rPr>
            </w:pPr>
            <w:r>
              <w:rPr>
                <w:rFonts w:hint="eastAsia" w:ascii="仿宋" w:hAnsi="仿宋" w:cs="仿宋"/>
              </w:rPr>
              <w:t>（8）电平指标：-2db——-8db声音应无明显失真、放音过冲、过弱；</w:t>
            </w:r>
          </w:p>
          <w:p>
            <w:pPr>
              <w:widowControl/>
              <w:rPr>
                <w:rFonts w:hint="eastAsia" w:ascii="仿宋" w:hAnsi="仿宋" w:cs="仿宋"/>
              </w:rPr>
            </w:pPr>
            <w:r>
              <w:rPr>
                <w:rFonts w:hint="eastAsia" w:ascii="仿宋" w:hAnsi="仿宋" w:cs="仿宋"/>
              </w:rPr>
              <w:t>（9）声音和画面要求同步，无交流声或其他杂音等缺陷；</w:t>
            </w:r>
          </w:p>
          <w:p>
            <w:pPr>
              <w:widowControl/>
              <w:rPr>
                <w:rFonts w:hint="eastAsia" w:ascii="仿宋" w:hAnsi="仿宋" w:cs="仿宋"/>
              </w:rPr>
            </w:pPr>
            <w:r>
              <w:rPr>
                <w:rFonts w:hint="eastAsia" w:ascii="仿宋" w:hAnsi="仿宋" w:cs="仿宋"/>
              </w:rPr>
              <w:t>（10）伴音清晰、饱满、圆润，无失真、噪声杂音干扰、音量忽大忽小现象。解说声与现场声无明显比例失调，解说声与背景音乐无明显比例失调；</w:t>
            </w:r>
          </w:p>
          <w:p>
            <w:pPr>
              <w:widowControl/>
              <w:rPr>
                <w:rFonts w:hint="eastAsia" w:ascii="仿宋" w:hAnsi="仿宋" w:cs="仿宋"/>
              </w:rPr>
            </w:pPr>
            <w:r>
              <w:rPr>
                <w:rFonts w:hint="eastAsia" w:ascii="仿宋" w:hAnsi="仿宋" w:cs="仿宋"/>
              </w:rPr>
              <w:t>（11）视频内容符合我国法律法规，尊重各民族的风俗习惯，版权不存在争议；</w:t>
            </w:r>
          </w:p>
          <w:p>
            <w:pPr>
              <w:widowControl/>
              <w:rPr>
                <w:rFonts w:hint="eastAsia" w:ascii="仿宋" w:hAnsi="仿宋" w:cs="仿宋"/>
              </w:rPr>
            </w:pPr>
            <w:r>
              <w:rPr>
                <w:rFonts w:hint="eastAsia" w:ascii="仿宋" w:hAnsi="仿宋" w:cs="仿宋"/>
              </w:rPr>
              <w:t>（12）若其中包含少数民族或外国语言文字信息，应遵循其原内容完整性，使用原语言进行处理；</w:t>
            </w:r>
          </w:p>
          <w:p>
            <w:pPr>
              <w:widowControl/>
              <w:rPr>
                <w:rFonts w:hint="eastAsia" w:ascii="仿宋" w:hAnsi="仿宋" w:cs="仿宋"/>
              </w:rPr>
            </w:pPr>
            <w:r>
              <w:rPr>
                <w:rFonts w:hint="eastAsia" w:ascii="仿宋" w:hAnsi="仿宋" w:cs="仿宋"/>
              </w:rPr>
              <w:t>（13）视频片头/片尾：片头和片尾的总长要求控制在15秒以内。</w:t>
            </w:r>
          </w:p>
          <w:p>
            <w:pPr>
              <w:widowControl/>
              <w:rPr>
                <w:rFonts w:hint="eastAsia" w:ascii="仿宋" w:hAnsi="仿宋" w:cs="仿宋"/>
              </w:rPr>
            </w:pPr>
            <w:r>
              <w:rPr>
                <w:rFonts w:hint="eastAsia" w:ascii="仿宋" w:hAnsi="仿宋" w:cs="仿宋"/>
              </w:rPr>
              <w:t>2.PPT演示文稿类素材技术要求</w:t>
            </w:r>
          </w:p>
          <w:p>
            <w:pPr>
              <w:widowControl/>
              <w:rPr>
                <w:rFonts w:hint="eastAsia" w:ascii="仿宋" w:hAnsi="仿宋" w:cs="仿宋"/>
              </w:rPr>
            </w:pPr>
            <w:r>
              <w:rPr>
                <w:rFonts w:hint="eastAsia" w:ascii="仿宋" w:hAnsi="仿宋" w:cs="仿宋"/>
              </w:rPr>
              <w:t>（1）文件格式：扩展名：*.ppt；</w:t>
            </w:r>
          </w:p>
          <w:p>
            <w:pPr>
              <w:widowControl/>
              <w:rPr>
                <w:rFonts w:hint="eastAsia" w:ascii="仿宋" w:hAnsi="仿宋" w:cs="仿宋"/>
              </w:rPr>
            </w:pPr>
            <w:r>
              <w:rPr>
                <w:rFonts w:hint="eastAsia" w:ascii="仿宋" w:hAnsi="仿宋" w:cs="仿宋"/>
              </w:rPr>
              <w:t>（2）软件版本：文件制作所用的软件版本为MicrosoftOffice2007；</w:t>
            </w:r>
          </w:p>
          <w:p>
            <w:pPr>
              <w:widowControl/>
              <w:rPr>
                <w:rFonts w:hint="eastAsia" w:ascii="仿宋" w:hAnsi="仿宋" w:cs="仿宋"/>
              </w:rPr>
            </w:pPr>
            <w:r>
              <w:rPr>
                <w:rFonts w:hint="eastAsia" w:ascii="仿宋" w:hAnsi="仿宋" w:cs="仿宋"/>
              </w:rPr>
              <w:t>（3）PPT模板朴素、大方，颜色适宜，便于长时间观看，多个页面均有的相同元素，如背景、按钮、标题、等，可以使用幻灯片母版来实现；</w:t>
            </w:r>
          </w:p>
          <w:p>
            <w:pPr>
              <w:widowControl/>
              <w:rPr>
                <w:rFonts w:hint="eastAsia" w:ascii="仿宋" w:hAnsi="仿宋" w:cs="仿宋"/>
              </w:rPr>
            </w:pPr>
            <w:r>
              <w:rPr>
                <w:rFonts w:hint="eastAsia" w:ascii="仿宋" w:hAnsi="仿宋" w:cs="仿宋"/>
              </w:rPr>
              <w:t>（4）页面设置可根据视频尺寸进行调整，可调整为16:9或4:3；每页版面的字数不宜太多。字体使用微软雅黑，正文字号应不小于为18号。首先缩进1.3，行距1.4倍，也可根据文档内容适当调整。不要使用仿宋、细圆等过细字体，不使用特殊字体，如有特殊字体，应转化为图形文件；</w:t>
            </w:r>
          </w:p>
          <w:p>
            <w:pPr>
              <w:widowControl/>
              <w:rPr>
                <w:rFonts w:hint="eastAsia" w:ascii="仿宋" w:hAnsi="仿宋" w:cs="仿宋"/>
              </w:rPr>
            </w:pPr>
            <w:r>
              <w:rPr>
                <w:rFonts w:hint="eastAsia" w:ascii="仿宋" w:hAnsi="仿宋" w:cs="仿宋"/>
              </w:rPr>
              <w:t>（5）文字要醒目，避免使用与背景色相近的字体颜色。文本内容尽量可编辑，不要使用图片格式；</w:t>
            </w:r>
          </w:p>
          <w:p>
            <w:pPr>
              <w:widowControl/>
              <w:rPr>
                <w:rFonts w:hint="eastAsia" w:ascii="仿宋" w:hAnsi="仿宋" w:cs="仿宋"/>
              </w:rPr>
            </w:pPr>
            <w:r>
              <w:rPr>
                <w:rFonts w:hint="eastAsia" w:ascii="仿宋" w:hAnsi="仿宋" w:cs="仿宋"/>
              </w:rPr>
              <w:t>（6）只录制PPT时，不需要给老师空出站位，参考线设置为：上间距：5.8、下间距：5.8、左间距：11.6、右间距：11.6；</w:t>
            </w:r>
          </w:p>
          <w:p>
            <w:pPr>
              <w:widowControl/>
              <w:rPr>
                <w:rFonts w:hint="eastAsia" w:ascii="仿宋" w:hAnsi="仿宋" w:cs="仿宋"/>
              </w:rPr>
            </w:pPr>
            <w:r>
              <w:rPr>
                <w:rFonts w:hint="eastAsia" w:ascii="仿宋" w:hAnsi="仿宋" w:cs="仿宋"/>
              </w:rPr>
              <w:t>（7）常规录制课程，需要给老师空出站位，参考线设置为：上间距：5.4、下间距：5.8、左间距：11.6、右间距：6.4；</w:t>
            </w:r>
          </w:p>
          <w:p>
            <w:pPr>
              <w:widowControl/>
              <w:rPr>
                <w:rFonts w:hint="eastAsia" w:ascii="仿宋" w:hAnsi="仿宋" w:cs="仿宋"/>
              </w:rPr>
            </w:pPr>
            <w:r>
              <w:rPr>
                <w:rFonts w:hint="eastAsia" w:ascii="仿宋" w:hAnsi="仿宋" w:cs="仿宋"/>
              </w:rPr>
              <w:t>（8）页面设计的原则是版面内容的分布美观大方；</w:t>
            </w:r>
          </w:p>
          <w:p>
            <w:pPr>
              <w:widowControl/>
              <w:rPr>
                <w:rFonts w:hint="eastAsia" w:ascii="仿宋" w:hAnsi="仿宋" w:cs="仿宋"/>
              </w:rPr>
            </w:pPr>
            <w:r>
              <w:rPr>
                <w:rFonts w:hint="eastAsia" w:ascii="仿宋" w:hAnsi="仿宋" w:cs="仿宋"/>
              </w:rPr>
              <w:t>（9）恰当使用组合：某些插图中位置相对固定的文本框、数学公式以及图片等应采用组合方式，避免产生相对位移；</w:t>
            </w:r>
          </w:p>
          <w:p>
            <w:pPr>
              <w:widowControl/>
              <w:rPr>
                <w:rFonts w:hint="eastAsia" w:ascii="仿宋" w:hAnsi="仿宋" w:cs="仿宋"/>
              </w:rPr>
            </w:pPr>
            <w:r>
              <w:rPr>
                <w:rFonts w:hint="eastAsia" w:ascii="仿宋" w:hAnsi="仿宋" w:cs="仿宋"/>
              </w:rPr>
              <w:t>（10）尽量避免不必要的组合，不同对象、文本的动作需要同时出现时，可确定彼此之间的时间间隔为0秒；</w:t>
            </w:r>
          </w:p>
          <w:p>
            <w:pPr>
              <w:widowControl/>
              <w:rPr>
                <w:rFonts w:hint="eastAsia" w:ascii="仿宋" w:hAnsi="仿宋" w:cs="仿宋"/>
              </w:rPr>
            </w:pPr>
            <w:r>
              <w:rPr>
                <w:rFonts w:hint="eastAsia" w:ascii="仿宋" w:hAnsi="仿宋" w:cs="仿宋"/>
              </w:rPr>
              <w:t>（11）各级标题采用不同的字体和颜色，一张幻灯片上文字颜色限定在4种以内，注意文字与背景色的反差；</w:t>
            </w:r>
          </w:p>
          <w:p>
            <w:pPr>
              <w:widowControl/>
              <w:rPr>
                <w:rFonts w:hint="eastAsia" w:ascii="仿宋" w:hAnsi="仿宋" w:cs="仿宋"/>
              </w:rPr>
            </w:pPr>
            <w:r>
              <w:rPr>
                <w:rFonts w:hint="eastAsia" w:ascii="仿宋" w:hAnsi="仿宋" w:cs="仿宋"/>
              </w:rPr>
              <w:t>（12）动画方案不宜出现不必要的动画效果，不使用随机效果。动画连续，节奏合适；</w:t>
            </w:r>
          </w:p>
          <w:p>
            <w:pPr>
              <w:widowControl/>
              <w:rPr>
                <w:rFonts w:hint="eastAsia" w:ascii="仿宋" w:hAnsi="仿宋" w:cs="仿宋"/>
              </w:rPr>
            </w:pPr>
            <w:r>
              <w:rPr>
                <w:rFonts w:hint="eastAsia" w:ascii="仿宋" w:hAnsi="仿宋" w:cs="仿宋"/>
              </w:rPr>
              <w:t>（13）文件内链接都采用相对链接，并能够正常打开；</w:t>
            </w:r>
          </w:p>
          <w:p>
            <w:pPr>
              <w:widowControl/>
              <w:rPr>
                <w:rFonts w:hint="eastAsia" w:ascii="仿宋" w:hAnsi="仿宋" w:cs="仿宋"/>
              </w:rPr>
            </w:pPr>
            <w:r>
              <w:rPr>
                <w:rFonts w:hint="eastAsia" w:ascii="仿宋" w:hAnsi="仿宋" w:cs="仿宋"/>
              </w:rPr>
              <w:t>（14）文件中链接或插入的其他素材满足本要求中关于媒体素材的技术要求；</w:t>
            </w:r>
          </w:p>
          <w:p>
            <w:pPr>
              <w:widowControl/>
              <w:rPr>
                <w:rFonts w:hint="eastAsia" w:ascii="仿宋" w:hAnsi="仿宋" w:cs="仿宋"/>
              </w:rPr>
            </w:pPr>
            <w:r>
              <w:rPr>
                <w:rFonts w:hint="eastAsia" w:ascii="仿宋" w:hAnsi="仿宋" w:cs="仿宋"/>
              </w:rPr>
              <w:t>（15）使用超级链接时，要在目标页面有“返回”按钮；</w:t>
            </w:r>
          </w:p>
          <w:p>
            <w:pPr>
              <w:widowControl/>
              <w:rPr>
                <w:rFonts w:hint="eastAsia" w:ascii="仿宋" w:hAnsi="仿宋" w:cs="仿宋"/>
              </w:rPr>
            </w:pPr>
            <w:r>
              <w:rPr>
                <w:rFonts w:hint="eastAsia" w:ascii="仿宋" w:hAnsi="仿宋" w:cs="仿宋"/>
              </w:rPr>
              <w:t>（16）鼠标移至按钮上时要求显示出该按钮的操作提示；</w:t>
            </w:r>
          </w:p>
          <w:p>
            <w:pPr>
              <w:widowControl/>
              <w:rPr>
                <w:rFonts w:hint="eastAsia" w:ascii="仿宋" w:hAnsi="仿宋" w:cs="仿宋"/>
              </w:rPr>
            </w:pPr>
            <w:r>
              <w:rPr>
                <w:rFonts w:hint="eastAsia" w:ascii="仿宋" w:hAnsi="仿宋" w:cs="仿宋"/>
              </w:rPr>
              <w:t>（17）不同位置使用的导航按钮保持风格一致或使用相同的按钮；</w:t>
            </w:r>
          </w:p>
          <w:p>
            <w:pPr>
              <w:widowControl/>
              <w:rPr>
                <w:rFonts w:hint="eastAsia" w:ascii="仿宋" w:hAnsi="仿宋" w:cs="仿宋"/>
              </w:rPr>
            </w:pPr>
            <w:r>
              <w:rPr>
                <w:rFonts w:hint="eastAsia" w:ascii="仿宋" w:hAnsi="仿宋" w:cs="仿宋"/>
              </w:rPr>
              <w:t>（18）尽可能少用宏，播放时不要出现宏脚本提示。</w:t>
            </w:r>
          </w:p>
          <w:p>
            <w:pPr>
              <w:widowControl/>
              <w:rPr>
                <w:rFonts w:hint="eastAsia" w:ascii="仿宋" w:hAnsi="仿宋" w:cs="仿宋"/>
              </w:rPr>
            </w:pPr>
            <w:r>
              <w:rPr>
                <w:rFonts w:hint="eastAsia" w:ascii="仿宋" w:hAnsi="仿宋" w:cs="仿宋"/>
              </w:rPr>
              <w:t>3.动画技术要求</w:t>
            </w:r>
          </w:p>
          <w:p>
            <w:pPr>
              <w:widowControl/>
              <w:rPr>
                <w:rFonts w:hint="eastAsia" w:ascii="仿宋" w:hAnsi="仿宋" w:cs="仿宋"/>
              </w:rPr>
            </w:pPr>
            <w:r>
              <w:rPr>
                <w:rFonts w:hint="eastAsia" w:ascii="仿宋" w:hAnsi="仿宋" w:cs="仿宋"/>
              </w:rPr>
              <w:t>（1）文件格式：扩展名：*.mp4\*.swf；</w:t>
            </w:r>
          </w:p>
          <w:p>
            <w:pPr>
              <w:widowControl/>
              <w:rPr>
                <w:rFonts w:hint="eastAsia" w:ascii="仿宋" w:hAnsi="仿宋" w:cs="仿宋"/>
              </w:rPr>
            </w:pPr>
            <w:r>
              <w:rPr>
                <w:rFonts w:hint="eastAsia" w:ascii="仿宋" w:hAnsi="仿宋" w:cs="仿宋"/>
              </w:rPr>
              <w:t>（2）软件版本：Adobe Animate；</w:t>
            </w:r>
          </w:p>
          <w:p>
            <w:pPr>
              <w:widowControl/>
              <w:rPr>
                <w:rFonts w:hint="eastAsia" w:ascii="仿宋" w:hAnsi="仿宋" w:cs="仿宋"/>
              </w:rPr>
            </w:pPr>
            <w:r>
              <w:rPr>
                <w:rFonts w:hint="eastAsia" w:ascii="仿宋" w:hAnsi="仿宋" w:cs="仿宋"/>
              </w:rPr>
              <w:t>（3）动画的开始要有醒目的标题，标题能够体现动画所表现的内容；</w:t>
            </w:r>
          </w:p>
          <w:p>
            <w:pPr>
              <w:widowControl/>
              <w:rPr>
                <w:rFonts w:hint="eastAsia" w:ascii="仿宋" w:hAnsi="仿宋" w:cs="仿宋"/>
              </w:rPr>
            </w:pPr>
            <w:r>
              <w:rPr>
                <w:rFonts w:hint="eastAsia" w:ascii="仿宋" w:hAnsi="仿宋" w:cs="仿宋"/>
              </w:rPr>
              <w:t>（4）动画中如果有文字，文字要醒目，文字的字体、字号与内容协调，字体颜色避免与背景相近；</w:t>
            </w:r>
          </w:p>
          <w:p>
            <w:pPr>
              <w:widowControl/>
              <w:rPr>
                <w:rFonts w:hint="eastAsia" w:ascii="仿宋" w:hAnsi="仿宋" w:cs="仿宋"/>
              </w:rPr>
            </w:pPr>
            <w:r>
              <w:rPr>
                <w:rFonts w:hint="eastAsia" w:ascii="仿宋" w:hAnsi="仿宋" w:cs="仿宋"/>
              </w:rPr>
              <w:t>（5）动画色彩造型应和谐，画面简洁清晰；</w:t>
            </w:r>
          </w:p>
          <w:p>
            <w:pPr>
              <w:widowControl/>
              <w:rPr>
                <w:rFonts w:hint="eastAsia" w:ascii="仿宋" w:hAnsi="仿宋" w:cs="仿宋"/>
              </w:rPr>
            </w:pPr>
            <w:r>
              <w:rPr>
                <w:rFonts w:hint="eastAsia" w:ascii="仿宋" w:hAnsi="仿宋" w:cs="仿宋"/>
              </w:rPr>
              <w:t>（6）动画连续，节奏合适，帧和帧之间的关联性要强；</w:t>
            </w:r>
          </w:p>
          <w:p>
            <w:pPr>
              <w:widowControl/>
              <w:rPr>
                <w:rFonts w:hint="eastAsia" w:ascii="仿宋" w:hAnsi="仿宋" w:cs="仿宋"/>
              </w:rPr>
            </w:pPr>
            <w:r>
              <w:rPr>
                <w:rFonts w:hint="eastAsia" w:ascii="仿宋" w:hAnsi="仿宋" w:cs="仿宋"/>
              </w:rPr>
              <w:t>（7）解说配音应标准，无噪音，声音悦耳，音量适当，快慢适度；</w:t>
            </w:r>
          </w:p>
          <w:p>
            <w:pPr>
              <w:widowControl/>
              <w:rPr>
                <w:rFonts w:hint="eastAsia" w:ascii="仿宋" w:hAnsi="仿宋" w:cs="仿宋"/>
              </w:rPr>
            </w:pPr>
            <w:r>
              <w:rPr>
                <w:rFonts w:hint="eastAsia" w:ascii="仿宋" w:hAnsi="仿宋" w:cs="仿宋"/>
              </w:rPr>
              <w:t>（8）动画背景音乐音量不宜过大，音乐与内容相符；</w:t>
            </w:r>
          </w:p>
          <w:p>
            <w:pPr>
              <w:widowControl/>
              <w:rPr>
                <w:rFonts w:hint="eastAsia" w:ascii="仿宋" w:hAnsi="仿宋" w:cs="仿宋"/>
              </w:rPr>
            </w:pPr>
            <w:r>
              <w:rPr>
                <w:rFonts w:hint="eastAsia" w:ascii="仿宋" w:hAnsi="仿宋" w:cs="仿宋"/>
              </w:rPr>
              <w:t>（9）动画演播过程要流畅，静止画面时间不超过5秒钟；</w:t>
            </w:r>
          </w:p>
          <w:p>
            <w:pPr>
              <w:widowControl/>
              <w:rPr>
                <w:rFonts w:hint="eastAsia" w:ascii="仿宋" w:hAnsi="仿宋" w:cs="仿宋"/>
              </w:rPr>
            </w:pPr>
            <w:r>
              <w:rPr>
                <w:rFonts w:hint="eastAsia" w:ascii="仿宋" w:hAnsi="仿宋" w:cs="仿宋"/>
              </w:rPr>
              <w:t>（10）动画内容符合我国法律法规，尊重各民族的风俗习惯，版权不存在争议；</w:t>
            </w:r>
          </w:p>
          <w:p>
            <w:pPr>
              <w:widowControl/>
              <w:rPr>
                <w:rFonts w:hint="eastAsia" w:ascii="仿宋" w:hAnsi="仿宋" w:cs="仿宋"/>
              </w:rPr>
            </w:pPr>
            <w:r>
              <w:rPr>
                <w:rFonts w:hint="eastAsia" w:ascii="仿宋" w:hAnsi="仿宋" w:cs="仿宋"/>
              </w:rPr>
              <w:t>（11）若其中包含少数民族或外国语言文字信息，应遵循其原内容完整性，使用原语言进行处理；</w:t>
            </w:r>
          </w:p>
          <w:p>
            <w:pPr>
              <w:widowControl/>
              <w:rPr>
                <w:rFonts w:hint="eastAsia" w:ascii="仿宋" w:hAnsi="仿宋" w:cs="仿宋"/>
              </w:rPr>
            </w:pPr>
            <w:r>
              <w:rPr>
                <w:rFonts w:hint="eastAsia" w:ascii="仿宋" w:hAnsi="仿宋" w:cs="仿宋"/>
              </w:rPr>
              <w:t>（12）压缩方式:H264，视频格式mp4，帧率25，码率不低于1500。分辨率1920*1080，16：9；</w:t>
            </w:r>
          </w:p>
          <w:p>
            <w:pPr>
              <w:widowControl/>
              <w:rPr>
                <w:rFonts w:hint="eastAsia" w:ascii="仿宋" w:hAnsi="仿宋" w:cs="仿宋"/>
              </w:rPr>
            </w:pPr>
            <w:r>
              <w:rPr>
                <w:rFonts w:hint="eastAsia" w:ascii="仿宋" w:hAnsi="仿宋" w:cs="仿宋"/>
              </w:rPr>
              <w:t>（13）内容要求根据老师选定的知识点设计与制作，并满足前期与老师沟通后编写的动画设计脚本，讲解清晰，具体按照动画技术要点执行；</w:t>
            </w:r>
          </w:p>
          <w:p>
            <w:pPr>
              <w:widowControl/>
              <w:rPr>
                <w:rFonts w:hint="eastAsia" w:ascii="仿宋" w:hAnsi="仿宋" w:cs="仿宋"/>
              </w:rPr>
            </w:pPr>
            <w:r>
              <w:rPr>
                <w:rFonts w:hint="eastAsia" w:ascii="仿宋" w:hAnsi="仿宋" w:cs="仿宋"/>
              </w:rPr>
              <w:t>（14）根据脚本内容确定动画类型，情景动画、MG动画、交互动画。</w:t>
            </w:r>
          </w:p>
          <w:p>
            <w:pPr>
              <w:widowControl/>
              <w:rPr>
                <w:rFonts w:hint="eastAsia" w:ascii="仿宋" w:hAnsi="仿宋" w:cs="仿宋"/>
              </w:rPr>
            </w:pPr>
            <w:r>
              <w:rPr>
                <w:rFonts w:hint="eastAsia" w:ascii="仿宋" w:hAnsi="仿宋" w:cs="仿宋"/>
              </w:rPr>
              <w:t>4.唱词要求</w:t>
            </w:r>
          </w:p>
          <w:p>
            <w:pPr>
              <w:widowControl/>
              <w:rPr>
                <w:rFonts w:hint="eastAsia" w:ascii="仿宋" w:hAnsi="仿宋" w:cs="仿宋"/>
              </w:rPr>
            </w:pPr>
            <w:r>
              <w:rPr>
                <w:rFonts w:hint="eastAsia" w:ascii="仿宋" w:hAnsi="仿宋" w:cs="仿宋"/>
              </w:rPr>
              <w:t>（1）唱词文件格式：独立的SRT格式的唱词文件；</w:t>
            </w:r>
          </w:p>
          <w:p>
            <w:pPr>
              <w:widowControl/>
              <w:rPr>
                <w:rFonts w:hint="eastAsia" w:ascii="仿宋" w:hAnsi="仿宋" w:cs="仿宋"/>
              </w:rPr>
            </w:pPr>
            <w:r>
              <w:rPr>
                <w:rFonts w:hint="eastAsia" w:ascii="仿宋" w:hAnsi="仿宋" w:cs="仿宋"/>
              </w:rPr>
              <w:t>（2）唱词的行数要求：每屏只有一行唱词；</w:t>
            </w:r>
          </w:p>
          <w:p>
            <w:pPr>
              <w:widowControl/>
              <w:rPr>
                <w:rFonts w:hint="eastAsia" w:ascii="仿宋" w:hAnsi="仿宋" w:cs="仿宋"/>
              </w:rPr>
            </w:pPr>
            <w:r>
              <w:rPr>
                <w:rFonts w:hint="eastAsia" w:ascii="仿宋" w:hAnsi="仿宋" w:cs="仿宋"/>
              </w:rPr>
              <w:t>（3）唱词的字数要求：画幅比为4:3的，每行不超过15个字；画幅比为16：9的，每行不超过20个字；</w:t>
            </w:r>
          </w:p>
          <w:p>
            <w:pPr>
              <w:widowControl/>
              <w:rPr>
                <w:rFonts w:hint="eastAsia" w:ascii="仿宋" w:hAnsi="仿宋" w:cs="仿宋"/>
              </w:rPr>
            </w:pPr>
            <w:r>
              <w:rPr>
                <w:rFonts w:hint="eastAsia" w:ascii="仿宋" w:hAnsi="仿宋" w:cs="仿宋"/>
              </w:rPr>
              <w:t>（4）唱词的位置：保持每屏唱词出现位置一致；</w:t>
            </w:r>
          </w:p>
          <w:p>
            <w:pPr>
              <w:widowControl/>
              <w:rPr>
                <w:rFonts w:hint="eastAsia" w:ascii="仿宋" w:hAnsi="仿宋" w:cs="仿宋"/>
              </w:rPr>
            </w:pPr>
            <w:r>
              <w:rPr>
                <w:rFonts w:hint="eastAsia" w:ascii="仿宋" w:hAnsi="仿宋" w:cs="仿宋"/>
              </w:rPr>
              <w:t>（5）唱词中的标点符号：只有书名号及书名号中的标点、间隔号、连接号、具有特殊含意的词语的引号可以出现在唱词中，在每屏唱词中用空格代替标点表示语气停顿，所有标点及空格均使用全角；</w:t>
            </w:r>
          </w:p>
          <w:p>
            <w:pPr>
              <w:widowControl/>
              <w:rPr>
                <w:rFonts w:hint="eastAsia" w:ascii="仿宋" w:hAnsi="仿宋" w:cs="仿宋"/>
              </w:rPr>
            </w:pPr>
            <w:r>
              <w:rPr>
                <w:rFonts w:hint="eastAsia" w:ascii="仿宋" w:hAnsi="仿宋" w:cs="仿宋"/>
              </w:rPr>
              <w:t>（6）唱词的断句：不简单按照字数断句，以内容为断句依据；</w:t>
            </w:r>
          </w:p>
          <w:p>
            <w:pPr>
              <w:widowControl/>
              <w:rPr>
                <w:rFonts w:hint="eastAsia" w:ascii="仿宋" w:hAnsi="仿宋" w:cs="仿宋"/>
              </w:rPr>
            </w:pPr>
            <w:r>
              <w:rPr>
                <w:rFonts w:hint="eastAsia" w:ascii="仿宋" w:hAnsi="仿宋" w:cs="仿宋"/>
              </w:rPr>
              <w:t>（7）唱词中的数学公式、化学分子式、物理量和单位，尽量以文本文字呈现，不宜用文本文字呈现的、且在视频画面中已经通过PPT、板书等方式显示清楚的，可以不加该行唱词。</w:t>
            </w:r>
          </w:p>
          <w:p>
            <w:pPr>
              <w:widowControl/>
              <w:rPr>
                <w:rFonts w:hint="eastAsia" w:ascii="仿宋" w:hAnsi="仿宋" w:cs="仿宋"/>
              </w:rPr>
            </w:pPr>
            <w:r>
              <w:rPr>
                <w:rFonts w:hint="eastAsia" w:ascii="仿宋" w:hAnsi="仿宋" w:cs="仿宋"/>
              </w:rPr>
              <w:t>5.图片/图像、文本、音频类制作要求</w:t>
            </w:r>
          </w:p>
          <w:p>
            <w:pPr>
              <w:widowControl/>
              <w:rPr>
                <w:rFonts w:hint="eastAsia" w:ascii="仿宋" w:hAnsi="仿宋" w:cs="仿宋"/>
              </w:rPr>
            </w:pPr>
            <w:r>
              <w:rPr>
                <w:rFonts w:hint="eastAsia" w:ascii="仿宋" w:hAnsi="仿宋" w:cs="仿宋"/>
              </w:rPr>
              <w:t>（1）图形/图像类素材技术要求</w:t>
            </w:r>
          </w:p>
          <w:p>
            <w:pPr>
              <w:widowControl/>
              <w:rPr>
                <w:rFonts w:hint="eastAsia" w:ascii="仿宋" w:hAnsi="仿宋" w:cs="仿宋"/>
              </w:rPr>
            </w:pPr>
            <w:r>
              <w:rPr>
                <w:rFonts w:hint="eastAsia" w:ascii="仿宋" w:hAnsi="仿宋" w:cs="仿宋"/>
              </w:rPr>
              <w:t>①文件格式：扩展名：*.jpg\*.png\*.psd；</w:t>
            </w:r>
          </w:p>
          <w:p>
            <w:pPr>
              <w:widowControl/>
              <w:rPr>
                <w:rFonts w:hint="eastAsia" w:ascii="仿宋" w:hAnsi="仿宋" w:cs="仿宋"/>
              </w:rPr>
            </w:pPr>
            <w:r>
              <w:rPr>
                <w:rFonts w:hint="eastAsia" w:ascii="仿宋" w:hAnsi="仿宋" w:cs="仿宋"/>
              </w:rPr>
              <w:t>②色彩：彩色图像颜色数不低于真彩（24位色），灰度图像的灰度级不低于256级；图形可以为单色；</w:t>
            </w:r>
          </w:p>
          <w:p>
            <w:pPr>
              <w:widowControl/>
              <w:rPr>
                <w:rFonts w:hint="eastAsia" w:ascii="仿宋" w:hAnsi="仿宋" w:cs="仿宋"/>
              </w:rPr>
            </w:pPr>
            <w:r>
              <w:rPr>
                <w:rFonts w:hint="eastAsia" w:ascii="仿宋" w:hAnsi="仿宋" w:cs="仿宋"/>
              </w:rPr>
              <w:t>③分辨率：屏幕分辨率不低于1024×768时，扫描图像的扫描分辨率不低于72dpi，彩色扫描图像的扫描分辨率不低于150dpi；</w:t>
            </w:r>
          </w:p>
          <w:p>
            <w:pPr>
              <w:widowControl/>
              <w:rPr>
                <w:rFonts w:hint="eastAsia" w:ascii="仿宋" w:hAnsi="仿宋" w:cs="仿宋"/>
              </w:rPr>
            </w:pPr>
            <w:r>
              <w:rPr>
                <w:rFonts w:hint="eastAsia" w:ascii="仿宋" w:hAnsi="仿宋" w:cs="仿宋"/>
              </w:rPr>
              <w:t>④清晰度：图像内容清晰可辨识，不需要借助额外的设备即可辨认图片资源所需要表达的主体内容；</w:t>
            </w:r>
          </w:p>
          <w:p>
            <w:pPr>
              <w:widowControl/>
              <w:rPr>
                <w:rFonts w:hint="eastAsia" w:ascii="仿宋" w:hAnsi="仿宋" w:cs="仿宋"/>
              </w:rPr>
            </w:pPr>
            <w:r>
              <w:rPr>
                <w:rFonts w:hint="eastAsia" w:ascii="仿宋" w:hAnsi="仿宋" w:cs="仿宋"/>
              </w:rPr>
              <w:t>⑤所有图像扫描后，需要使用Photoshop或其他图像处理软件进行裁剪、校色、去污、纠偏等处理，使页面整洁、清晰；</w:t>
            </w:r>
          </w:p>
          <w:p>
            <w:pPr>
              <w:widowControl/>
              <w:rPr>
                <w:rFonts w:hint="eastAsia" w:ascii="仿宋" w:hAnsi="仿宋" w:cs="仿宋"/>
              </w:rPr>
            </w:pPr>
            <w:r>
              <w:rPr>
                <w:rFonts w:hint="eastAsia" w:ascii="仿宋" w:hAnsi="仿宋" w:cs="仿宋"/>
              </w:rPr>
              <w:t>⑥图形/图像内容符合我国法律法规，尊重各民族的风俗习惯，版权不存在争议。</w:t>
            </w:r>
          </w:p>
          <w:p>
            <w:pPr>
              <w:widowControl/>
              <w:rPr>
                <w:rFonts w:hint="eastAsia" w:ascii="仿宋" w:hAnsi="仿宋" w:cs="仿宋"/>
              </w:rPr>
            </w:pPr>
            <w:r>
              <w:rPr>
                <w:rFonts w:hint="eastAsia" w:ascii="仿宋" w:hAnsi="仿宋" w:cs="仿宋"/>
              </w:rPr>
              <w:t>（2）文本类要求</w:t>
            </w:r>
          </w:p>
          <w:p>
            <w:pPr>
              <w:widowControl/>
              <w:rPr>
                <w:rFonts w:hint="eastAsia" w:ascii="仿宋" w:hAnsi="仿宋" w:cs="仿宋"/>
              </w:rPr>
            </w:pPr>
            <w:r>
              <w:rPr>
                <w:rFonts w:hint="eastAsia" w:ascii="仿宋" w:hAnsi="仿宋" w:cs="仿宋"/>
              </w:rPr>
              <w:t>①文件格式：*.doc*.docx*.pdf*.xls*.xlsx*.txt；</w:t>
            </w:r>
          </w:p>
          <w:p>
            <w:pPr>
              <w:widowControl/>
              <w:rPr>
                <w:rFonts w:hint="eastAsia" w:ascii="仿宋" w:hAnsi="仿宋" w:cs="仿宋"/>
              </w:rPr>
            </w:pPr>
            <w:r>
              <w:rPr>
                <w:rFonts w:hint="eastAsia" w:ascii="仿宋" w:hAnsi="仿宋" w:cs="仿宋"/>
              </w:rPr>
              <w:t>②品质要求：正文字体、字号、颜色、行间距等要美观、统一。</w:t>
            </w:r>
          </w:p>
          <w:p>
            <w:pPr>
              <w:widowControl/>
              <w:rPr>
                <w:rFonts w:hint="eastAsia" w:ascii="仿宋" w:hAnsi="仿宋" w:cs="仿宋"/>
              </w:rPr>
            </w:pPr>
            <w:r>
              <w:rPr>
                <w:rFonts w:hint="eastAsia" w:ascii="仿宋" w:hAnsi="仿宋" w:cs="仿宋"/>
              </w:rPr>
              <w:t>（3）音频类素材</w:t>
            </w:r>
          </w:p>
          <w:p>
            <w:pPr>
              <w:widowControl/>
              <w:rPr>
                <w:rFonts w:hint="eastAsia" w:ascii="仿宋" w:hAnsi="仿宋" w:cs="仿宋"/>
              </w:rPr>
            </w:pPr>
            <w:r>
              <w:rPr>
                <w:rFonts w:hint="eastAsia" w:ascii="仿宋" w:hAnsi="仿宋" w:cs="仿宋"/>
              </w:rPr>
              <w:t>①品质要求：声道数为双声道；</w:t>
            </w:r>
          </w:p>
          <w:p>
            <w:pPr>
              <w:widowControl/>
              <w:rPr>
                <w:rFonts w:hint="eastAsia" w:ascii="仿宋" w:hAnsi="仿宋" w:cs="仿宋"/>
              </w:rPr>
            </w:pPr>
            <w:r>
              <w:rPr>
                <w:rFonts w:hint="eastAsia" w:ascii="仿宋" w:hAnsi="仿宋" w:cs="仿宋"/>
              </w:rPr>
              <w:t>②配音要求：语音采用标准的普通话；</w:t>
            </w:r>
          </w:p>
          <w:p>
            <w:pPr>
              <w:widowControl/>
              <w:rPr>
                <w:rFonts w:hint="eastAsia" w:ascii="仿宋" w:hAnsi="仿宋" w:cs="仿宋"/>
              </w:rPr>
            </w:pPr>
            <w:r>
              <w:rPr>
                <w:rFonts w:hint="eastAsia" w:ascii="仿宋" w:hAnsi="仿宋" w:cs="仿宋"/>
              </w:rPr>
              <w:t>③音频播放流畅。声音清晰，噪音低，回响小，无失真；</w:t>
            </w:r>
          </w:p>
          <w:p>
            <w:pPr>
              <w:widowControl/>
              <w:rPr>
                <w:rFonts w:hint="eastAsia" w:ascii="仿宋" w:hAnsi="仿宋" w:cs="仿宋"/>
              </w:rPr>
            </w:pPr>
            <w:r>
              <w:rPr>
                <w:rFonts w:hint="eastAsia" w:ascii="仿宋" w:hAnsi="仿宋" w:cs="仿宋"/>
              </w:rPr>
              <w:t>④音频内容符合我国法律法规，尊重各民族的风俗习惯，版权不存在争议；</w:t>
            </w:r>
          </w:p>
          <w:p>
            <w:pPr>
              <w:widowControl/>
              <w:rPr>
                <w:rFonts w:hint="eastAsia" w:ascii="仿宋" w:hAnsi="仿宋" w:cs="仿宋"/>
              </w:rPr>
            </w:pPr>
            <w:r>
              <w:rPr>
                <w:rFonts w:hint="eastAsia" w:ascii="仿宋" w:hAnsi="仿宋" w:cs="仿宋"/>
              </w:rPr>
              <w:t>⑤格式要求：*.mp3。</w:t>
            </w:r>
          </w:p>
          <w:p>
            <w:pPr>
              <w:widowControl/>
              <w:rPr>
                <w:rFonts w:hint="eastAsia" w:ascii="仿宋" w:hAnsi="仿宋" w:cs="仿宋"/>
              </w:rPr>
            </w:pPr>
            <w:r>
              <w:rPr>
                <w:rFonts w:hint="eastAsia" w:ascii="仿宋" w:hAnsi="仿宋" w:cs="仿宋"/>
              </w:rPr>
              <w:t>6.拍摄设备技术要求</w:t>
            </w:r>
          </w:p>
          <w:p>
            <w:pPr>
              <w:widowControl/>
              <w:rPr>
                <w:rFonts w:hint="eastAsia" w:ascii="仿宋" w:hAnsi="仿宋" w:cs="仿宋"/>
              </w:rPr>
            </w:pPr>
            <w:r>
              <w:rPr>
                <w:rFonts w:hint="eastAsia" w:ascii="仿宋" w:hAnsi="仿宋" w:cs="仿宋"/>
              </w:rPr>
              <w:t>（1）应为拍摄场地配备交互大屏、液晶电脑和中控台等提词及教学设备；</w:t>
            </w:r>
          </w:p>
          <w:p>
            <w:pPr>
              <w:widowControl/>
              <w:rPr>
                <w:rFonts w:hint="eastAsia" w:ascii="仿宋" w:hAnsi="仿宋" w:cs="仿宋"/>
              </w:rPr>
            </w:pPr>
            <w:r>
              <w:rPr>
                <w:rFonts w:hint="eastAsia" w:ascii="仿宋" w:hAnsi="仿宋" w:cs="仿宋"/>
              </w:rPr>
              <w:t>（2）应为拍摄场地配备金属卤化物灯光系统（色温3200K±300K），总功率不低于10000瓦，并配备滤色透光片等相关设备；</w:t>
            </w:r>
          </w:p>
          <w:p>
            <w:pPr>
              <w:widowControl/>
              <w:rPr>
                <w:rFonts w:hint="eastAsia" w:ascii="仿宋" w:hAnsi="仿宋" w:cs="仿宋"/>
              </w:rPr>
            </w:pPr>
            <w:r>
              <w:rPr>
                <w:rFonts w:hint="eastAsia" w:ascii="仿宋" w:hAnsi="仿宋" w:cs="仿宋"/>
              </w:rPr>
              <w:t>（3）提供双机位拍摄。配备音频设备及专业话筒；</w:t>
            </w:r>
          </w:p>
          <w:p>
            <w:pPr>
              <w:widowControl/>
              <w:rPr>
                <w:rFonts w:hint="eastAsia" w:ascii="仿宋" w:hAnsi="仿宋" w:cs="仿宋"/>
              </w:rPr>
            </w:pPr>
            <w:r>
              <w:rPr>
                <w:rFonts w:hint="eastAsia" w:ascii="仿宋" w:hAnsi="仿宋" w:cs="仿宋"/>
              </w:rPr>
              <w:t>（4）专业演播室用灯，LED采访灯（参照）三套，CE-1500WS聚光灯（参照）两套；</w:t>
            </w:r>
          </w:p>
          <w:p>
            <w:pPr>
              <w:widowControl/>
              <w:rPr>
                <w:rFonts w:hint="eastAsia" w:ascii="仿宋" w:hAnsi="仿宋" w:cs="仿宋"/>
              </w:rPr>
            </w:pPr>
            <w:r>
              <w:rPr>
                <w:rFonts w:hint="eastAsia" w:ascii="仿宋" w:hAnsi="仿宋" w:cs="仿宋"/>
              </w:rPr>
              <w:t>（5）应使用广播级全高清摄像机，分辨率应达到1920×1080，25fps，PAL制的要求；</w:t>
            </w:r>
          </w:p>
          <w:p>
            <w:pPr>
              <w:widowControl/>
              <w:rPr>
                <w:rFonts w:hint="eastAsia" w:ascii="仿宋" w:hAnsi="仿宋" w:cs="仿宋"/>
              </w:rPr>
            </w:pPr>
            <w:r>
              <w:rPr>
                <w:rFonts w:hint="eastAsia" w:ascii="仿宋" w:hAnsi="仿宋" w:cs="仿宋"/>
              </w:rPr>
              <w:t>（6）多台高清摄像机拍摄设备要同型同款，保证录制效果一致，至少具有两个摄制组同时开机拍摄的摄像器材，分辨率应达到1920×1080，25fps，PAL制的要求。</w:t>
            </w:r>
          </w:p>
          <w:p>
            <w:pPr>
              <w:widowControl/>
              <w:rPr>
                <w:rFonts w:hint="eastAsia" w:ascii="仿宋" w:hAnsi="仿宋" w:cs="仿宋"/>
              </w:rPr>
            </w:pPr>
            <w:r>
              <w:rPr>
                <w:rFonts w:hint="eastAsia" w:ascii="仿宋" w:hAnsi="仿宋" w:cs="仿宋"/>
              </w:rPr>
              <w:t>四、课程建设平台要求</w:t>
            </w:r>
          </w:p>
          <w:p>
            <w:pPr>
              <w:widowControl/>
              <w:rPr>
                <w:rFonts w:hint="eastAsia" w:ascii="仿宋" w:hAnsi="仿宋" w:cs="仿宋"/>
              </w:rPr>
            </w:pPr>
            <w:r>
              <w:rPr>
                <w:rFonts w:hint="eastAsia" w:ascii="仿宋" w:hAnsi="仿宋" w:cs="仿宋"/>
              </w:rPr>
              <w:t>·总体要求</w:t>
            </w:r>
          </w:p>
          <w:p>
            <w:pPr>
              <w:widowControl/>
              <w:rPr>
                <w:rFonts w:hint="eastAsia" w:ascii="仿宋" w:hAnsi="仿宋" w:cs="仿宋"/>
              </w:rPr>
            </w:pPr>
            <w:r>
              <w:rPr>
                <w:rFonts w:hint="eastAsia" w:ascii="仿宋" w:hAnsi="仿宋" w:cs="仿宋"/>
              </w:rPr>
              <w:t>1、平台架构基于浏览器的B/S结构并基于成熟稳定的开发平台。</w:t>
            </w:r>
          </w:p>
          <w:p>
            <w:pPr>
              <w:widowControl/>
              <w:rPr>
                <w:rFonts w:hint="eastAsia" w:ascii="仿宋" w:hAnsi="仿宋" w:cs="仿宋"/>
              </w:rPr>
            </w:pPr>
            <w:r>
              <w:rPr>
                <w:rFonts w:hint="eastAsia" w:ascii="仿宋" w:hAnsi="仿宋" w:cs="仿宋"/>
              </w:rPr>
              <w:t>2、数据库管理系统使用mysql数据库。</w:t>
            </w:r>
          </w:p>
          <w:p>
            <w:pPr>
              <w:widowControl/>
              <w:rPr>
                <w:rFonts w:hint="eastAsia" w:ascii="仿宋" w:hAnsi="仿宋" w:cs="仿宋"/>
              </w:rPr>
            </w:pPr>
            <w:r>
              <w:rPr>
                <w:rFonts w:hint="eastAsia" w:ascii="仿宋" w:hAnsi="仿宋" w:cs="仿宋"/>
              </w:rPr>
              <w:t>3、网络应用完全支持TCP/IP协议，以Internet/Intranet技术为核心。</w:t>
            </w:r>
          </w:p>
          <w:p>
            <w:pPr>
              <w:widowControl/>
              <w:rPr>
                <w:rFonts w:hint="eastAsia" w:ascii="仿宋" w:hAnsi="仿宋" w:cs="仿宋"/>
              </w:rPr>
            </w:pPr>
            <w:r>
              <w:rPr>
                <w:rFonts w:hint="eastAsia" w:ascii="仿宋" w:hAnsi="仿宋" w:cs="仿宋"/>
              </w:rPr>
              <w:t>▲4、平台中各功能模块中产生的业务数据能够根据真实企业业务数据的逻辑关系在不同模块之间进行真实的流转、传递以及自动获取，且数据是随着相应的业务案例进行实时动态变化的。</w:t>
            </w:r>
          </w:p>
          <w:p>
            <w:pPr>
              <w:widowControl/>
              <w:rPr>
                <w:rFonts w:hint="eastAsia" w:ascii="仿宋" w:hAnsi="仿宋" w:cs="仿宋"/>
              </w:rPr>
            </w:pPr>
            <w:r>
              <w:rPr>
                <w:rFonts w:hint="eastAsia" w:ascii="仿宋" w:hAnsi="仿宋" w:cs="仿宋"/>
              </w:rPr>
              <w:t>·PC端功能参数</w:t>
            </w:r>
            <w:r>
              <w:rPr>
                <w:rFonts w:hint="eastAsia" w:ascii="仿宋" w:hAnsi="仿宋" w:cs="仿宋"/>
              </w:rPr>
              <w:br w:type="textWrapping"/>
            </w:r>
            <w:r>
              <w:rPr>
                <w:rFonts w:hint="eastAsia" w:ascii="仿宋" w:hAnsi="仿宋" w:cs="仿宋"/>
              </w:rPr>
              <w:t>（一）建设功能</w:t>
            </w:r>
          </w:p>
          <w:p>
            <w:pPr>
              <w:widowControl/>
              <w:rPr>
                <w:rFonts w:hint="eastAsia" w:ascii="仿宋" w:hAnsi="仿宋" w:cs="仿宋"/>
              </w:rPr>
            </w:pPr>
            <w:r>
              <w:rPr>
                <w:rFonts w:hint="eastAsia" w:ascii="仿宋" w:hAnsi="仿宋" w:cs="仿宋"/>
              </w:rPr>
              <w:t>（一）教师端</w:t>
            </w:r>
          </w:p>
          <w:p>
            <w:pPr>
              <w:widowControl/>
              <w:rPr>
                <w:rFonts w:hint="eastAsia" w:ascii="仿宋" w:hAnsi="仿宋" w:cs="仿宋"/>
              </w:rPr>
            </w:pPr>
            <w:r>
              <w:rPr>
                <w:rFonts w:hint="eastAsia" w:ascii="仿宋" w:hAnsi="仿宋" w:cs="仿宋"/>
              </w:rPr>
              <w:t>可实现对实训班级和学生的管理、教学初始参数设置、日常教学进度查看、学生实训内容审核以及数据初始化处理等。</w:t>
            </w:r>
          </w:p>
          <w:p>
            <w:pPr>
              <w:widowControl/>
              <w:rPr>
                <w:rFonts w:hint="eastAsia" w:ascii="仿宋" w:hAnsi="仿宋" w:cs="仿宋"/>
              </w:rPr>
            </w:pPr>
            <w:r>
              <w:rPr>
                <w:rFonts w:hint="eastAsia" w:ascii="仿宋" w:hAnsi="仿宋" w:cs="仿宋"/>
              </w:rPr>
              <w:t>教师用户管理：可添加相应的教师账户，并对添加的教师账户进行角色权限赋予。</w:t>
            </w:r>
          </w:p>
          <w:p>
            <w:pPr>
              <w:widowControl/>
              <w:rPr>
                <w:rFonts w:hint="eastAsia" w:ascii="仿宋" w:hAnsi="仿宋" w:cs="仿宋"/>
              </w:rPr>
            </w:pPr>
            <w:r>
              <w:rPr>
                <w:rFonts w:hint="eastAsia" w:ascii="仿宋" w:hAnsi="仿宋" w:cs="仿宋"/>
              </w:rPr>
              <w:t>2、实战训练管理</w:t>
            </w:r>
          </w:p>
          <w:p>
            <w:pPr>
              <w:widowControl/>
              <w:rPr>
                <w:rFonts w:hint="eastAsia" w:ascii="仿宋" w:hAnsi="仿宋" w:cs="仿宋"/>
              </w:rPr>
            </w:pPr>
            <w:r>
              <w:rPr>
                <w:rFonts w:hint="eastAsia" w:ascii="仿宋" w:hAnsi="仿宋" w:cs="仿宋"/>
              </w:rPr>
              <w:t>（1）班级/学生管理:可进行班级建立，并对所有学生信息按班级进行归类管理，支持逐个新增及批量导入及删除；</w:t>
            </w:r>
          </w:p>
          <w:p>
            <w:pPr>
              <w:widowControl/>
              <w:rPr>
                <w:rFonts w:hint="eastAsia" w:ascii="仿宋" w:hAnsi="仿宋" w:cs="仿宋"/>
              </w:rPr>
            </w:pPr>
            <w:r>
              <w:rPr>
                <w:rFonts w:hint="eastAsia" w:ascii="仿宋" w:hAnsi="仿宋" w:cs="仿宋"/>
              </w:rPr>
              <w:t>（2）教学设置：</w:t>
            </w:r>
          </w:p>
          <w:p>
            <w:pPr>
              <w:widowControl/>
              <w:rPr>
                <w:rFonts w:hint="eastAsia" w:ascii="仿宋" w:hAnsi="仿宋" w:cs="仿宋"/>
              </w:rPr>
            </w:pPr>
            <w:r>
              <w:rPr>
                <w:rFonts w:hint="eastAsia" w:ascii="仿宋" w:hAnsi="仿宋" w:cs="仿宋"/>
              </w:rPr>
              <w:t>▲①虚拟时间管理：可实现对教学系统进行模拟时间的初始设置，支持实训过程中各涉税环节的虚拟时间轴管理，保障各环节的数据按照当前社会企业真实的涉税业务办理方式以及在系统中的数据流传过程进行实时流转、实时同步，让学生切实感受到动态数据下的实践操作，更深刻地理解不同涉税业务的设计原理和操作要点以及跨部门跨业务系统间的办理逻辑及操作要点；</w:t>
            </w:r>
          </w:p>
          <w:p>
            <w:pPr>
              <w:widowControl/>
              <w:rPr>
                <w:rFonts w:hint="eastAsia" w:ascii="仿宋" w:hAnsi="仿宋" w:cs="仿宋"/>
              </w:rPr>
            </w:pPr>
            <w:r>
              <w:rPr>
                <w:rFonts w:hint="eastAsia" w:ascii="仿宋" w:hAnsi="仿宋" w:cs="仿宋"/>
              </w:rPr>
              <w:t>②税费及自动审核设定：可支持结合当地的实际税收、社保政策，设定教学中使用的相关税种减征比例、社保费缴纳比例等；同时支持对业务系统形成的相关业务流程进行审核设定。</w:t>
            </w:r>
          </w:p>
          <w:p>
            <w:pPr>
              <w:widowControl/>
              <w:rPr>
                <w:rFonts w:hint="eastAsia" w:ascii="仿宋" w:hAnsi="仿宋" w:cs="仿宋"/>
              </w:rPr>
            </w:pPr>
            <w:r>
              <w:rPr>
                <w:rFonts w:hint="eastAsia" w:ascii="仿宋" w:hAnsi="仿宋" w:cs="仿宋"/>
              </w:rPr>
              <w:t>▲③税费种认定登记：可实现对班级下学生的企业进行税费种认定登记，且高度仿真当前社会企业的税费种认定流程，充分理解电子税务涉税业务的全流程，同时针对学生操作的业务可支持手动审核和自动审核的设置选择。</w:t>
            </w:r>
          </w:p>
          <w:p>
            <w:pPr>
              <w:widowControl/>
              <w:rPr>
                <w:rFonts w:hint="eastAsia" w:ascii="仿宋" w:hAnsi="仿宋" w:cs="仿宋"/>
              </w:rPr>
            </w:pPr>
            <w:r>
              <w:rPr>
                <w:rFonts w:hint="eastAsia" w:ascii="仿宋" w:hAnsi="仿宋" w:cs="仿宋"/>
              </w:rPr>
              <w:t>（3）企业信息：可实现按照班级导入系统内置案例或按班级自行添加新企业信息后进行模拟训练。</w:t>
            </w:r>
          </w:p>
          <w:p>
            <w:pPr>
              <w:widowControl/>
              <w:rPr>
                <w:rFonts w:hint="eastAsia" w:ascii="仿宋" w:hAnsi="仿宋" w:cs="仿宋"/>
              </w:rPr>
            </w:pPr>
            <w:r>
              <w:rPr>
                <w:rFonts w:hint="eastAsia" w:ascii="仿宋" w:hAnsi="仿宋" w:cs="仿宋"/>
              </w:rPr>
              <w:t>（4）电子税务局：可支持在教师端按照班级名称查询该班级下学生办理电子税务局相关事务性业务的进度；在手动审核模式下可对学生相关业务进行审核。</w:t>
            </w:r>
          </w:p>
          <w:p>
            <w:pPr>
              <w:widowControl/>
              <w:rPr>
                <w:rFonts w:hint="eastAsia" w:ascii="仿宋" w:hAnsi="仿宋" w:cs="仿宋"/>
              </w:rPr>
            </w:pPr>
            <w:r>
              <w:rPr>
                <w:rFonts w:hint="eastAsia" w:ascii="仿宋" w:hAnsi="仿宋" w:cs="仿宋"/>
              </w:rPr>
              <w:t>（5）税务数字账户管理：可查看学生模拟企业授信额度数据、红字发票申请表数据及进项发票勾选情况；在手动审核模式下则可对学生提交的授信额度变更申请进行审批。</w:t>
            </w:r>
          </w:p>
          <w:p>
            <w:pPr>
              <w:widowControl/>
              <w:rPr>
                <w:rFonts w:hint="eastAsia" w:ascii="仿宋" w:hAnsi="仿宋" w:cs="仿宋"/>
              </w:rPr>
            </w:pPr>
            <w:r>
              <w:rPr>
                <w:rFonts w:hint="eastAsia" w:ascii="仿宋" w:hAnsi="仿宋" w:cs="仿宋"/>
              </w:rPr>
              <w:t>▲（6）系统初始化：可实现对选中班级的所有系统操作数据进行一键清除，但保留该班级及学生信息,一键清除数据后的班级和学生可再次重新开始训练。</w:t>
            </w:r>
          </w:p>
          <w:p>
            <w:pPr>
              <w:widowControl/>
              <w:rPr>
                <w:rFonts w:hint="eastAsia" w:ascii="仿宋" w:hAnsi="仿宋" w:cs="仿宋"/>
              </w:rPr>
            </w:pPr>
            <w:r>
              <w:rPr>
                <w:rFonts w:hint="eastAsia" w:ascii="仿宋" w:hAnsi="仿宋" w:cs="仿宋"/>
              </w:rPr>
              <w:t>▲3、实训管理：可按班级查看学生模拟企业在电子税务局中申报进度，如使用系统内置案例进行实训则可查看班级下学生已填报完成的各项申报表中的错误项，便于授课讲师分析学员学习成果。</w:t>
            </w:r>
          </w:p>
          <w:p>
            <w:pPr>
              <w:widowControl/>
              <w:rPr>
                <w:rFonts w:hint="eastAsia" w:ascii="仿宋" w:hAnsi="仿宋" w:cs="仿宋"/>
              </w:rPr>
            </w:pPr>
            <w:r>
              <w:rPr>
                <w:rFonts w:hint="eastAsia" w:ascii="仿宋" w:hAnsi="仿宋" w:cs="仿宋"/>
              </w:rPr>
              <w:t>▲4、考试发布：可在课程结束后通过考试发布下发系统内置试卷进行课后考核，并在学生交卷后可查看考核成绩。</w:t>
            </w:r>
          </w:p>
          <w:p>
            <w:pPr>
              <w:widowControl/>
              <w:rPr>
                <w:rFonts w:hint="eastAsia" w:ascii="仿宋" w:hAnsi="仿宋" w:cs="仿宋"/>
              </w:rPr>
            </w:pPr>
            <w:r>
              <w:rPr>
                <w:rFonts w:hint="eastAsia" w:ascii="仿宋" w:hAnsi="仿宋" w:cs="仿宋"/>
              </w:rPr>
              <w:t>（二）学生端</w:t>
            </w:r>
          </w:p>
          <w:p>
            <w:pPr>
              <w:widowControl/>
              <w:rPr>
                <w:rFonts w:hint="eastAsia" w:ascii="仿宋" w:hAnsi="仿宋" w:cs="仿宋"/>
              </w:rPr>
            </w:pPr>
            <w:r>
              <w:rPr>
                <w:rFonts w:hint="eastAsia" w:ascii="仿宋" w:hAnsi="仿宋" w:cs="仿宋"/>
              </w:rPr>
              <w:t>A.实战训练-模拟企业电子税务局系统</w:t>
            </w:r>
          </w:p>
          <w:p>
            <w:pPr>
              <w:widowControl/>
              <w:rPr>
                <w:rFonts w:hint="eastAsia" w:ascii="仿宋" w:hAnsi="仿宋" w:cs="仿宋"/>
              </w:rPr>
            </w:pPr>
            <w:r>
              <w:rPr>
                <w:rFonts w:hint="eastAsia" w:ascii="仿宋" w:hAnsi="仿宋" w:cs="仿宋"/>
              </w:rPr>
              <w:t>模拟企业电子税务局系统可实现让学生掌握相关税务行政事项办理、各税种的纳税申报、年度所得税的汇算清缴、开票业务、税务数字账户等网上涉税业务。</w:t>
            </w:r>
          </w:p>
          <w:p>
            <w:pPr>
              <w:widowControl/>
              <w:rPr>
                <w:rFonts w:hint="eastAsia" w:ascii="仿宋" w:hAnsi="仿宋" w:cs="仿宋"/>
              </w:rPr>
            </w:pPr>
            <w:r>
              <w:rPr>
                <w:rFonts w:hint="eastAsia" w:ascii="仿宋" w:hAnsi="仿宋" w:cs="仿宋"/>
              </w:rPr>
              <w:t>1.综合信息报告：可实现让学生自主进行各项登记信息的填报操作，包含一照一码信息变更、变更税务登记事项、增值税一般纳税人登记、财会制度及核算软件备案、税务注销预检和办理，城镇土地使用税、房产税、契税等税源明细采集。</w:t>
            </w:r>
          </w:p>
          <w:p>
            <w:pPr>
              <w:widowControl/>
              <w:rPr>
                <w:rFonts w:hint="eastAsia" w:ascii="仿宋" w:hAnsi="仿宋" w:cs="仿宋"/>
              </w:rPr>
            </w:pPr>
            <w:r>
              <w:rPr>
                <w:rFonts w:hint="eastAsia" w:ascii="仿宋" w:hAnsi="仿宋" w:cs="仿宋"/>
              </w:rPr>
              <w:t>2.模拟税费申报与缴纳:可实现学生自主在电子税务局中完成税费申报与缴纳操作。涉及的申报税种包括增值税一般纳税人月度申报、增值税小规模纳税人月（季）度申报、消费税月度申报、居民企业所得税月（季）度申报、居民企业所得税年度申报、城建税、教育费附加、地方教育费附加税（费）申报、印花税申报、房产税 城镇土地使用税申报、契税申报、逾期申报、财务报表月（季）申报、财务报表年报申报以及相应的税费缴纳（含申报及更正）。</w:t>
            </w:r>
          </w:p>
          <w:p>
            <w:pPr>
              <w:widowControl/>
              <w:rPr>
                <w:rFonts w:hint="eastAsia" w:ascii="仿宋" w:hAnsi="仿宋" w:cs="仿宋"/>
              </w:rPr>
            </w:pPr>
            <w:r>
              <w:rPr>
                <w:rFonts w:hint="eastAsia" w:ascii="仿宋" w:hAnsi="仿宋" w:cs="仿宋"/>
              </w:rPr>
              <w:t>3.模拟税务行政许可：可实现让学生了解税务行政可办理流程、注意事项等。主要涉及的业务范围包括对纳税人延期申报的核准、对纳税人延期缴纳税款的核准。</w:t>
            </w:r>
          </w:p>
          <w:p>
            <w:pPr>
              <w:widowControl/>
              <w:rPr>
                <w:rFonts w:hint="eastAsia" w:ascii="仿宋" w:hAnsi="仿宋" w:cs="仿宋"/>
              </w:rPr>
            </w:pPr>
            <w:r>
              <w:rPr>
                <w:rFonts w:hint="eastAsia" w:ascii="仿宋" w:hAnsi="仿宋" w:cs="仿宋"/>
              </w:rPr>
              <w:t>4.开票业务：</w:t>
            </w:r>
          </w:p>
          <w:p>
            <w:pPr>
              <w:widowControl/>
              <w:rPr>
                <w:rFonts w:hint="eastAsia" w:ascii="仿宋" w:hAnsi="仿宋" w:cs="仿宋"/>
              </w:rPr>
            </w:pPr>
            <w:r>
              <w:rPr>
                <w:rFonts w:hint="eastAsia" w:ascii="仿宋" w:hAnsi="仿宋" w:cs="仿宋"/>
              </w:rPr>
              <w:t>（1）蓝字发票功能：主要包括发票数据概览和发票填开功能。</w:t>
            </w:r>
          </w:p>
          <w:p>
            <w:pPr>
              <w:widowControl/>
              <w:rPr>
                <w:rFonts w:hint="eastAsia" w:ascii="仿宋" w:hAnsi="仿宋" w:cs="仿宋"/>
              </w:rPr>
            </w:pPr>
            <w:r>
              <w:rPr>
                <w:rFonts w:hint="eastAsia" w:ascii="仿宋" w:hAnsi="仿宋" w:cs="仿宋"/>
              </w:rPr>
              <w:t>①立即开票、复制发票；通过立即开票功能可开具“电子发票（增值税专用发票）”、“电子发票（普通发票）”，包含特定业务开票、差额开票、票面及信息显示，通知已开具的发票可通过复制发票功能完成发票复制开具操作，发票开具完成后，可通过pdf格式下载并保存。</w:t>
            </w:r>
          </w:p>
          <w:p>
            <w:pPr>
              <w:widowControl/>
              <w:rPr>
                <w:rFonts w:hint="eastAsia" w:ascii="仿宋" w:hAnsi="仿宋" w:cs="仿宋"/>
              </w:rPr>
            </w:pPr>
            <w:r>
              <w:rPr>
                <w:rFonts w:hint="eastAsia" w:ascii="仿宋" w:hAnsi="仿宋" w:cs="仿宋"/>
              </w:rPr>
              <w:t>②特定业务开票：可实现建筑服务、货物运输服务、不动产销售服务、不动产经营租赁服务、旅客运输服务、差额发票等特定业务发票的开具功能。</w:t>
            </w:r>
          </w:p>
          <w:p>
            <w:pPr>
              <w:widowControl/>
              <w:rPr>
                <w:rFonts w:hint="eastAsia" w:ascii="仿宋" w:hAnsi="仿宋" w:cs="仿宋"/>
              </w:rPr>
            </w:pPr>
            <w:r>
              <w:rPr>
                <w:rFonts w:hint="eastAsia" w:ascii="仿宋" w:hAnsi="仿宋" w:cs="仿宋"/>
              </w:rPr>
              <w:t>（2）红字发票功能：包括数据概览、红字发票业务信息、红字发票信息录入及处理、红字发票填开、确认信息处理及开具。</w:t>
            </w:r>
          </w:p>
          <w:p>
            <w:pPr>
              <w:widowControl/>
              <w:rPr>
                <w:rFonts w:hint="eastAsia" w:ascii="仿宋" w:hAnsi="仿宋" w:cs="仿宋"/>
              </w:rPr>
            </w:pPr>
            <w:r>
              <w:rPr>
                <w:rFonts w:hint="eastAsia" w:ascii="仿宋" w:hAnsi="仿宋" w:cs="仿宋"/>
              </w:rPr>
              <w:t>▲①蓝字全电发票开具后受票方企业未对该张发票进入勾选或入账操作，只能由开票方企业进行红字发票确认信息录入，再根据红字确认信息完成红字全电发票开具操作；</w:t>
            </w:r>
          </w:p>
          <w:p>
            <w:pPr>
              <w:widowControl/>
              <w:rPr>
                <w:rFonts w:hint="eastAsia" w:ascii="仿宋" w:hAnsi="仿宋" w:cs="仿宋"/>
              </w:rPr>
            </w:pPr>
            <w:r>
              <w:rPr>
                <w:rFonts w:hint="eastAsia" w:ascii="仿宋" w:hAnsi="仿宋" w:cs="仿宋"/>
              </w:rPr>
              <w:t>▲②蓝字全电发票开具后受票方企业对该张发票进行了勾选或入账操作，则双方企业中任意一方可进行红字发票确认信息录入，一方录入后，必须由另一方企业进行确认，确认完毕后由开票方企业根据红字确认信息方可完成红字全电发票开具。</w:t>
            </w:r>
          </w:p>
          <w:p>
            <w:pPr>
              <w:widowControl/>
              <w:rPr>
                <w:rFonts w:hint="eastAsia" w:ascii="仿宋" w:hAnsi="仿宋" w:cs="仿宋"/>
              </w:rPr>
            </w:pPr>
            <w:r>
              <w:rPr>
                <w:rFonts w:hint="eastAsia" w:ascii="仿宋" w:hAnsi="仿宋" w:cs="仿宋"/>
              </w:rPr>
              <w:t>开票信息维护：包括项目信息维护及管理、客户信息维护及管理、附加信息维护及管理，在开票信息维护中添加的项目信息、客户信息及附加信息，可直接在发票开具页面进行相关数据的调用。</w:t>
            </w:r>
          </w:p>
          <w:p>
            <w:pPr>
              <w:widowControl/>
              <w:rPr>
                <w:rFonts w:hint="eastAsia" w:ascii="仿宋" w:hAnsi="仿宋" w:cs="仿宋"/>
              </w:rPr>
            </w:pPr>
            <w:r>
              <w:rPr>
                <w:rFonts w:hint="eastAsia" w:ascii="仿宋" w:hAnsi="仿宋" w:cs="仿宋"/>
              </w:rPr>
              <w:t>5.税务数字账户</w:t>
            </w:r>
          </w:p>
          <w:p>
            <w:pPr>
              <w:widowControl/>
              <w:rPr>
                <w:rFonts w:hint="eastAsia" w:ascii="仿宋" w:hAnsi="仿宋" w:cs="仿宋"/>
              </w:rPr>
            </w:pPr>
            <w:r>
              <w:rPr>
                <w:rFonts w:hint="eastAsia" w:ascii="仿宋" w:hAnsi="仿宋" w:cs="仿宋"/>
              </w:rPr>
              <w:t>业务办理：</w:t>
            </w:r>
          </w:p>
          <w:p>
            <w:pPr>
              <w:widowControl/>
              <w:rPr>
                <w:rFonts w:hint="eastAsia" w:ascii="仿宋" w:hAnsi="仿宋" w:cs="仿宋"/>
              </w:rPr>
            </w:pPr>
            <w:r>
              <w:rPr>
                <w:rFonts w:hint="eastAsia" w:ascii="仿宋" w:hAnsi="仿宋" w:cs="仿宋"/>
              </w:rPr>
              <w:t>▲①发票勾选确认：可对取得的进项发票（进项发票可在税务数字账户导入或由其他企业为当前企业开具）按照税款所属期查询，并执行逐票勾选（或同时勾选多份发票）的操作，还可以执行查询条件、发票勾选确认、撤销勾选、不抵扣勾选、统计确认等。</w:t>
            </w:r>
          </w:p>
          <w:p>
            <w:pPr>
              <w:widowControl/>
              <w:rPr>
                <w:rFonts w:hint="eastAsia" w:ascii="仿宋" w:hAnsi="仿宋" w:cs="仿宋"/>
              </w:rPr>
            </w:pPr>
            <w:r>
              <w:rPr>
                <w:rFonts w:hint="eastAsia" w:ascii="仿宋" w:hAnsi="仿宋" w:cs="仿宋"/>
              </w:rPr>
              <w:t>②发票统计查询：支持全量发票查询，包括教学系统学生端开具的所有蓝字发票和红字发票，以及纳税人取得的进项发票；支持未到勾选日期发票查询，即开票日期晚于当前抵扣勾选页面税款所属期的发票。</w:t>
            </w:r>
          </w:p>
          <w:p>
            <w:pPr>
              <w:widowControl/>
              <w:rPr>
                <w:rFonts w:hint="eastAsia" w:ascii="仿宋" w:hAnsi="仿宋" w:cs="仿宋"/>
              </w:rPr>
            </w:pPr>
            <w:r>
              <w:rPr>
                <w:rFonts w:hint="eastAsia" w:ascii="仿宋" w:hAnsi="仿宋" w:cs="仿宋"/>
              </w:rPr>
              <w:t>③发票查验：支持查验纳税人取得发票的真伪。可以手工查验、上传查验及批量查验。</w:t>
            </w:r>
          </w:p>
          <w:p>
            <w:pPr>
              <w:widowControl/>
              <w:rPr>
                <w:rFonts w:hint="eastAsia" w:ascii="仿宋" w:hAnsi="仿宋" w:cs="仿宋"/>
              </w:rPr>
            </w:pPr>
            <w:r>
              <w:rPr>
                <w:rFonts w:hint="eastAsia" w:ascii="仿宋" w:hAnsi="仿宋" w:cs="仿宋"/>
              </w:rPr>
              <w:t>④红字信息确认单：功能与开票业务中红字发票申请确认一致。</w:t>
            </w:r>
          </w:p>
          <w:p>
            <w:pPr>
              <w:widowControl/>
              <w:rPr>
                <w:rFonts w:hint="eastAsia" w:ascii="仿宋" w:hAnsi="仿宋" w:cs="仿宋"/>
              </w:rPr>
            </w:pPr>
            <w:r>
              <w:rPr>
                <w:rFonts w:hint="eastAsia" w:ascii="仿宋" w:hAnsi="仿宋" w:cs="仿宋"/>
              </w:rPr>
              <w:t>▲⑤授信额度调整申请：支持授信额度调整的申请操作，可申请短期额度调整或长期额度调整。</w:t>
            </w:r>
          </w:p>
          <w:p>
            <w:pPr>
              <w:widowControl/>
              <w:rPr>
                <w:rFonts w:hint="eastAsia" w:ascii="仿宋" w:hAnsi="仿宋" w:cs="仿宋"/>
              </w:rPr>
            </w:pPr>
            <w:r>
              <w:rPr>
                <w:rFonts w:hint="eastAsia" w:ascii="仿宋" w:hAnsi="仿宋" w:cs="仿宋"/>
              </w:rPr>
              <w:t>⑥发票入账标识：对取得的发票进行入账操作，防止取得的发票重复入账，入账时可以选择企业所得税前扣除或不扣除。支持手工入账、批量入账和入账调整。</w:t>
            </w:r>
          </w:p>
          <w:p>
            <w:pPr>
              <w:widowControl/>
              <w:rPr>
                <w:rFonts w:hint="eastAsia" w:ascii="仿宋" w:hAnsi="仿宋" w:cs="仿宋"/>
              </w:rPr>
            </w:pPr>
            <w:r>
              <w:rPr>
                <w:rFonts w:hint="eastAsia" w:ascii="仿宋" w:hAnsi="仿宋" w:cs="仿宋"/>
              </w:rPr>
              <w:t>（2）开票业务：可用授信额度调整、显示当前蓝字发票开具金额统计、红字发票开具金额统计；</w:t>
            </w:r>
          </w:p>
          <w:p>
            <w:pPr>
              <w:widowControl/>
              <w:rPr>
                <w:rFonts w:hint="eastAsia" w:ascii="仿宋" w:hAnsi="仿宋" w:cs="仿宋"/>
              </w:rPr>
            </w:pPr>
            <w:r>
              <w:rPr>
                <w:rFonts w:hint="eastAsia" w:ascii="仿宋" w:hAnsi="仿宋" w:cs="仿宋"/>
              </w:rPr>
              <w:t>（3）用票业务：当前已勾选增值税金额统计、已确认增值税金额统计。</w:t>
            </w:r>
          </w:p>
          <w:p>
            <w:pPr>
              <w:widowControl/>
              <w:rPr>
                <w:rFonts w:hint="eastAsia" w:ascii="仿宋" w:hAnsi="仿宋" w:cs="仿宋"/>
              </w:rPr>
            </w:pPr>
            <w:r>
              <w:rPr>
                <w:rFonts w:hint="eastAsia" w:ascii="仿宋" w:hAnsi="仿宋" w:cs="仿宋"/>
              </w:rPr>
              <w:t>6.模拟自然人电子税务局系统：主要用于让学生掌握企业为员工办理各类所得代扣代缴申报的业务处理和操作流程，包括以下功能；</w:t>
            </w:r>
          </w:p>
          <w:p>
            <w:pPr>
              <w:widowControl/>
              <w:rPr>
                <w:rFonts w:hint="eastAsia" w:ascii="仿宋" w:hAnsi="仿宋" w:cs="仿宋"/>
              </w:rPr>
            </w:pPr>
            <w:r>
              <w:rPr>
                <w:rFonts w:hint="eastAsia" w:ascii="仿宋" w:hAnsi="仿宋" w:cs="仿宋"/>
              </w:rPr>
              <w:t>（1）人员信息采集</w:t>
            </w:r>
          </w:p>
          <w:p>
            <w:pPr>
              <w:widowControl/>
              <w:rPr>
                <w:rFonts w:hint="eastAsia" w:ascii="仿宋" w:hAnsi="仿宋" w:cs="仿宋"/>
              </w:rPr>
            </w:pPr>
            <w:r>
              <w:rPr>
                <w:rFonts w:hint="eastAsia" w:ascii="仿宋" w:hAnsi="仿宋" w:cs="仿宋"/>
              </w:rPr>
              <w:t>可实现对模拟设立的企业有劳动关系及劳务关系的人员信息录入及修改，当人员信息量较少时可通过“添加”功能逐个录入，当人员信息较多时可通过模板批量导入。</w:t>
            </w:r>
          </w:p>
          <w:p>
            <w:pPr>
              <w:widowControl/>
              <w:rPr>
                <w:rFonts w:hint="eastAsia" w:ascii="仿宋" w:hAnsi="仿宋" w:cs="仿宋"/>
              </w:rPr>
            </w:pPr>
            <w:r>
              <w:rPr>
                <w:rFonts w:hint="eastAsia" w:ascii="仿宋" w:hAnsi="仿宋" w:cs="仿宋"/>
              </w:rPr>
              <w:t>专项附加扣除（最新）</w:t>
            </w:r>
          </w:p>
          <w:p>
            <w:pPr>
              <w:widowControl/>
              <w:rPr>
                <w:rFonts w:hint="eastAsia" w:ascii="仿宋" w:hAnsi="仿宋" w:cs="仿宋"/>
              </w:rPr>
            </w:pPr>
            <w:r>
              <w:rPr>
                <w:rFonts w:hint="eastAsia" w:ascii="仿宋" w:hAnsi="仿宋" w:cs="仿宋"/>
              </w:rPr>
              <w:t>①子女教育支出：可填写、导入和修改本企业员工子女教育支出的扣除信息。</w:t>
            </w:r>
          </w:p>
          <w:p>
            <w:pPr>
              <w:widowControl/>
              <w:rPr>
                <w:rFonts w:hint="eastAsia" w:ascii="仿宋" w:hAnsi="仿宋" w:cs="仿宋"/>
              </w:rPr>
            </w:pPr>
            <w:r>
              <w:rPr>
                <w:rFonts w:hint="eastAsia" w:ascii="仿宋" w:hAnsi="仿宋" w:cs="仿宋"/>
              </w:rPr>
              <w:t>▲②三岁以下婴幼儿照护：可填写、导入和修改本企业员工三岁以下婴幼儿照护的税前扣除信息，且该项专项附加扣除从2022年度开始执行。</w:t>
            </w:r>
          </w:p>
          <w:p>
            <w:pPr>
              <w:widowControl/>
              <w:rPr>
                <w:rFonts w:hint="eastAsia" w:ascii="仿宋" w:hAnsi="仿宋" w:cs="仿宋"/>
              </w:rPr>
            </w:pPr>
            <w:r>
              <w:rPr>
                <w:rFonts w:hint="eastAsia" w:ascii="仿宋" w:hAnsi="仿宋" w:cs="仿宋"/>
              </w:rPr>
              <w:t>③学历学位证书：可填写、导入和修改本企业员工当前学历学位证书类继续教育支出的扣除信息。</w:t>
            </w:r>
          </w:p>
          <w:p>
            <w:pPr>
              <w:widowControl/>
              <w:rPr>
                <w:rFonts w:hint="eastAsia" w:ascii="仿宋" w:hAnsi="仿宋" w:cs="仿宋"/>
              </w:rPr>
            </w:pPr>
            <w:r>
              <w:rPr>
                <w:rFonts w:hint="eastAsia" w:ascii="仿宋" w:hAnsi="仿宋" w:cs="仿宋"/>
              </w:rPr>
              <w:t>④职业资格证书：可填写、导入和修改本企业员工本年度取得职业资格证书扣除信息。</w:t>
            </w:r>
          </w:p>
          <w:p>
            <w:pPr>
              <w:widowControl/>
              <w:rPr>
                <w:rFonts w:hint="eastAsia" w:ascii="仿宋" w:hAnsi="仿宋" w:cs="仿宋"/>
              </w:rPr>
            </w:pPr>
            <w:r>
              <w:rPr>
                <w:rFonts w:hint="eastAsia" w:ascii="仿宋" w:hAnsi="仿宋" w:cs="仿宋"/>
              </w:rPr>
              <w:t>⑤住房租金支出：可填写、导入和修改本企业员工租房租金支出的扣除信息。</w:t>
            </w:r>
          </w:p>
          <w:p>
            <w:pPr>
              <w:widowControl/>
              <w:rPr>
                <w:rFonts w:hint="eastAsia" w:ascii="仿宋" w:hAnsi="仿宋" w:cs="仿宋"/>
              </w:rPr>
            </w:pPr>
            <w:r>
              <w:rPr>
                <w:rFonts w:hint="eastAsia" w:ascii="仿宋" w:hAnsi="仿宋" w:cs="仿宋"/>
              </w:rPr>
              <w:t>⑥住房贷款利息支出：可填写、导入和修改本企业员工贷款购买首套住房利息支出的扣除信息。</w:t>
            </w:r>
          </w:p>
          <w:p>
            <w:pPr>
              <w:widowControl/>
              <w:rPr>
                <w:rFonts w:hint="eastAsia" w:ascii="仿宋" w:hAnsi="仿宋" w:cs="仿宋"/>
              </w:rPr>
            </w:pPr>
            <w:r>
              <w:rPr>
                <w:rFonts w:hint="eastAsia" w:ascii="仿宋" w:hAnsi="仿宋" w:cs="仿宋"/>
              </w:rPr>
              <w:t>⑦赡养老人支出：可填写、导入和修改本企业员工赡养老人支出的扣除信息。</w:t>
            </w:r>
          </w:p>
          <w:p>
            <w:pPr>
              <w:widowControl/>
              <w:rPr>
                <w:rFonts w:hint="eastAsia" w:ascii="仿宋" w:hAnsi="仿宋" w:cs="仿宋"/>
              </w:rPr>
            </w:pPr>
            <w:r>
              <w:rPr>
                <w:rFonts w:hint="eastAsia" w:ascii="仿宋" w:hAnsi="仿宋" w:cs="仿宋"/>
              </w:rPr>
              <w:t>（3）综合所得申报</w:t>
            </w:r>
          </w:p>
          <w:p>
            <w:pPr>
              <w:widowControl/>
              <w:rPr>
                <w:rFonts w:hint="eastAsia" w:ascii="仿宋" w:hAnsi="仿宋" w:cs="仿宋"/>
              </w:rPr>
            </w:pPr>
            <w:r>
              <w:rPr>
                <w:rFonts w:hint="eastAsia" w:ascii="仿宋" w:hAnsi="仿宋" w:cs="仿宋"/>
              </w:rPr>
              <w:t>①正常工资薪金所得：填写本企业员工工资收入及各项扣除信息后为员工按月进行个税申报及代扣代缴。</w:t>
            </w:r>
          </w:p>
          <w:p>
            <w:pPr>
              <w:widowControl/>
              <w:rPr>
                <w:rFonts w:hint="eastAsia" w:ascii="仿宋" w:hAnsi="仿宋" w:cs="仿宋"/>
              </w:rPr>
            </w:pPr>
            <w:r>
              <w:rPr>
                <w:rFonts w:hint="eastAsia" w:ascii="仿宋" w:hAnsi="仿宋" w:cs="仿宋"/>
              </w:rPr>
              <w:t>②全年一次性奖金：填写本企业员工年终奖金收入及各项扣除信息后为员工进行个税申报及代扣代缴。</w:t>
            </w:r>
          </w:p>
          <w:p>
            <w:pPr>
              <w:widowControl/>
              <w:rPr>
                <w:rFonts w:hint="eastAsia" w:ascii="仿宋" w:hAnsi="仿宋" w:cs="仿宋"/>
              </w:rPr>
            </w:pPr>
            <w:r>
              <w:rPr>
                <w:rFonts w:hint="eastAsia" w:ascii="仿宋" w:hAnsi="仿宋" w:cs="仿宋"/>
              </w:rPr>
              <w:t>③劳务报酬所得：填写本企业劳务关系人员本次劳务报酬收入及各项扣除信息后为该人员进行个税申报及代扣代缴。</w:t>
            </w:r>
          </w:p>
          <w:p>
            <w:pPr>
              <w:widowControl/>
              <w:rPr>
                <w:rFonts w:hint="eastAsia" w:ascii="仿宋" w:hAnsi="仿宋" w:cs="仿宋"/>
              </w:rPr>
            </w:pPr>
            <w:r>
              <w:rPr>
                <w:rFonts w:hint="eastAsia" w:ascii="仿宋" w:hAnsi="仿宋" w:cs="仿宋"/>
              </w:rPr>
              <w:t>（4）分类所得申报</w:t>
            </w:r>
          </w:p>
          <w:p>
            <w:pPr>
              <w:widowControl/>
              <w:rPr>
                <w:rFonts w:hint="eastAsia" w:ascii="仿宋" w:hAnsi="仿宋" w:cs="仿宋"/>
              </w:rPr>
            </w:pPr>
            <w:r>
              <w:rPr>
                <w:rFonts w:hint="eastAsia" w:ascii="仿宋" w:hAnsi="仿宋" w:cs="仿宋"/>
              </w:rPr>
              <w:t>股息利息红利所得：填写本企业员工取得股息、利息、红利收入及各项扣除信息后为员工进行个税申报及代扣代缴。</w:t>
            </w:r>
          </w:p>
          <w:p>
            <w:pPr>
              <w:widowControl/>
              <w:rPr>
                <w:rFonts w:hint="eastAsia" w:ascii="仿宋" w:hAnsi="仿宋" w:cs="仿宋"/>
              </w:rPr>
            </w:pPr>
            <w:r>
              <w:rPr>
                <w:rFonts w:hint="eastAsia" w:ascii="仿宋" w:hAnsi="仿宋" w:cs="仿宋"/>
              </w:rPr>
              <w:t>（5）三方协议扣款：可实现为已申报但未缴税款的申报表进行税款补扣。</w:t>
            </w:r>
          </w:p>
          <w:p>
            <w:pPr>
              <w:widowControl/>
              <w:rPr>
                <w:rFonts w:hint="eastAsia" w:ascii="仿宋" w:hAnsi="仿宋" w:cs="仿宋"/>
              </w:rPr>
            </w:pPr>
            <w:r>
              <w:rPr>
                <w:rFonts w:hint="eastAsia" w:ascii="仿宋" w:hAnsi="仿宋" w:cs="仿宋"/>
              </w:rPr>
              <w:t>（6）历史查询：可实现查询历年申报表及税款缴纳情况。</w:t>
            </w:r>
          </w:p>
          <w:p>
            <w:pPr>
              <w:widowControl/>
              <w:rPr>
                <w:rFonts w:hint="eastAsia" w:ascii="仿宋" w:hAnsi="仿宋" w:cs="仿宋"/>
              </w:rPr>
            </w:pPr>
            <w:r>
              <w:rPr>
                <w:rFonts w:hint="eastAsia" w:ascii="仿宋" w:hAnsi="仿宋" w:cs="仿宋"/>
              </w:rPr>
              <w:t>（7）完税证明：可实现对已申报并扣款成功的申报表自行申请开具完税证明。</w:t>
            </w:r>
          </w:p>
          <w:p>
            <w:pPr>
              <w:widowControl/>
              <w:rPr>
                <w:rFonts w:hint="eastAsia" w:ascii="仿宋" w:hAnsi="仿宋" w:cs="仿宋"/>
              </w:rPr>
            </w:pPr>
            <w:r>
              <w:rPr>
                <w:rFonts w:hint="eastAsia" w:ascii="仿宋" w:hAnsi="仿宋" w:cs="仿宋"/>
              </w:rPr>
              <w:t>（8）查询统计</w:t>
            </w:r>
          </w:p>
          <w:p>
            <w:pPr>
              <w:widowControl/>
              <w:rPr>
                <w:rFonts w:hint="eastAsia" w:ascii="仿宋" w:hAnsi="仿宋" w:cs="仿宋"/>
              </w:rPr>
            </w:pPr>
            <w:r>
              <w:rPr>
                <w:rFonts w:hint="eastAsia" w:ascii="仿宋" w:hAnsi="仿宋" w:cs="仿宋"/>
              </w:rPr>
              <w:t>①单位申报记录查询：可实现自主查询本单位历年申报信息。</w:t>
            </w:r>
          </w:p>
          <w:p>
            <w:pPr>
              <w:widowControl/>
              <w:rPr>
                <w:rFonts w:hint="eastAsia" w:ascii="仿宋" w:hAnsi="仿宋" w:cs="仿宋"/>
              </w:rPr>
            </w:pPr>
            <w:r>
              <w:rPr>
                <w:rFonts w:hint="eastAsia" w:ascii="仿宋" w:hAnsi="仿宋" w:cs="仿宋"/>
              </w:rPr>
              <w:t>②个人扣税明细查询：可实现查询和企业有劳动关系及劳务关系的某个人员的扣税信息。</w:t>
            </w:r>
          </w:p>
          <w:p>
            <w:pPr>
              <w:widowControl/>
              <w:rPr>
                <w:rFonts w:hint="eastAsia" w:ascii="仿宋" w:hAnsi="仿宋" w:cs="仿宋"/>
              </w:rPr>
            </w:pPr>
            <w:r>
              <w:rPr>
                <w:rFonts w:hint="eastAsia" w:ascii="仿宋" w:hAnsi="仿宋" w:cs="仿宋"/>
              </w:rPr>
              <w:t>B.我的考核</w:t>
            </w:r>
          </w:p>
          <w:p>
            <w:pPr>
              <w:widowControl/>
              <w:rPr>
                <w:rFonts w:hint="eastAsia" w:ascii="仿宋" w:hAnsi="仿宋" w:cs="仿宋"/>
              </w:rPr>
            </w:pPr>
            <w:r>
              <w:rPr>
                <w:rFonts w:hint="eastAsia" w:ascii="仿宋" w:hAnsi="仿宋" w:cs="仿宋"/>
              </w:rPr>
              <w:t>▲可实现在课程结束后，教师从教师端考试发布中下发试卷，下发完成后学生可在该模块可查看该试卷并进行答题，交卷后由系统自动计算成绩。学生可以针对已完成答题的试卷查看结果，同时支持重新进入考试页面答题。</w:t>
            </w:r>
          </w:p>
          <w:p>
            <w:pPr>
              <w:widowControl/>
              <w:rPr>
                <w:rFonts w:hint="eastAsia" w:ascii="仿宋" w:hAnsi="仿宋" w:cs="仿宋"/>
              </w:rPr>
            </w:pPr>
            <w:r>
              <w:rPr>
                <w:rFonts w:hint="eastAsia" w:ascii="仿宋" w:hAnsi="仿宋" w:cs="仿宋"/>
              </w:rPr>
              <w:t>C.我的实训管理</w:t>
            </w:r>
          </w:p>
          <w:p>
            <w:pPr>
              <w:widowControl/>
              <w:rPr>
                <w:rFonts w:hint="eastAsia" w:ascii="仿宋" w:hAnsi="仿宋" w:cs="仿宋"/>
              </w:rPr>
            </w:pPr>
            <w:r>
              <w:rPr>
                <w:rFonts w:hint="eastAsia" w:ascii="仿宋" w:hAnsi="仿宋" w:cs="仿宋"/>
              </w:rPr>
              <w:t>▲学生可查看当前登录账号中电子税务局申报进度；系统中内置三套案例，如使用系统内置案例进行实训时则针对当前登录账号已填报完成的各申报表平台自动校验数据正误，填写有误的地方，平台将作出标识，并提示正确结果。便于学生了解自身问题。</w:t>
            </w:r>
          </w:p>
        </w:tc>
      </w:tr>
    </w:tbl>
    <w:p>
      <w:pPr>
        <w:ind w:firstLine="420" w:firstLineChars="200"/>
        <w:rPr>
          <w:rFonts w:hint="eastAsia" w:ascii="宋体" w:hAnsi="宋体" w:cs="宋体"/>
          <w:b w:val="0"/>
          <w:bCs/>
        </w:rPr>
      </w:pPr>
    </w:p>
    <w:p>
      <w:pPr>
        <w:ind w:firstLine="420" w:firstLineChars="200"/>
        <w:rPr>
          <w:b w:val="0"/>
          <w:bCs/>
          <w:szCs w:val="21"/>
        </w:rPr>
      </w:pPr>
      <w:r>
        <w:rPr>
          <w:rFonts w:hint="eastAsia" w:ascii="宋体" w:hAnsi="宋体" w:cs="宋体"/>
          <w:b w:val="0"/>
          <w:bCs/>
        </w:rPr>
        <w:t>备注：</w:t>
      </w:r>
      <w:r>
        <w:rPr>
          <w:rFonts w:hint="eastAsia"/>
          <w:b w:val="0"/>
          <w:bCs/>
          <w:szCs w:val="21"/>
        </w:rPr>
        <w:t>1．带“</w:t>
      </w:r>
      <w:r>
        <w:rPr>
          <w:rFonts w:hint="eastAsia" w:ascii="宋体" w:hAnsi="宋体" w:cs="宋体"/>
          <w:b w:val="0"/>
          <w:bCs/>
          <w:szCs w:val="21"/>
        </w:rPr>
        <w:t>★</w:t>
      </w:r>
      <w:r>
        <w:rPr>
          <w:rFonts w:hint="eastAsia"/>
          <w:b w:val="0"/>
          <w:bCs/>
          <w:szCs w:val="21"/>
        </w:rPr>
        <w:t>”指标项为实质性条款，如出现负偏离，将被视为未实质性满足招标文件要求作投标无效处理。带“</w:t>
      </w:r>
      <w:r>
        <w:rPr>
          <w:b w:val="0"/>
          <w:bCs/>
        </w:rPr>
        <w:t>▲</w:t>
      </w:r>
      <w:r>
        <w:rPr>
          <w:rFonts w:hint="eastAsia"/>
          <w:b w:val="0"/>
          <w:bCs/>
          <w:szCs w:val="21"/>
        </w:rPr>
        <w:t xml:space="preserve">”指标项为重要参数，负偏离时依相关评分准则内容作重点扣分处理。 </w:t>
      </w:r>
    </w:p>
    <w:p>
      <w:pPr>
        <w:ind w:firstLine="420" w:firstLineChars="200"/>
        <w:rPr>
          <w:rFonts w:ascii="宋体" w:hAnsi="宋体" w:cs="宋体"/>
          <w:b w:val="0"/>
          <w:bCs/>
        </w:rPr>
      </w:pPr>
      <w:r>
        <w:rPr>
          <w:rFonts w:hint="eastAsia"/>
          <w:b w:val="0"/>
          <w:bCs/>
        </w:rPr>
        <w:t>2．评分时，如对一项招标技术要求中的内容存在两处（或以上）负偏离的，在评分时只作一项负偏离扣分</w:t>
      </w:r>
      <w:r>
        <w:rPr>
          <w:rFonts w:hint="eastAsia" w:ascii="宋体" w:hAnsi="宋体" w:cs="宋体"/>
          <w:b w:val="0"/>
          <w:bCs/>
        </w:rPr>
        <w:t>。</w:t>
      </w:r>
    </w:p>
    <w:p>
      <w:pPr>
        <w:pStyle w:val="15"/>
        <w:ind w:firstLine="422"/>
        <w:rPr>
          <w:rFonts w:ascii="宋体" w:hAnsi="宋体" w:cs="宋体"/>
          <w:b/>
        </w:rPr>
      </w:pPr>
    </w:p>
    <w:p>
      <w:pPr>
        <w:pStyle w:val="6"/>
        <w:spacing w:before="156" w:beforeLines="50" w:after="156" w:afterLines="50"/>
        <w:rPr>
          <w:rFonts w:cs="宋体"/>
          <w:szCs w:val="28"/>
        </w:rPr>
      </w:pPr>
      <w:r>
        <w:rPr>
          <w:rFonts w:hint="eastAsia" w:cs="宋体"/>
          <w:szCs w:val="28"/>
        </w:rPr>
        <w:t>四、商务需求</w:t>
      </w:r>
    </w:p>
    <w:tbl>
      <w:tblPr>
        <w:tblStyle w:val="16"/>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01"/>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28" w:type="dxa"/>
            <w:vAlign w:val="center"/>
          </w:tcPr>
          <w:p>
            <w:pPr>
              <w:jc w:val="center"/>
              <w:rPr>
                <w:rFonts w:hint="eastAsia" w:ascii="仿宋" w:hAnsi="仿宋" w:eastAsia="仿宋"/>
                <w:szCs w:val="21"/>
              </w:rPr>
            </w:pPr>
            <w:r>
              <w:rPr>
                <w:rFonts w:hint="eastAsia" w:ascii="仿宋" w:hAnsi="仿宋" w:eastAsia="仿宋"/>
                <w:szCs w:val="21"/>
              </w:rPr>
              <w:t>1</w:t>
            </w:r>
          </w:p>
        </w:tc>
        <w:tc>
          <w:tcPr>
            <w:tcW w:w="1701" w:type="dxa"/>
            <w:vAlign w:val="center"/>
          </w:tcPr>
          <w:p>
            <w:pPr>
              <w:jc w:val="center"/>
              <w:rPr>
                <w:rFonts w:hint="eastAsia" w:ascii="仿宋" w:hAnsi="仿宋" w:eastAsia="仿宋" w:cs="宋体"/>
                <w:kern w:val="0"/>
                <w:sz w:val="20"/>
                <w:szCs w:val="20"/>
              </w:rPr>
            </w:pPr>
            <w:r>
              <w:rPr>
                <w:rFonts w:hint="eastAsia" w:ascii="仿宋" w:hAnsi="仿宋" w:eastAsia="仿宋" w:cs="宋体"/>
                <w:kern w:val="0"/>
                <w:sz w:val="20"/>
                <w:szCs w:val="20"/>
              </w:rPr>
              <w:t>服务期</w:t>
            </w:r>
          </w:p>
        </w:tc>
        <w:tc>
          <w:tcPr>
            <w:tcW w:w="6197" w:type="dxa"/>
          </w:tcPr>
          <w:p>
            <w:pPr>
              <w:rPr>
                <w:rFonts w:hint="eastAsia" w:ascii="仿宋" w:hAnsi="仿宋" w:eastAsia="仿宋"/>
                <w:bCs/>
                <w:szCs w:val="21"/>
              </w:rPr>
            </w:pPr>
            <w:r>
              <w:rPr>
                <w:rFonts w:hint="eastAsia" w:ascii="仿宋" w:hAnsi="仿宋" w:eastAsia="仿宋" w:cs="宋体"/>
                <w:kern w:val="0"/>
                <w:szCs w:val="21"/>
              </w:rPr>
              <w:t>1.签订合同之日起2年。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28" w:type="dxa"/>
            <w:vAlign w:val="center"/>
          </w:tcPr>
          <w:p>
            <w:pPr>
              <w:jc w:val="center"/>
              <w:rPr>
                <w:rFonts w:hint="eastAsia" w:ascii="仿宋" w:hAnsi="仿宋" w:eastAsia="仿宋"/>
                <w:szCs w:val="21"/>
              </w:rPr>
            </w:pPr>
            <w:r>
              <w:rPr>
                <w:rFonts w:hint="eastAsia" w:ascii="仿宋" w:hAnsi="仿宋" w:eastAsia="仿宋"/>
                <w:szCs w:val="21"/>
              </w:rPr>
              <w:t>2</w:t>
            </w:r>
          </w:p>
        </w:tc>
        <w:tc>
          <w:tcPr>
            <w:tcW w:w="1701" w:type="dxa"/>
            <w:vAlign w:val="center"/>
          </w:tcPr>
          <w:p>
            <w:pPr>
              <w:jc w:val="center"/>
              <w:rPr>
                <w:rFonts w:hint="eastAsia" w:ascii="仿宋" w:hAnsi="仿宋" w:eastAsia="仿宋"/>
                <w:szCs w:val="21"/>
              </w:rPr>
            </w:pPr>
            <w:r>
              <w:rPr>
                <w:rFonts w:hint="eastAsia" w:ascii="仿宋" w:hAnsi="仿宋" w:eastAsia="仿宋"/>
                <w:szCs w:val="21"/>
              </w:rPr>
              <w:t>关于验收</w:t>
            </w:r>
          </w:p>
        </w:tc>
        <w:tc>
          <w:tcPr>
            <w:tcW w:w="6197" w:type="dxa"/>
          </w:tcPr>
          <w:p>
            <w:pPr>
              <w:spacing w:line="340" w:lineRule="exact"/>
              <w:rPr>
                <w:rFonts w:hint="eastAsia" w:ascii="仿宋" w:hAnsi="仿宋" w:eastAsia="仿宋"/>
                <w:bCs/>
                <w:szCs w:val="21"/>
              </w:rPr>
            </w:pPr>
            <w:r>
              <w:rPr>
                <w:rFonts w:hint="eastAsia" w:ascii="仿宋" w:hAnsi="仿宋" w:eastAsia="仿宋"/>
                <w:bCs/>
                <w:szCs w:val="21"/>
              </w:rPr>
              <w:t>1.2当满足以下条件时，采购人才向中标人签发货物验收报告：</w:t>
            </w:r>
          </w:p>
          <w:p>
            <w:pPr>
              <w:tabs>
                <w:tab w:val="left" w:pos="1260"/>
              </w:tabs>
              <w:spacing w:line="340" w:lineRule="exact"/>
              <w:rPr>
                <w:rFonts w:hint="eastAsia" w:ascii="仿宋" w:hAnsi="仿宋" w:eastAsia="仿宋"/>
                <w:bCs/>
                <w:szCs w:val="21"/>
              </w:rPr>
            </w:pPr>
            <w:r>
              <w:rPr>
                <w:rFonts w:ascii="仿宋" w:hAnsi="仿宋" w:eastAsia="仿宋"/>
                <w:bCs/>
                <w:szCs w:val="21"/>
              </w:rPr>
              <w:t>a</w:t>
            </w:r>
            <w:r>
              <w:rPr>
                <w:rFonts w:hint="eastAsia" w:ascii="仿宋" w:hAnsi="仿宋" w:eastAsia="仿宋"/>
                <w:bCs/>
                <w:szCs w:val="21"/>
              </w:rPr>
              <w:t>、中标人已按照合同规定提供了当次服务。</w:t>
            </w:r>
          </w:p>
          <w:p>
            <w:pPr>
              <w:tabs>
                <w:tab w:val="left" w:pos="1260"/>
              </w:tabs>
              <w:spacing w:line="340" w:lineRule="exact"/>
              <w:rPr>
                <w:rFonts w:hint="eastAsia" w:ascii="仿宋" w:hAnsi="仿宋" w:eastAsia="仿宋"/>
                <w:bCs/>
                <w:szCs w:val="21"/>
              </w:rPr>
            </w:pPr>
            <w:r>
              <w:rPr>
                <w:rFonts w:ascii="仿宋" w:hAnsi="仿宋" w:eastAsia="仿宋"/>
                <w:bCs/>
                <w:szCs w:val="21"/>
              </w:rPr>
              <w:t>b</w:t>
            </w:r>
            <w:r>
              <w:rPr>
                <w:rFonts w:hint="eastAsia" w:ascii="仿宋" w:hAnsi="仿宋" w:eastAsia="仿宋"/>
                <w:bCs/>
                <w:szCs w:val="21"/>
              </w:rPr>
              <w:t>、中标人提供的服务符合招标文件技术、商务的要求。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28" w:type="dxa"/>
            <w:vAlign w:val="center"/>
          </w:tcPr>
          <w:p>
            <w:pPr>
              <w:jc w:val="center"/>
              <w:rPr>
                <w:rFonts w:hint="eastAsia" w:ascii="仿宋" w:hAnsi="仿宋" w:eastAsia="仿宋"/>
                <w:szCs w:val="21"/>
              </w:rPr>
            </w:pPr>
            <w:r>
              <w:rPr>
                <w:rFonts w:hint="eastAsia" w:ascii="仿宋" w:hAnsi="仿宋" w:eastAsia="仿宋"/>
                <w:szCs w:val="21"/>
              </w:rPr>
              <w:t>3</w:t>
            </w:r>
          </w:p>
        </w:tc>
        <w:tc>
          <w:tcPr>
            <w:tcW w:w="1701" w:type="dxa"/>
            <w:vAlign w:val="center"/>
          </w:tcPr>
          <w:p>
            <w:pPr>
              <w:jc w:val="center"/>
              <w:rPr>
                <w:rFonts w:hint="eastAsia" w:ascii="仿宋" w:hAnsi="仿宋" w:eastAsia="仿宋"/>
                <w:szCs w:val="21"/>
              </w:rPr>
            </w:pPr>
            <w:r>
              <w:rPr>
                <w:rFonts w:hint="eastAsia" w:ascii="仿宋" w:hAnsi="仿宋" w:eastAsia="仿宋"/>
                <w:szCs w:val="21"/>
              </w:rPr>
              <w:t>付款方式</w:t>
            </w:r>
          </w:p>
        </w:tc>
        <w:tc>
          <w:tcPr>
            <w:tcW w:w="6197" w:type="dxa"/>
            <w:vAlign w:val="center"/>
          </w:tcPr>
          <w:p>
            <w:pPr>
              <w:rPr>
                <w:rFonts w:hint="eastAsia" w:ascii="仿宋" w:hAnsi="仿宋" w:eastAsia="仿宋" w:cs="宋体"/>
                <w:kern w:val="0"/>
                <w:szCs w:val="21"/>
                <w:lang w:eastAsia="zh-CN"/>
              </w:rPr>
            </w:pPr>
            <w:r>
              <w:rPr>
                <w:rFonts w:hint="eastAsia" w:ascii="仿宋" w:hAnsi="仿宋" w:eastAsia="仿宋" w:cs="宋体"/>
                <w:kern w:val="0"/>
                <w:szCs w:val="21"/>
              </w:rPr>
              <w:t>采购人向中标人在签订合同后15工作日内预先支付5</w:t>
            </w:r>
            <w:r>
              <w:rPr>
                <w:rFonts w:hint="eastAsia" w:ascii="仿宋" w:hAnsi="仿宋" w:eastAsia="仿宋" w:cs="宋体"/>
                <w:kern w:val="0"/>
                <w:szCs w:val="21"/>
                <w:lang w:val="en-US" w:eastAsia="zh-CN"/>
              </w:rPr>
              <w:t>0</w:t>
            </w:r>
            <w:r>
              <w:rPr>
                <w:rFonts w:hint="eastAsia" w:ascii="仿宋" w:hAnsi="仿宋" w:eastAsia="仿宋" w:cs="宋体"/>
                <w:kern w:val="0"/>
                <w:szCs w:val="21"/>
              </w:rPr>
              <w:t>%合同款项，中标人按合同约定完成履约后，并经采购人组织的验收合格后，甲方在收到乙方付款申请及付款所需要的材料后15个工作日内，采购人向中标人支付剩余合同款项</w:t>
            </w:r>
            <w:r>
              <w:rPr>
                <w:rFonts w:hint="eastAsia" w:ascii="仿宋" w:hAnsi="仿宋" w:eastAsia="仿宋" w:cs="宋体"/>
                <w:kern w:val="0"/>
                <w:szCs w:val="21"/>
                <w:lang w:eastAsia="zh-CN"/>
              </w:rPr>
              <w:t>。</w:t>
            </w:r>
          </w:p>
          <w:p>
            <w:pPr>
              <w:rPr>
                <w:rFonts w:hint="eastAsia" w:ascii="仿宋" w:hAnsi="仿宋" w:eastAsia="仿宋" w:cs="宋体"/>
                <w:szCs w:val="21"/>
              </w:rPr>
            </w:pPr>
            <w:r>
              <w:rPr>
                <w:rFonts w:hint="eastAsia" w:ascii="仿宋" w:hAnsi="仿宋" w:eastAsia="仿宋" w:cs="宋体"/>
                <w:b/>
                <w:color w:val="FF0000"/>
                <w:kern w:val="0"/>
                <w:sz w:val="20"/>
                <w:szCs w:val="20"/>
                <w:u w:val="single"/>
              </w:rPr>
              <w:t>注：请与合同模板的付款方式保持一致。根据《深圳市财政局关于进一步优化政府采购营商环境的通知》，如有预付款，原则上款项比例不低于合同金额的30%，最高不高于合同金额的70%。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28"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4</w:t>
            </w:r>
          </w:p>
        </w:tc>
        <w:tc>
          <w:tcPr>
            <w:tcW w:w="1701"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诚信履约</w:t>
            </w:r>
          </w:p>
        </w:tc>
        <w:tc>
          <w:tcPr>
            <w:tcW w:w="6197" w:type="dxa"/>
            <w:vAlign w:val="center"/>
          </w:tcPr>
          <w:p>
            <w:pPr>
              <w:rPr>
                <w:rFonts w:hint="eastAsia" w:ascii="仿宋" w:hAnsi="仿宋" w:eastAsia="仿宋" w:cs="宋体"/>
                <w:szCs w:val="21"/>
              </w:rPr>
            </w:pPr>
            <w:r>
              <w:rPr>
                <w:rFonts w:hint="eastAsia" w:ascii="仿宋" w:hAnsi="仿宋" w:eastAsia="仿宋" w:cs="宋体"/>
                <w:szCs w:val="21"/>
              </w:rPr>
              <w:t>投标人承诺</w:t>
            </w:r>
            <w:r>
              <w:rPr>
                <w:rFonts w:ascii="仿宋" w:hAnsi="仿宋" w:eastAsia="仿宋" w:cs="宋体"/>
                <w:szCs w:val="21"/>
              </w:rPr>
              <w:t>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8"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5</w:t>
            </w:r>
          </w:p>
        </w:tc>
        <w:tc>
          <w:tcPr>
            <w:tcW w:w="1701" w:type="dxa"/>
            <w:vAlign w:val="center"/>
          </w:tcPr>
          <w:p>
            <w:pPr>
              <w:jc w:val="center"/>
              <w:rPr>
                <w:rFonts w:hint="eastAsia" w:ascii="仿宋" w:hAnsi="仿宋" w:eastAsia="仿宋" w:cs="宋体"/>
                <w:color w:val="FF0000"/>
                <w:kern w:val="0"/>
                <w:szCs w:val="21"/>
              </w:rPr>
            </w:pPr>
            <w:r>
              <w:rPr>
                <w:rFonts w:hint="eastAsia" w:ascii="仿宋" w:hAnsi="仿宋" w:eastAsia="仿宋" w:cs="宋体"/>
                <w:kern w:val="0"/>
                <w:szCs w:val="21"/>
              </w:rPr>
              <w:t>版权</w:t>
            </w:r>
          </w:p>
        </w:tc>
        <w:tc>
          <w:tcPr>
            <w:tcW w:w="6197" w:type="dxa"/>
            <w:vAlign w:val="center"/>
          </w:tcPr>
          <w:p>
            <w:pPr>
              <w:rPr>
                <w:rFonts w:hint="eastAsia" w:ascii="仿宋" w:hAnsi="仿宋" w:eastAsia="仿宋" w:cs="宋体"/>
                <w:color w:val="FF0000"/>
                <w:szCs w:val="21"/>
              </w:rPr>
            </w:pPr>
            <w:r>
              <w:rPr>
                <w:rFonts w:hint="eastAsia" w:ascii="仿宋" w:hAnsi="仿宋" w:eastAsia="仿宋" w:cs="宋体"/>
                <w:szCs w:val="21"/>
              </w:rPr>
              <w:t>投标人承诺课程资源制作版权归采购人所有。涉及引用其他版权资源，已知出处资料，须获得对方授权；未知出处的须标注“仅供教学使用”字样；不能出现任何公司logo。</w:t>
            </w:r>
          </w:p>
        </w:tc>
      </w:tr>
    </w:tbl>
    <w:p>
      <w:pPr>
        <w:pStyle w:val="15"/>
        <w:ind w:firstLine="422"/>
        <w:rPr>
          <w:rFonts w:ascii="宋体" w:hAnsi="宋体" w:cs="宋体"/>
          <w:b/>
        </w:rPr>
      </w:pPr>
    </w:p>
    <w:p>
      <w:pPr>
        <w:pStyle w:val="15"/>
        <w:ind w:firstLine="422"/>
        <w:rPr>
          <w:rFonts w:ascii="宋体" w:hAnsi="宋体" w:cs="宋体"/>
          <w:b/>
        </w:rPr>
      </w:pPr>
    </w:p>
    <w:p>
      <w:pPr>
        <w:pStyle w:val="3"/>
        <w:rPr>
          <w:rFonts w:hint="eastAsia"/>
        </w:rPr>
      </w:pPr>
    </w:p>
    <w:p>
      <w:pPr>
        <w:pStyle w:val="3"/>
      </w:pPr>
      <w:r>
        <w:rPr>
          <w:rFonts w:hint="eastAsia"/>
        </w:rPr>
        <w:t>第三章  投标文件格式</w:t>
      </w:r>
    </w:p>
    <w:p>
      <w:pPr>
        <w:rPr>
          <w:rStyle w:val="24"/>
          <w:rFonts w:ascii="宋体" w:hAnsi="宋体" w:eastAsia="宋体" w:cs="宋体"/>
          <w:sz w:val="28"/>
          <w:szCs w:val="28"/>
        </w:rPr>
      </w:pPr>
      <w:r>
        <w:rPr>
          <w:rStyle w:val="24"/>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w:t>
      </w:r>
      <w:r>
        <w:rPr>
          <w:rFonts w:hint="eastAsia" w:ascii="宋体" w:hAnsi="宋体" w:cs="宋体"/>
          <w:sz w:val="24"/>
          <w:lang w:val="en-US" w:eastAsia="zh-CN"/>
        </w:rPr>
        <w:t>服务</w:t>
      </w:r>
      <w:r>
        <w:rPr>
          <w:rFonts w:hint="eastAsia" w:ascii="宋体" w:hAnsi="宋体" w:cs="宋体"/>
          <w:sz w:val="24"/>
        </w:rPr>
        <w:t>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ascii="宋体" w:hAnsi="宋体" w:cs="宋体"/>
          <w:sz w:val="24"/>
        </w:rPr>
      </w:pPr>
      <w:r>
        <w:rPr>
          <w:rFonts w:hint="eastAsia" w:ascii="宋体" w:hAnsi="宋体" w:cs="宋体"/>
          <w:sz w:val="24"/>
        </w:rPr>
        <w:t>10、技术保障措施</w:t>
      </w:r>
    </w:p>
    <w:p>
      <w:pPr>
        <w:rPr>
          <w:rFonts w:ascii="宋体" w:hAnsi="宋体" w:cs="宋体"/>
          <w:sz w:val="24"/>
        </w:rPr>
      </w:pPr>
      <w:r>
        <w:rPr>
          <w:rFonts w:hint="eastAsia" w:ascii="宋体" w:hAnsi="宋体" w:cs="宋体"/>
          <w:sz w:val="24"/>
        </w:rPr>
        <w:t>11、</w:t>
      </w:r>
      <w:r>
        <w:rPr>
          <w:rFonts w:hint="eastAsia" w:ascii="宋体" w:hAnsi="宋体" w:cs="宋体"/>
          <w:sz w:val="24"/>
          <w:lang w:val="en-US" w:eastAsia="zh-CN"/>
        </w:rPr>
        <w:t>安装</w:t>
      </w:r>
      <w:r>
        <w:rPr>
          <w:rFonts w:hint="eastAsia" w:ascii="宋体" w:hAnsi="宋体" w:cs="宋体"/>
          <w:sz w:val="24"/>
        </w:rPr>
        <w:t>安全</w:t>
      </w:r>
      <w:r>
        <w:rPr>
          <w:rFonts w:hint="eastAsia" w:ascii="宋体" w:hAnsi="宋体" w:cs="宋体"/>
          <w:sz w:val="24"/>
          <w:lang w:val="en-US" w:eastAsia="zh-CN"/>
        </w:rPr>
        <w:t>及质量</w:t>
      </w:r>
      <w:r>
        <w:rPr>
          <w:rFonts w:hint="eastAsia" w:ascii="宋体" w:hAnsi="宋体" w:cs="宋体"/>
          <w:sz w:val="24"/>
        </w:rPr>
        <w:t>保障措施</w:t>
      </w:r>
    </w:p>
    <w:p>
      <w:pPr>
        <w:rPr>
          <w:rFonts w:ascii="宋体" w:hAnsi="宋体" w:cs="宋体"/>
          <w:sz w:val="24"/>
        </w:rPr>
      </w:pPr>
      <w:r>
        <w:rPr>
          <w:rFonts w:hint="eastAsia" w:ascii="宋体" w:hAnsi="宋体" w:cs="宋体"/>
          <w:sz w:val="24"/>
        </w:rPr>
        <w:t>12、售后服务方案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5"/>
      </w:pPr>
    </w:p>
    <w:p>
      <w:pPr>
        <w:pStyle w:val="4"/>
        <w:numPr>
          <w:ilvl w:val="0"/>
          <w:numId w:val="3"/>
        </w:numPr>
        <w:jc w:val="center"/>
        <w:rPr>
          <w:rFonts w:cs="宋体"/>
          <w:bCs w:val="0"/>
          <w:kern w:val="0"/>
          <w:szCs w:val="28"/>
        </w:rPr>
      </w:pPr>
      <w:r>
        <w:rPr>
          <w:rFonts w:hint="eastAsia" w:cs="宋体"/>
          <w:bCs w:val="0"/>
          <w:kern w:val="0"/>
          <w:szCs w:val="28"/>
        </w:rPr>
        <w:t>评标指引表</w:t>
      </w:r>
    </w:p>
    <w:tbl>
      <w:tblPr>
        <w:tblStyle w:val="16"/>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4"/>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6"/>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6"/>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lang w:val="en-US" w:eastAsia="zh-CN"/>
              </w:rPr>
              <w:t>服务</w:t>
            </w:r>
            <w:r>
              <w:rPr>
                <w:rFonts w:hint="eastAsia" w:ascii="宋体" w:hAnsi="宋体" w:cs="宋体"/>
                <w:szCs w:val="21"/>
              </w:rPr>
              <w:t>名称</w:t>
            </w:r>
          </w:p>
        </w:tc>
        <w:tc>
          <w:tcPr>
            <w:tcW w:w="1440"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服务内容</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8" w:type="dxa"/>
            <w:gridSpan w:val="6"/>
          </w:tcPr>
          <w:p>
            <w:pPr>
              <w:rPr>
                <w:rFonts w:ascii="宋体" w:hAnsi="宋体" w:cs="宋体"/>
                <w:szCs w:val="21"/>
              </w:rPr>
            </w:pPr>
            <w:r>
              <w:rPr>
                <w:rFonts w:hint="eastAsia" w:ascii="宋体" w:hAnsi="宋体" w:cs="宋体"/>
                <w:szCs w:val="21"/>
              </w:rPr>
              <w:t>合计（即：投标总价；币种：人民币；单位：元）：大写：</w:t>
            </w: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4"/>
        <w:jc w:val="center"/>
        <w:rPr>
          <w:rFonts w:cs="宋体"/>
          <w:bCs w:val="0"/>
          <w:szCs w:val="28"/>
        </w:rPr>
      </w:pPr>
      <w:r>
        <w:rPr>
          <w:rFonts w:hint="eastAsia" w:cs="宋体"/>
          <w:bCs w:val="0"/>
          <w:szCs w:val="28"/>
        </w:rPr>
        <w:t>七、</w:t>
      </w:r>
      <w:r>
        <w:rPr>
          <w:rFonts w:hint="eastAsia" w:cs="宋体"/>
          <w:bCs w:val="0"/>
          <w:szCs w:val="28"/>
          <w:lang w:val="en-US" w:eastAsia="zh-CN"/>
        </w:rPr>
        <w:t>服务</w:t>
      </w:r>
      <w:r>
        <w:rPr>
          <w:rFonts w:hint="eastAsia" w:cs="宋体"/>
          <w:bCs w:val="0"/>
          <w:szCs w:val="28"/>
        </w:rPr>
        <w:t>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9"/>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hint="default" w:ascii="宋体" w:hAnsi="宋体" w:eastAsia="宋体" w:cs="宋体"/>
                <w:szCs w:val="21"/>
                <w:lang w:val="en-US" w:eastAsia="zh-CN"/>
              </w:rPr>
            </w:pPr>
            <w:r>
              <w:rPr>
                <w:rFonts w:hint="eastAsia" w:ascii="宋体" w:hAnsi="宋体" w:cs="宋体"/>
                <w:szCs w:val="21"/>
                <w:lang w:val="en-US" w:eastAsia="zh-CN"/>
              </w:rPr>
              <w:t>服务名称</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4"/>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9"/>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4"/>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rPr>
          <w:rFonts w:ascii="宋体" w:hAnsi="宋体" w:cs="宋体"/>
          <w:szCs w:val="21"/>
        </w:rPr>
      </w:pPr>
    </w:p>
    <w:tbl>
      <w:tblPr>
        <w:tblStyle w:val="1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pStyle w:val="4"/>
        <w:jc w:val="center"/>
        <w:rPr>
          <w:rFonts w:cs="宋体"/>
          <w:kern w:val="0"/>
          <w:szCs w:val="28"/>
        </w:rPr>
      </w:pPr>
      <w:r>
        <w:rPr>
          <w:rFonts w:hint="eastAsia" w:cs="宋体"/>
          <w:kern w:val="0"/>
          <w:szCs w:val="28"/>
        </w:rPr>
        <w:t>十、技术保障措施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十一、</w:t>
      </w:r>
      <w:r>
        <w:rPr>
          <w:rFonts w:hint="eastAsia" w:cs="宋体"/>
          <w:kern w:val="0"/>
          <w:szCs w:val="28"/>
          <w:lang w:val="en-US" w:eastAsia="zh-CN"/>
        </w:rPr>
        <w:t>安装</w:t>
      </w:r>
      <w:r>
        <w:rPr>
          <w:rFonts w:hint="eastAsia" w:cs="宋体"/>
          <w:kern w:val="0"/>
          <w:szCs w:val="28"/>
        </w:rPr>
        <w:t>安全</w:t>
      </w:r>
      <w:r>
        <w:rPr>
          <w:rFonts w:hint="eastAsia" w:cs="宋体"/>
          <w:kern w:val="0"/>
          <w:szCs w:val="28"/>
          <w:lang w:val="en-US" w:eastAsia="zh-CN"/>
        </w:rPr>
        <w:t>及质量</w:t>
      </w:r>
      <w:r>
        <w:rPr>
          <w:rFonts w:hint="eastAsia" w:cs="宋体"/>
          <w:kern w:val="0"/>
          <w:szCs w:val="28"/>
        </w:rPr>
        <w:t>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十二、售后服务方案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r>
        <w:rPr>
          <w:rFonts w:hint="eastAsia" w:ascii="宋体" w:hAnsi="宋体" w:cs="宋体"/>
          <w:b/>
          <w:szCs w:val="21"/>
        </w:rPr>
        <w:t>（备注：该部分须与“商务需求”承诺的内容相呼应，不得前后矛盾。）</w:t>
      </w:r>
    </w:p>
    <w:p>
      <w:pPr>
        <w:pStyle w:val="15"/>
      </w:pPr>
    </w:p>
    <w:p>
      <w:pPr>
        <w:rPr>
          <w:rFonts w:ascii="宋体" w:hAnsi="宋体" w:cs="宋体"/>
          <w:bCs/>
          <w:szCs w:val="21"/>
        </w:rPr>
      </w:pPr>
    </w:p>
    <w:sectPr>
      <w:footerReference r:id="rId3" w:type="default"/>
      <w:pgSz w:w="11906" w:h="16838"/>
      <w:pgMar w:top="1440" w:right="1800" w:bottom="126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B90968"/>
    <w:multiLevelType w:val="multilevel"/>
    <w:tmpl w:val="63B90968"/>
    <w:lvl w:ilvl="0" w:tentative="0">
      <w:start w:val="1"/>
      <w:numFmt w:val="decimal"/>
      <w:pStyle w:val="27"/>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ZmI1MjQxOTQ3ZjExZDUyYTMxZDQ0NTRhZmMzNzQifQ=="/>
    <w:docVar w:name="KSO_WPS_MARK_KEY" w:val="b85b1f25-ac70-4f09-a64c-f0f04b2f9994"/>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02C35610"/>
    <w:rsid w:val="0471142B"/>
    <w:rsid w:val="076A4ABC"/>
    <w:rsid w:val="26B82091"/>
    <w:rsid w:val="2B3C2FA8"/>
    <w:rsid w:val="330701B9"/>
    <w:rsid w:val="3C602787"/>
    <w:rsid w:val="3D8A54BD"/>
    <w:rsid w:val="411F02FE"/>
    <w:rsid w:val="42B10A7D"/>
    <w:rsid w:val="4E273257"/>
    <w:rsid w:val="52B37A56"/>
    <w:rsid w:val="53C012FA"/>
    <w:rsid w:val="565A0366"/>
    <w:rsid w:val="56F95DAB"/>
    <w:rsid w:val="583556C9"/>
    <w:rsid w:val="622B5E14"/>
    <w:rsid w:val="6404609E"/>
    <w:rsid w:val="65F32E8E"/>
    <w:rsid w:val="665004E8"/>
    <w:rsid w:val="67B92D20"/>
    <w:rsid w:val="685130EA"/>
    <w:rsid w:val="6BBD7F7B"/>
    <w:rsid w:val="6EE92007"/>
    <w:rsid w:val="76231D2E"/>
    <w:rsid w:val="772174F0"/>
    <w:rsid w:val="778C602B"/>
    <w:rsid w:val="79156FC5"/>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kern w:val="44"/>
      <w:sz w:val="32"/>
      <w:szCs w:val="36"/>
    </w:rPr>
  </w:style>
  <w:style w:type="paragraph" w:styleId="6">
    <w:name w:val="heading 2"/>
    <w:basedOn w:val="4"/>
    <w:next w:val="5"/>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0"/>
    <w:qFormat/>
    <w:uiPriority w:val="0"/>
    <w:pPr>
      <w:spacing w:line="360" w:lineRule="auto"/>
    </w:pPr>
    <w:rPr>
      <w:b/>
      <w:bCs/>
      <w:sz w:val="24"/>
    </w:rPr>
  </w:style>
  <w:style w:type="paragraph" w:styleId="10">
    <w:name w:val="Body Text First Indent"/>
    <w:basedOn w:val="9"/>
    <w:next w:val="1"/>
    <w:qFormat/>
    <w:uiPriority w:val="0"/>
    <w:pPr>
      <w:tabs>
        <w:tab w:val="left" w:pos="562"/>
        <w:tab w:val="left" w:pos="3372"/>
        <w:tab w:val="left" w:pos="3653"/>
      </w:tabs>
      <w:ind w:firstLine="420" w:firstLineChars="100"/>
    </w:pPr>
    <w:rPr>
      <w:rFonts w:ascii="Arial" w:hAnsi="Arial"/>
    </w:rPr>
  </w:style>
  <w:style w:type="paragraph" w:styleId="11">
    <w:name w:val="Body Text Indent"/>
    <w:basedOn w:val="1"/>
    <w:next w:val="1"/>
    <w:qFormat/>
    <w:uiPriority w:val="0"/>
    <w:pPr>
      <w:spacing w:line="360" w:lineRule="auto"/>
      <w:ind w:firstLine="420" w:firstLineChars="200"/>
    </w:pPr>
  </w:style>
  <w:style w:type="paragraph" w:styleId="12">
    <w:name w:val="Plain Text"/>
    <w:basedOn w:val="1"/>
    <w:qFormat/>
    <w:uiPriority w:val="0"/>
    <w:rPr>
      <w:rFonts w:ascii="宋体" w:hAnsi="Courier New"/>
      <w:kern w:val="0"/>
      <w:sz w:val="20"/>
      <w:szCs w:val="20"/>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11"/>
    <w:unhideWhenUsed/>
    <w:qFormat/>
    <w:uiPriority w:val="99"/>
    <w:pPr>
      <w:spacing w:after="120"/>
      <w:ind w:left="420" w:leftChars="200"/>
    </w:pPr>
    <w:rPr>
      <w:rFonts w:ascii="Calibri" w:hAnsi="Calibri"/>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FollowedHyperlink"/>
    <w:basedOn w:val="18"/>
    <w:qFormat/>
    <w:uiPriority w:val="0"/>
    <w:rPr>
      <w:color w:val="954F72" w:themeColor="followedHyperlink"/>
      <w:u w:val="single"/>
      <w14:textFill>
        <w14:solidFill>
          <w14:schemeClr w14:val="folHlink"/>
        </w14:solidFill>
      </w14:textFill>
    </w:rPr>
  </w:style>
  <w:style w:type="character" w:styleId="21">
    <w:name w:val="Hyperlink"/>
    <w:unhideWhenUsed/>
    <w:qFormat/>
    <w:uiPriority w:val="99"/>
    <w:rPr>
      <w:color w:val="0000FF"/>
      <w:u w:val="single"/>
    </w:rPr>
  </w:style>
  <w:style w:type="character" w:styleId="22">
    <w:name w:val="annotation reference"/>
    <w:unhideWhenUsed/>
    <w:qFormat/>
    <w:uiPriority w:val="0"/>
    <w:rPr>
      <w:sz w:val="21"/>
      <w:szCs w:val="21"/>
    </w:rPr>
  </w:style>
  <w:style w:type="paragraph" w:customStyle="1" w:styleId="23">
    <w:name w:val="表格文字"/>
    <w:basedOn w:val="1"/>
    <w:qFormat/>
    <w:uiPriority w:val="99"/>
    <w:pPr>
      <w:spacing w:before="25" w:after="25"/>
    </w:pPr>
    <w:rPr>
      <w:spacing w:val="10"/>
      <w:sz w:val="24"/>
    </w:rPr>
  </w:style>
  <w:style w:type="character" w:customStyle="1" w:styleId="24">
    <w:name w:val="标题 3 Char"/>
    <w:qFormat/>
    <w:uiPriority w:val="0"/>
    <w:rPr>
      <w:rFonts w:ascii="黑体" w:eastAsia="黑体"/>
      <w:bCs/>
      <w:sz w:val="30"/>
    </w:rPr>
  </w:style>
  <w:style w:type="character" w:customStyle="1" w:styleId="25">
    <w:name w:val="Unresolved Mention"/>
    <w:basedOn w:val="18"/>
    <w:semiHidden/>
    <w:unhideWhenUsed/>
    <w:qFormat/>
    <w:uiPriority w:val="99"/>
    <w:rPr>
      <w:color w:val="605E5C"/>
      <w:shd w:val="clear" w:color="auto" w:fill="E1DFDD"/>
    </w:rPr>
  </w:style>
  <w:style w:type="paragraph" w:customStyle="1" w:styleId="26">
    <w:name w:val="fc2"/>
    <w:basedOn w:val="27"/>
    <w:qFormat/>
    <w:uiPriority w:val="0"/>
    <w:pPr>
      <w:numPr>
        <w:numId w:val="0"/>
      </w:numPr>
      <w:ind w:left="840" w:hanging="420"/>
    </w:pPr>
    <w:rPr>
      <w:b w:val="0"/>
    </w:rPr>
  </w:style>
  <w:style w:type="paragraph" w:customStyle="1" w:styleId="27">
    <w:name w:val="fc1"/>
    <w:basedOn w:val="28"/>
    <w:qFormat/>
    <w:uiPriority w:val="0"/>
    <w:pPr>
      <w:numPr>
        <w:ilvl w:val="0"/>
        <w:numId w:val="1"/>
      </w:numPr>
      <w:ind w:firstLine="0" w:firstLineChars="0"/>
    </w:pPr>
    <w:rPr>
      <w:rFonts w:ascii="宋体" w:hAnsi="宋体" w:cs="宋体"/>
      <w:b/>
      <w:szCs w:val="21"/>
    </w:rPr>
  </w:style>
  <w:style w:type="paragraph" w:customStyle="1" w:styleId="28">
    <w:name w:val="列表段落1"/>
    <w:basedOn w:val="1"/>
    <w:qFormat/>
    <w:locked/>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16776</Words>
  <Characters>17361</Characters>
  <Lines>75</Lines>
  <Paragraphs>21</Paragraphs>
  <TotalTime>61</TotalTime>
  <ScaleCrop>false</ScaleCrop>
  <LinksUpToDate>false</LinksUpToDate>
  <CharactersWithSpaces>18190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010</cp:lastModifiedBy>
  <cp:lastPrinted>2024-05-24T03:10:00Z</cp:lastPrinted>
  <dcterms:modified xsi:type="dcterms:W3CDTF">2024-11-29T09:21:45Z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B2D714F2D3CC4875AC8F2DD68C662FEA_13</vt:lpwstr>
  </property>
</Properties>
</file>