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lang w:eastAsia="zh-CN"/>
        </w:rPr>
        <w:t>大数据竞赛实训平台</w:t>
      </w:r>
      <w:r>
        <w:rPr>
          <w:rFonts w:hint="eastAsia" w:ascii="华文中宋" w:hAnsi="华文中宋" w:eastAsia="华文中宋"/>
          <w:b/>
          <w:bCs/>
          <w:sz w:val="48"/>
          <w:szCs w:val="40"/>
        </w:rPr>
        <w:t>采购项目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lang w:val="en-US" w:eastAsia="zh-CN"/>
        </w:rPr>
        <w:t>2024</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11</w:t>
      </w:r>
      <w:r>
        <w:rPr>
          <w:rFonts w:hint="eastAsia" w:ascii="黑体" w:hAnsi="华文中宋" w:eastAsia="黑体" w:cs="Arial"/>
          <w:sz w:val="32"/>
          <w:szCs w:val="32"/>
        </w:rPr>
        <w:t>月</w:t>
      </w:r>
      <w:r>
        <w:rPr>
          <w:rFonts w:hint="eastAsia" w:ascii="宋体" w:hAnsi="宋体" w:cs="宋体"/>
          <w:sz w:val="32"/>
          <w:szCs w:val="32"/>
        </w:rPr>
        <w:br w:type="page"/>
      </w:r>
    </w:p>
    <w:p>
      <w:pPr>
        <w:pStyle w:val="3"/>
      </w:pPr>
      <w:r>
        <w:rPr>
          <w:rFonts w:hint="eastAsia"/>
        </w:rPr>
        <w:t>第一章项目评审信息</w:t>
      </w:r>
    </w:p>
    <w:p>
      <w:pPr>
        <w:adjustRightInd w:val="0"/>
        <w:snapToGrid w:val="0"/>
        <w:spacing w:line="360" w:lineRule="auto"/>
        <w:rPr>
          <w:rFonts w:ascii="宋体" w:hAnsi="宋体" w:cs="宋体"/>
          <w:szCs w:val="21"/>
        </w:rPr>
      </w:pPr>
      <w:r>
        <w:rPr>
          <w:rFonts w:hint="eastAsia" w:ascii="宋体" w:hAnsi="宋体" w:cs="宋体"/>
          <w:szCs w:val="21"/>
        </w:rPr>
        <w:t>项目名称：深圳市第一职业技术学校</w:t>
      </w:r>
      <w:r>
        <w:rPr>
          <w:rFonts w:hint="eastAsia" w:ascii="宋体" w:hAnsi="宋体" w:cs="宋体"/>
          <w:szCs w:val="21"/>
          <w:lang w:eastAsia="zh-CN"/>
        </w:rPr>
        <w:t>大数据竞赛实训平台</w:t>
      </w:r>
      <w:r>
        <w:rPr>
          <w:rFonts w:hint="eastAsia" w:ascii="宋体" w:hAnsi="宋体" w:cs="宋体"/>
          <w:szCs w:val="21"/>
        </w:rPr>
        <w:t>采购项目</w:t>
      </w:r>
    </w:p>
    <w:p>
      <w:pPr>
        <w:adjustRightInd w:val="0"/>
        <w:snapToGrid w:val="0"/>
        <w:spacing w:line="360" w:lineRule="auto"/>
        <w:rPr>
          <w:rFonts w:ascii="宋体" w:hAnsi="宋体" w:cs="宋体"/>
          <w:szCs w:val="21"/>
        </w:rPr>
      </w:pPr>
      <w:r>
        <w:rPr>
          <w:rFonts w:hint="eastAsia" w:ascii="宋体" w:hAnsi="宋体" w:cs="宋体"/>
          <w:szCs w:val="21"/>
        </w:rPr>
        <w:t>项目类型：货物类</w:t>
      </w:r>
    </w:p>
    <w:p>
      <w:pPr>
        <w:adjustRightInd w:val="0"/>
        <w:snapToGrid w:val="0"/>
        <w:spacing w:line="360" w:lineRule="auto"/>
        <w:rPr>
          <w:rFonts w:ascii="宋体" w:hAnsi="宋体" w:cs="宋体"/>
          <w:szCs w:val="21"/>
        </w:rPr>
      </w:pPr>
      <w:r>
        <w:rPr>
          <w:rFonts w:hint="eastAsia" w:ascii="宋体" w:hAnsi="宋体" w:cs="宋体"/>
          <w:szCs w:val="21"/>
        </w:rPr>
        <w:t>采购方式：公开招标</w:t>
      </w:r>
    </w:p>
    <w:p>
      <w:pPr>
        <w:adjustRightInd w:val="0"/>
        <w:snapToGrid w:val="0"/>
        <w:spacing w:line="360" w:lineRule="auto"/>
        <w:rPr>
          <w:rFonts w:hint="eastAsia" w:ascii="宋体" w:hAnsi="宋体" w:cs="宋体"/>
          <w:szCs w:val="21"/>
        </w:rPr>
      </w:pPr>
      <w:r>
        <w:rPr>
          <w:rFonts w:hint="eastAsia" w:ascii="宋体" w:hAnsi="宋体" w:cs="宋体"/>
          <w:szCs w:val="21"/>
        </w:rPr>
        <w:t>货币类型：人民币</w:t>
      </w:r>
    </w:p>
    <w:p>
      <w:pPr>
        <w:pStyle w:val="20"/>
        <w:rPr>
          <w:rFonts w:hint="default" w:eastAsia="宋体"/>
          <w:lang w:val="en-US" w:eastAsia="zh-CN"/>
        </w:rPr>
      </w:pPr>
      <w:r>
        <w:rPr>
          <w:rFonts w:hint="eastAsia" w:ascii="宋体" w:hAnsi="宋体" w:cs="宋体"/>
          <w:szCs w:val="21"/>
          <w:lang w:val="en-US" w:eastAsia="zh-CN"/>
        </w:rPr>
        <w:t>预算金额：19万</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综合评分法</w:t>
      </w:r>
      <w:r>
        <w:rPr>
          <w:rFonts w:hint="eastAsia" w:ascii="宋体" w:hAnsi="宋体" w:cs="宋体"/>
          <w:szCs w:val="21"/>
        </w:rPr>
        <w:t>。</w:t>
      </w:r>
    </w:p>
    <w:p>
      <w:pPr>
        <w:pStyle w:val="6"/>
        <w:jc w:val="both"/>
        <w:rPr>
          <w:rFonts w:cs="宋体"/>
        </w:rPr>
      </w:pPr>
      <w:r>
        <w:rPr>
          <w:rFonts w:hint="eastAsia" w:cs="宋体"/>
        </w:rPr>
        <w:t>评标方法</w:t>
      </w:r>
    </w:p>
    <w:tbl>
      <w:tblPr>
        <w:tblStyle w:val="13"/>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w:t>
            </w:r>
          </w:p>
          <w:p>
            <w:pPr>
              <w:ind w:firstLine="420"/>
              <w:rPr>
                <w:szCs w:val="21"/>
              </w:rPr>
            </w:pPr>
            <w:r>
              <w:rPr>
                <w:szCs w:val="21"/>
              </w:rPr>
              <w:t>价格分计算方法：</w:t>
            </w:r>
          </w:p>
          <w:p>
            <w:pPr>
              <w:pStyle w:val="12"/>
              <w:widowControl/>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p>
          <w:p>
            <w:pPr>
              <w:pStyle w:val="12"/>
              <w:widowControl/>
              <w:spacing w:line="324" w:lineRule="auto"/>
              <w:ind w:left="420"/>
              <w:rPr>
                <w:sz w:val="21"/>
                <w:szCs w:val="21"/>
              </w:rPr>
            </w:pPr>
            <w:r>
              <w:rPr>
                <w:sz w:val="21"/>
                <w:szCs w:val="21"/>
              </w:rPr>
              <w:t>投标报价得分=(评标基准价／投标报价)×100</w:t>
            </w:r>
          </w:p>
          <w:p>
            <w:pPr>
              <w:pStyle w:val="12"/>
              <w:widowControl/>
              <w:spacing w:line="324" w:lineRule="auto"/>
              <w:ind w:left="420"/>
              <w:rPr>
                <w:sz w:val="21"/>
                <w:szCs w:val="21"/>
              </w:rPr>
            </w:pPr>
            <w:r>
              <w:rPr>
                <w:sz w:val="21"/>
                <w:szCs w:val="21"/>
              </w:rPr>
              <w:t>评标总得分＝F1×A1＋F2×A2＋……＋Fn×An</w:t>
            </w:r>
          </w:p>
          <w:p>
            <w:pPr>
              <w:pStyle w:val="12"/>
              <w:widowControl/>
              <w:spacing w:line="324" w:lineRule="auto"/>
              <w:ind w:left="420"/>
              <w:rPr>
                <w:sz w:val="21"/>
                <w:szCs w:val="21"/>
              </w:rPr>
            </w:pPr>
            <w:r>
              <w:rPr>
                <w:sz w:val="21"/>
                <w:szCs w:val="21"/>
              </w:rPr>
              <w:t>F1、F2……Fn分别为各项评审因素的得分；</w:t>
            </w:r>
          </w:p>
          <w:p>
            <w:pPr>
              <w:pStyle w:val="12"/>
              <w:widowControl/>
              <w:spacing w:line="324" w:lineRule="auto"/>
              <w:ind w:left="420"/>
              <w:rPr>
                <w:sz w:val="21"/>
                <w:szCs w:val="21"/>
              </w:rPr>
            </w:pPr>
            <w:r>
              <w:rPr>
                <w:sz w:val="21"/>
                <w:szCs w:val="21"/>
              </w:rPr>
              <w:t>A1、A2、……An分别为各项评审因素所占的权重(A1＋A2＋……＋An＝1)。</w:t>
            </w:r>
          </w:p>
          <w:p>
            <w:pPr>
              <w:pStyle w:val="12"/>
              <w:widowControl/>
              <w:spacing w:line="324" w:lineRule="auto"/>
              <w:ind w:left="420"/>
              <w:rPr>
                <w:sz w:val="21"/>
                <w:szCs w:val="21"/>
              </w:rPr>
            </w:pPr>
            <w:r>
              <w:rPr>
                <w:sz w:val="21"/>
                <w:szCs w:val="21"/>
              </w:rPr>
              <w:t>评标过程中，不得去掉报价中的最高报价和最低报价。</w:t>
            </w:r>
          </w:p>
          <w:p>
            <w:pPr>
              <w:pStyle w:val="12"/>
              <w:widowControl/>
              <w:spacing w:line="324" w:lineRule="auto"/>
              <w:ind w:left="420"/>
              <w:rPr>
                <w:sz w:val="21"/>
                <w:szCs w:val="21"/>
              </w:rPr>
            </w:pPr>
            <w:r>
              <w:rPr>
                <w:sz w:val="21"/>
                <w:szCs w:val="21"/>
              </w:rPr>
              <w:t>此方法适用于货物类、服务类、工程类项目。</w:t>
            </w:r>
          </w:p>
        </w:tc>
      </w:tr>
    </w:tbl>
    <w:p/>
    <w:p>
      <w:pPr>
        <w:pStyle w:val="9"/>
      </w:pPr>
    </w:p>
    <w:tbl>
      <w:tblPr>
        <w:tblStyle w:val="13"/>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422"/>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2"/>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33" w:type="dxa"/>
            <w:gridSpan w:val="2"/>
            <w:vAlign w:val="center"/>
          </w:tcPr>
          <w:p>
            <w:pPr>
              <w:jc w:val="left"/>
              <w:rPr>
                <w:rFonts w:ascii="宋体" w:hAnsi="宋体" w:cs="宋体"/>
                <w:szCs w:val="21"/>
              </w:rPr>
            </w:pPr>
            <w:r>
              <w:rPr>
                <w:rFonts w:hint="eastAsia" w:ascii="宋体" w:hAnsi="宋体" w:cs="宋体"/>
                <w:kern w:val="0"/>
                <w:szCs w:val="21"/>
              </w:rPr>
              <w:t>技术规格偏离情况</w:t>
            </w:r>
          </w:p>
        </w:tc>
        <w:tc>
          <w:tcPr>
            <w:tcW w:w="142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4678" w:type="dxa"/>
            <w:vAlign w:val="center"/>
          </w:tcPr>
          <w:p>
            <w:pPr>
              <w:jc w:val="left"/>
              <w:rPr>
                <w:rFonts w:hint="eastAsia" w:ascii="宋体" w:hAnsi="宋体" w:cs="宋体"/>
                <w:kern w:val="0"/>
                <w:szCs w:val="21"/>
              </w:rPr>
            </w:pPr>
            <w:r>
              <w:rPr>
                <w:rFonts w:hint="eastAsia" w:ascii="宋体" w:hAnsi="宋体" w:cs="宋体"/>
                <w:kern w:val="0"/>
                <w:szCs w:val="21"/>
              </w:rPr>
              <w:t>（一）评审内容：</w:t>
            </w:r>
          </w:p>
          <w:p>
            <w:pPr>
              <w:jc w:val="left"/>
              <w:rPr>
                <w:rFonts w:hint="eastAsia" w:ascii="宋体" w:hAnsi="宋体" w:cs="宋体"/>
                <w:kern w:val="0"/>
                <w:szCs w:val="21"/>
              </w:rPr>
            </w:pPr>
            <w:r>
              <w:rPr>
                <w:rFonts w:hint="eastAsia" w:ascii="宋体" w:hAnsi="宋体" w:cs="宋体"/>
                <w:kern w:val="0"/>
                <w:szCs w:val="21"/>
              </w:rPr>
              <w:t>投标人应如实填写《技术规格偏离表》，评审专家根据技术需求参数响应情况进行评审。</w:t>
            </w:r>
          </w:p>
          <w:p>
            <w:pPr>
              <w:jc w:val="left"/>
              <w:rPr>
                <w:rFonts w:hint="eastAsia" w:ascii="宋体" w:hAnsi="宋体" w:cs="宋体"/>
                <w:kern w:val="0"/>
                <w:szCs w:val="21"/>
              </w:rPr>
            </w:pPr>
            <w:r>
              <w:rPr>
                <w:rFonts w:hint="eastAsia" w:ascii="宋体" w:hAnsi="宋体" w:cs="宋体"/>
                <w:kern w:val="0"/>
                <w:szCs w:val="21"/>
              </w:rPr>
              <w:t>（二）评分标准与依据：</w:t>
            </w:r>
          </w:p>
          <w:p>
            <w:pPr>
              <w:jc w:val="left"/>
              <w:rPr>
                <w:rFonts w:hint="eastAsia" w:ascii="宋体" w:hAnsi="宋体" w:cs="宋体"/>
                <w:kern w:val="0"/>
                <w:szCs w:val="21"/>
              </w:rPr>
            </w:pPr>
            <w:r>
              <w:rPr>
                <w:rFonts w:hint="eastAsia" w:ascii="宋体" w:hAnsi="宋体" w:cs="宋体"/>
                <w:kern w:val="0"/>
                <w:szCs w:val="21"/>
              </w:rPr>
              <w:t>完全满足招标文件要求的得</w:t>
            </w:r>
            <w:r>
              <w:rPr>
                <w:rFonts w:hint="eastAsia" w:ascii="宋体" w:hAnsi="宋体" w:cs="宋体"/>
                <w:kern w:val="0"/>
                <w:szCs w:val="21"/>
                <w:lang w:val="en-US" w:eastAsia="zh-CN"/>
              </w:rPr>
              <w:t>30</w:t>
            </w:r>
            <w:r>
              <w:rPr>
                <w:rFonts w:hint="eastAsia" w:ascii="宋体" w:hAnsi="宋体" w:cs="宋体"/>
                <w:kern w:val="0"/>
                <w:szCs w:val="21"/>
              </w:rPr>
              <w:t>分，标注“▲”条款，每负偏离一项扣</w:t>
            </w:r>
            <w:r>
              <w:rPr>
                <w:rFonts w:hint="eastAsia" w:ascii="宋体" w:hAnsi="宋体" w:cs="宋体"/>
                <w:kern w:val="0"/>
                <w:szCs w:val="21"/>
                <w:lang w:val="en-US" w:eastAsia="zh-CN"/>
              </w:rPr>
              <w:t>2</w:t>
            </w:r>
            <w:r>
              <w:rPr>
                <w:rFonts w:hint="eastAsia" w:ascii="宋体" w:hAnsi="宋体" w:cs="宋体"/>
                <w:kern w:val="0"/>
                <w:szCs w:val="21"/>
              </w:rPr>
              <w:t>分；未标注“▲”为一般条款，每负偏离一项扣1分。扣完为止。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33" w:type="dxa"/>
            <w:gridSpan w:val="2"/>
            <w:vAlign w:val="center"/>
          </w:tcPr>
          <w:p>
            <w:pPr>
              <w:jc w:val="left"/>
              <w:rPr>
                <w:rFonts w:hint="eastAsia" w:ascii="宋体" w:hAnsi="宋体" w:cs="宋体"/>
                <w:kern w:val="0"/>
                <w:szCs w:val="21"/>
              </w:rPr>
            </w:pPr>
            <w:r>
              <w:rPr>
                <w:rFonts w:hint="eastAsia" w:ascii="宋体" w:hAnsi="宋体" w:cs="宋体"/>
                <w:kern w:val="0"/>
                <w:szCs w:val="21"/>
              </w:rPr>
              <w:t>技术团队资质</w:t>
            </w:r>
          </w:p>
        </w:tc>
        <w:tc>
          <w:tcPr>
            <w:tcW w:w="1420" w:type="dxa"/>
            <w:vAlign w:val="center"/>
          </w:tcPr>
          <w:p>
            <w:pPr>
              <w:jc w:val="center"/>
              <w:rPr>
                <w:rFonts w:ascii="宋体" w:hAnsi="宋体" w:cs="宋体"/>
                <w:szCs w:val="21"/>
              </w:rPr>
            </w:pPr>
            <w:r>
              <w:rPr>
                <w:rFonts w:hint="eastAsia" w:ascii="宋体" w:hAnsi="宋体" w:cs="宋体"/>
                <w:szCs w:val="21"/>
                <w:lang w:val="en-US" w:eastAsia="zh-CN"/>
              </w:rPr>
              <w:t>9</w:t>
            </w:r>
          </w:p>
        </w:tc>
        <w:tc>
          <w:tcPr>
            <w:tcW w:w="4678" w:type="dxa"/>
            <w:vAlign w:val="center"/>
          </w:tcPr>
          <w:p>
            <w:pPr>
              <w:jc w:val="left"/>
              <w:rPr>
                <w:rFonts w:hint="eastAsia" w:ascii="宋体" w:hAnsi="宋体" w:cs="宋体"/>
                <w:kern w:val="0"/>
                <w:szCs w:val="21"/>
              </w:rPr>
            </w:pPr>
            <w:r>
              <w:rPr>
                <w:rFonts w:hint="eastAsia" w:ascii="宋体" w:hAnsi="宋体" w:cs="宋体"/>
                <w:kern w:val="0"/>
                <w:szCs w:val="21"/>
              </w:rPr>
              <w:t>一、投标人拟派驻的项目经理（1名）具备以下条件：</w:t>
            </w:r>
          </w:p>
          <w:p>
            <w:pPr>
              <w:jc w:val="left"/>
              <w:rPr>
                <w:rFonts w:hint="eastAsia" w:ascii="宋体" w:hAnsi="宋体" w:cs="宋体"/>
                <w:kern w:val="0"/>
                <w:szCs w:val="21"/>
              </w:rPr>
            </w:pPr>
            <w:r>
              <w:rPr>
                <w:rFonts w:hint="eastAsia" w:ascii="宋体" w:hAnsi="宋体" w:cs="宋体"/>
                <w:kern w:val="0"/>
                <w:szCs w:val="21"/>
              </w:rPr>
              <w:t>1、具有全日制本科（含）以上学历证书；</w:t>
            </w:r>
          </w:p>
          <w:p>
            <w:pPr>
              <w:jc w:val="left"/>
              <w:rPr>
                <w:rFonts w:hint="eastAsia" w:ascii="宋体" w:hAnsi="宋体" w:cs="宋体"/>
                <w:kern w:val="0"/>
                <w:szCs w:val="21"/>
              </w:rPr>
            </w:pPr>
            <w:r>
              <w:rPr>
                <w:rFonts w:hint="eastAsia" w:ascii="宋体" w:hAnsi="宋体" w:cs="宋体"/>
                <w:kern w:val="0"/>
                <w:szCs w:val="21"/>
              </w:rPr>
              <w:t>2、具有PMP项目管理工程师证书；</w:t>
            </w:r>
          </w:p>
          <w:p>
            <w:pPr>
              <w:jc w:val="left"/>
              <w:rPr>
                <w:rFonts w:hint="eastAsia" w:ascii="宋体" w:hAnsi="宋体" w:cs="宋体"/>
                <w:kern w:val="0"/>
                <w:szCs w:val="21"/>
              </w:rPr>
            </w:pPr>
            <w:r>
              <w:rPr>
                <w:rFonts w:hint="eastAsia" w:ascii="宋体" w:hAnsi="宋体" w:cs="宋体"/>
                <w:kern w:val="0"/>
                <w:szCs w:val="21"/>
              </w:rPr>
              <w:t>3、具有CISP注册信息安全专业人员证书；</w:t>
            </w:r>
          </w:p>
          <w:p>
            <w:pPr>
              <w:jc w:val="left"/>
              <w:rPr>
                <w:rFonts w:hint="eastAsia" w:ascii="宋体" w:hAnsi="宋体" w:cs="宋体"/>
                <w:kern w:val="0"/>
                <w:szCs w:val="21"/>
              </w:rPr>
            </w:pPr>
            <w:r>
              <w:rPr>
                <w:rFonts w:hint="eastAsia" w:ascii="宋体" w:hAnsi="宋体" w:cs="宋体"/>
                <w:kern w:val="0"/>
                <w:szCs w:val="21"/>
              </w:rPr>
              <w:t>以上证书每具备一项得</w:t>
            </w:r>
            <w:r>
              <w:rPr>
                <w:rFonts w:hint="eastAsia" w:ascii="宋体" w:hAnsi="宋体" w:cs="宋体"/>
                <w:kern w:val="0"/>
                <w:szCs w:val="21"/>
                <w:lang w:val="en-US" w:eastAsia="zh-CN"/>
              </w:rPr>
              <w:t>1</w:t>
            </w:r>
            <w:r>
              <w:rPr>
                <w:rFonts w:hint="eastAsia" w:ascii="宋体" w:hAnsi="宋体" w:cs="宋体"/>
                <w:kern w:val="0"/>
                <w:szCs w:val="21"/>
              </w:rPr>
              <w:t>分。</w:t>
            </w:r>
          </w:p>
          <w:p>
            <w:pPr>
              <w:jc w:val="left"/>
              <w:rPr>
                <w:rFonts w:hint="eastAsia" w:ascii="宋体" w:hAnsi="宋体" w:cs="宋体"/>
                <w:kern w:val="0"/>
                <w:szCs w:val="21"/>
              </w:rPr>
            </w:pPr>
            <w:r>
              <w:rPr>
                <w:rFonts w:hint="eastAsia" w:ascii="宋体" w:hAnsi="宋体" w:cs="宋体"/>
                <w:kern w:val="0"/>
                <w:szCs w:val="21"/>
              </w:rPr>
              <w:t>二、投标人拟派驻的技术负责人（1名）具备以下条件：</w:t>
            </w:r>
          </w:p>
          <w:p>
            <w:pPr>
              <w:jc w:val="left"/>
              <w:rPr>
                <w:rFonts w:hint="eastAsia" w:ascii="宋体" w:hAnsi="宋体" w:cs="宋体"/>
                <w:kern w:val="0"/>
                <w:szCs w:val="21"/>
              </w:rPr>
            </w:pPr>
            <w:r>
              <w:rPr>
                <w:rFonts w:hint="eastAsia" w:ascii="宋体" w:hAnsi="宋体" w:cs="宋体"/>
                <w:kern w:val="0"/>
                <w:szCs w:val="21"/>
              </w:rPr>
              <w:t>1、具有工业和信息化部门颁发的Linux运维高级工程师证书；</w:t>
            </w:r>
          </w:p>
          <w:p>
            <w:pPr>
              <w:jc w:val="left"/>
              <w:rPr>
                <w:rFonts w:hint="eastAsia" w:ascii="宋体" w:hAnsi="宋体" w:cs="宋体"/>
                <w:kern w:val="0"/>
                <w:szCs w:val="21"/>
              </w:rPr>
            </w:pPr>
            <w:r>
              <w:rPr>
                <w:rFonts w:hint="eastAsia" w:ascii="宋体" w:hAnsi="宋体" w:cs="宋体"/>
                <w:kern w:val="0"/>
                <w:szCs w:val="21"/>
              </w:rPr>
              <w:t>2、具有工业和信息化部门颁发的高级网络安全系统评测师证书；</w:t>
            </w:r>
          </w:p>
          <w:p>
            <w:pPr>
              <w:jc w:val="left"/>
              <w:rPr>
                <w:rFonts w:hint="eastAsia" w:ascii="宋体" w:hAnsi="宋体" w:cs="宋体"/>
                <w:kern w:val="0"/>
                <w:szCs w:val="21"/>
              </w:rPr>
            </w:pPr>
            <w:r>
              <w:rPr>
                <w:rFonts w:hint="eastAsia" w:ascii="宋体" w:hAnsi="宋体" w:cs="宋体"/>
                <w:kern w:val="0"/>
                <w:szCs w:val="21"/>
              </w:rPr>
              <w:t>3、具有工业和信息化部门颁发的高级数据库管理工程师证书；以上证书每具备一项得</w:t>
            </w:r>
            <w:r>
              <w:rPr>
                <w:rFonts w:hint="eastAsia" w:ascii="宋体" w:hAnsi="宋体" w:cs="宋体"/>
                <w:kern w:val="0"/>
                <w:szCs w:val="21"/>
                <w:lang w:val="en-US" w:eastAsia="zh-CN"/>
              </w:rPr>
              <w:t>1</w:t>
            </w:r>
            <w:r>
              <w:rPr>
                <w:rFonts w:hint="eastAsia" w:ascii="宋体" w:hAnsi="宋体" w:cs="宋体"/>
                <w:kern w:val="0"/>
                <w:szCs w:val="21"/>
              </w:rPr>
              <w:t>分。</w:t>
            </w:r>
          </w:p>
          <w:p>
            <w:pPr>
              <w:jc w:val="left"/>
              <w:rPr>
                <w:rFonts w:hint="eastAsia" w:ascii="宋体" w:hAnsi="宋体" w:cs="宋体"/>
                <w:kern w:val="0"/>
                <w:szCs w:val="21"/>
              </w:rPr>
            </w:pPr>
            <w:r>
              <w:rPr>
                <w:rFonts w:hint="eastAsia" w:ascii="宋体" w:hAnsi="宋体" w:cs="宋体"/>
                <w:kern w:val="0"/>
                <w:szCs w:val="21"/>
              </w:rPr>
              <w:t>三、项目团队技术人员（项目经理及技术负责人除外）具有下列资质证书注（一人多证不重复记分）：</w:t>
            </w:r>
          </w:p>
          <w:p>
            <w:pPr>
              <w:jc w:val="left"/>
              <w:rPr>
                <w:rFonts w:hint="eastAsia" w:ascii="宋体" w:hAnsi="宋体" w:cs="宋体"/>
                <w:kern w:val="0"/>
                <w:szCs w:val="21"/>
              </w:rPr>
            </w:pPr>
            <w:r>
              <w:rPr>
                <w:rFonts w:hint="eastAsia" w:ascii="宋体" w:hAnsi="宋体" w:cs="宋体"/>
                <w:kern w:val="0"/>
                <w:szCs w:val="21"/>
              </w:rPr>
              <w:t>1、具有智能建筑弱电高级工程师证书得</w:t>
            </w:r>
            <w:r>
              <w:rPr>
                <w:rFonts w:hint="eastAsia" w:ascii="宋体" w:hAnsi="宋体" w:cs="宋体"/>
                <w:kern w:val="0"/>
                <w:szCs w:val="21"/>
                <w:lang w:val="en-US" w:eastAsia="zh-CN"/>
              </w:rPr>
              <w:t>1</w:t>
            </w:r>
            <w:r>
              <w:rPr>
                <w:rFonts w:hint="eastAsia" w:ascii="宋体" w:hAnsi="宋体" w:cs="宋体"/>
                <w:kern w:val="0"/>
                <w:szCs w:val="21"/>
              </w:rPr>
              <w:t>分。</w:t>
            </w:r>
          </w:p>
          <w:p>
            <w:pPr>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、具有专职安全生产管理人员证书；得</w:t>
            </w:r>
            <w:r>
              <w:rPr>
                <w:rFonts w:hint="eastAsia" w:ascii="宋体" w:hAnsi="宋体" w:cs="宋体"/>
                <w:kern w:val="0"/>
                <w:szCs w:val="21"/>
                <w:lang w:val="en-US" w:eastAsia="zh-CN"/>
              </w:rPr>
              <w:t>1</w:t>
            </w:r>
            <w:r>
              <w:rPr>
                <w:rFonts w:hint="eastAsia" w:ascii="宋体" w:hAnsi="宋体" w:cs="宋体"/>
                <w:kern w:val="0"/>
                <w:szCs w:val="21"/>
              </w:rPr>
              <w:t>分。</w:t>
            </w:r>
          </w:p>
          <w:p>
            <w:pPr>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、具有ITSS服务项目经理证书，得</w:t>
            </w:r>
            <w:r>
              <w:rPr>
                <w:rFonts w:hint="eastAsia" w:ascii="宋体" w:hAnsi="宋体" w:cs="宋体"/>
                <w:kern w:val="0"/>
                <w:szCs w:val="21"/>
                <w:lang w:val="en-US" w:eastAsia="zh-CN"/>
              </w:rPr>
              <w:t>1</w:t>
            </w:r>
            <w:r>
              <w:rPr>
                <w:rFonts w:hint="eastAsia" w:ascii="宋体" w:hAnsi="宋体" w:cs="宋体"/>
                <w:kern w:val="0"/>
                <w:szCs w:val="21"/>
              </w:rPr>
              <w:t xml:space="preserve">分。 </w:t>
            </w:r>
          </w:p>
          <w:p>
            <w:pPr>
              <w:jc w:val="left"/>
              <w:rPr>
                <w:rFonts w:hint="eastAsia" w:ascii="宋体" w:hAnsi="宋体" w:cs="宋体"/>
                <w:kern w:val="0"/>
                <w:szCs w:val="21"/>
              </w:rPr>
            </w:pPr>
            <w:r>
              <w:rPr>
                <w:rFonts w:hint="eastAsia" w:ascii="宋体" w:hAnsi="宋体" w:cs="宋体"/>
                <w:kern w:val="0"/>
                <w:szCs w:val="21"/>
              </w:rPr>
              <w:t>注：须提供以上人员在有效期内的资质证书扫描件及本人在202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1</w:t>
            </w:r>
            <w:r>
              <w:rPr>
                <w:rFonts w:hint="eastAsia" w:ascii="宋体" w:hAnsi="宋体" w:cs="宋体"/>
                <w:kern w:val="0"/>
                <w:szCs w:val="21"/>
              </w:rPr>
              <w:t>月至今任意1个月在本投标单位缴纳社保的凭证或《保险单》复印件并加盖投标人公章。不提供或提供不全不得分。）项目经理与主要技术及管理人员不能为同一人，同一人具备多个证书的不得重复得分。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cs="宋体"/>
                <w:szCs w:val="21"/>
              </w:rPr>
            </w:pPr>
            <w:r>
              <w:rPr>
                <w:rFonts w:hint="eastAsia" w:ascii="宋体" w:hAnsi="宋体" w:cs="宋体"/>
                <w:szCs w:val="21"/>
              </w:rPr>
              <w:t>3</w:t>
            </w:r>
          </w:p>
        </w:tc>
        <w:tc>
          <w:tcPr>
            <w:tcW w:w="1433" w:type="dxa"/>
            <w:gridSpan w:val="2"/>
            <w:vAlign w:val="center"/>
          </w:tcPr>
          <w:p>
            <w:pPr>
              <w:jc w:val="left"/>
              <w:rPr>
                <w:rFonts w:hint="eastAsia" w:ascii="宋体" w:hAnsi="宋体" w:cs="宋体"/>
                <w:kern w:val="0"/>
                <w:szCs w:val="21"/>
              </w:rPr>
            </w:pPr>
            <w:r>
              <w:rPr>
                <w:rFonts w:hint="eastAsia" w:ascii="宋体" w:hAnsi="宋体" w:cs="宋体"/>
                <w:kern w:val="0"/>
                <w:szCs w:val="21"/>
              </w:rPr>
              <w:t>项目实施方案</w:t>
            </w:r>
          </w:p>
        </w:tc>
        <w:tc>
          <w:tcPr>
            <w:tcW w:w="1420" w:type="dxa"/>
            <w:vAlign w:val="center"/>
          </w:tcPr>
          <w:p>
            <w:pPr>
              <w:jc w:val="center"/>
              <w:rPr>
                <w:rFonts w:hint="eastAsia" w:ascii="宋体" w:hAnsi="宋体" w:cs="宋体"/>
                <w:szCs w:val="21"/>
              </w:rPr>
            </w:pPr>
            <w:r>
              <w:rPr>
                <w:rFonts w:hint="eastAsia" w:ascii="仿宋" w:hAnsi="仿宋" w:eastAsia="仿宋"/>
                <w:szCs w:val="21"/>
                <w:lang w:val="en-US" w:eastAsia="zh-CN"/>
              </w:rPr>
              <w:t>6</w:t>
            </w:r>
          </w:p>
        </w:tc>
        <w:tc>
          <w:tcPr>
            <w:tcW w:w="4678" w:type="dxa"/>
            <w:vAlign w:val="center"/>
          </w:tcPr>
          <w:p>
            <w:pPr>
              <w:jc w:val="left"/>
              <w:rPr>
                <w:rFonts w:hint="eastAsia" w:ascii="宋体" w:hAnsi="宋体" w:cs="宋体"/>
                <w:kern w:val="0"/>
                <w:szCs w:val="21"/>
              </w:rPr>
            </w:pPr>
            <w:r>
              <w:rPr>
                <w:rFonts w:hint="eastAsia" w:ascii="宋体" w:hAnsi="宋体" w:cs="宋体"/>
                <w:kern w:val="0"/>
                <w:szCs w:val="21"/>
              </w:rPr>
              <w:t xml:space="preserve">评审内容： </w:t>
            </w:r>
          </w:p>
          <w:p>
            <w:pPr>
              <w:jc w:val="left"/>
              <w:rPr>
                <w:rFonts w:hint="default" w:ascii="宋体" w:hAnsi="宋体" w:cs="宋体"/>
                <w:kern w:val="0"/>
                <w:szCs w:val="21"/>
                <w:lang w:val="en-US" w:eastAsia="zh-CN"/>
              </w:rPr>
            </w:pPr>
            <w:r>
              <w:rPr>
                <w:rFonts w:hint="eastAsia" w:ascii="宋体" w:hAnsi="宋体" w:cs="宋体"/>
                <w:kern w:val="0"/>
                <w:szCs w:val="21"/>
                <w:lang w:val="en-US" w:eastAsia="zh-CN"/>
              </w:rPr>
              <w:t>投标人据招标文件的需求，制定相应的工作方案，包含以下内容：</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1、项目进度计划安排</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2、施工组织计划</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3、验收组织计划</w:t>
            </w:r>
          </w:p>
          <w:p>
            <w:pPr>
              <w:jc w:val="left"/>
              <w:rPr>
                <w:rFonts w:hint="eastAsia" w:ascii="宋体" w:hAnsi="宋体" w:cs="宋体"/>
                <w:kern w:val="0"/>
                <w:szCs w:val="21"/>
              </w:rPr>
            </w:pPr>
            <w:r>
              <w:rPr>
                <w:rFonts w:hint="eastAsia" w:ascii="宋体" w:hAnsi="宋体" w:cs="宋体"/>
                <w:kern w:val="0"/>
                <w:szCs w:val="21"/>
              </w:rPr>
              <w:t>4、产品培训方案</w:t>
            </w:r>
          </w:p>
          <w:p>
            <w:pPr>
              <w:jc w:val="left"/>
              <w:rPr>
                <w:rFonts w:hint="eastAsia" w:ascii="宋体" w:hAnsi="宋体" w:cs="宋体"/>
                <w:kern w:val="0"/>
                <w:szCs w:val="21"/>
              </w:rPr>
            </w:pPr>
            <w:r>
              <w:rPr>
                <w:rFonts w:hint="eastAsia" w:ascii="宋体" w:hAnsi="宋体" w:cs="宋体"/>
                <w:kern w:val="0"/>
                <w:szCs w:val="21"/>
              </w:rPr>
              <w:t>（二）评</w:t>
            </w:r>
            <w:r>
              <w:rPr>
                <w:rFonts w:hint="eastAsia" w:ascii="宋体" w:hAnsi="宋体" w:cs="宋体"/>
                <w:kern w:val="0"/>
                <w:szCs w:val="21"/>
                <w:lang w:val="en-US" w:eastAsia="zh-CN"/>
              </w:rPr>
              <w:t>分标准</w:t>
            </w:r>
            <w:r>
              <w:rPr>
                <w:rFonts w:hint="eastAsia" w:ascii="宋体" w:hAnsi="宋体" w:cs="宋体"/>
                <w:kern w:val="0"/>
                <w:szCs w:val="21"/>
              </w:rPr>
              <w:t xml:space="preserve">： </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1.评审委员会考察以上评审内容的 1-4点。以上四点内容均满足得 4分，满足任意三点得3分，满足任意二点得2分满足任意一点得1 分，未满足不得分。</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2.</w:t>
            </w:r>
            <w:r>
              <w:rPr>
                <w:rFonts w:hint="eastAsia" w:ascii="宋体" w:hAnsi="宋体" w:cs="宋体"/>
                <w:kern w:val="0"/>
                <w:szCs w:val="21"/>
                <w:lang w:val="zh-CN"/>
              </w:rPr>
              <w:t>在此基础上，</w:t>
            </w:r>
            <w:r>
              <w:rPr>
                <w:rFonts w:hint="eastAsia" w:ascii="宋体" w:hAnsi="宋体" w:cs="宋体"/>
                <w:kern w:val="0"/>
                <w:szCs w:val="21"/>
                <w:lang w:val="en-US" w:eastAsia="zh-CN"/>
              </w:rPr>
              <w:t>根据投标人实施方案具体响应内容进一步评审。</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优：以上实施方案的四点内容全面具体、针对性</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强、可操作性强，加 2分；</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良：以上实施方案的四点内容较全面、针对性较</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强、可操作性较强，加 1 分；</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中：以上实施方案的四点内容完整性、针对性、可</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操作性均一般，加 0.5 分；</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差：实施方案内容不科学、不完整、针对性较弱，加 0 分；如果评审为差，请书面说明理由，并记录存档。</w:t>
            </w:r>
          </w:p>
          <w:p>
            <w:pPr>
              <w:jc w:val="left"/>
              <w:rPr>
                <w:rFonts w:hint="eastAsia" w:ascii="宋体" w:hAnsi="宋体" w:cs="宋体"/>
                <w:kern w:val="0"/>
                <w:szCs w:val="21"/>
                <w:lang w:val="en-US" w:eastAsia="zh-CN"/>
              </w:rPr>
            </w:pPr>
            <w:r>
              <w:rPr>
                <w:rFonts w:hint="eastAsia" w:ascii="宋体" w:hAnsi="宋体" w:cs="宋体"/>
                <w:kern w:val="0"/>
                <w:szCs w:val="21"/>
                <w:lang w:val="en-US" w:eastAsia="zh-CN"/>
              </w:rPr>
              <w:t>备注：投标人未提供相应方案的，得0分。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4"/>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w:t>
            </w:r>
          </w:p>
        </w:tc>
        <w:tc>
          <w:tcPr>
            <w:tcW w:w="1422" w:type="dxa"/>
            <w:vAlign w:val="center"/>
          </w:tcPr>
          <w:p>
            <w:pPr>
              <w:jc w:val="left"/>
              <w:rPr>
                <w:rFonts w:hint="eastAsia" w:ascii="宋体" w:hAnsi="宋体" w:cs="宋体"/>
                <w:kern w:val="0"/>
                <w:szCs w:val="21"/>
              </w:rPr>
            </w:pPr>
            <w:r>
              <w:rPr>
                <w:rFonts w:hint="eastAsia" w:ascii="宋体" w:hAnsi="宋体" w:cs="宋体"/>
                <w:kern w:val="0"/>
                <w:szCs w:val="21"/>
              </w:rPr>
              <w:t>商务条款</w:t>
            </w:r>
          </w:p>
          <w:p>
            <w:pPr>
              <w:jc w:val="left"/>
              <w:rPr>
                <w:rFonts w:hint="eastAsia" w:ascii="宋体" w:hAnsi="宋体" w:cs="宋体"/>
                <w:kern w:val="0"/>
                <w:szCs w:val="21"/>
              </w:rPr>
            </w:pPr>
            <w:r>
              <w:rPr>
                <w:rFonts w:hint="eastAsia" w:ascii="宋体" w:hAnsi="宋体" w:cs="宋体"/>
                <w:kern w:val="0"/>
                <w:szCs w:val="21"/>
              </w:rPr>
              <w:t>偏离情况</w:t>
            </w:r>
          </w:p>
        </w:tc>
        <w:tc>
          <w:tcPr>
            <w:tcW w:w="1431" w:type="dxa"/>
            <w:gridSpan w:val="2"/>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678" w:type="dxa"/>
            <w:vAlign w:val="center"/>
          </w:tcPr>
          <w:p>
            <w:pPr>
              <w:jc w:val="left"/>
              <w:rPr>
                <w:rFonts w:hint="eastAsia" w:ascii="宋体" w:hAnsi="宋体" w:cs="宋体"/>
                <w:kern w:val="0"/>
                <w:szCs w:val="21"/>
              </w:rPr>
            </w:pPr>
            <w:r>
              <w:rPr>
                <w:rFonts w:hint="eastAsia" w:ascii="宋体" w:hAnsi="宋体" w:cs="宋体"/>
                <w:kern w:val="0"/>
                <w:szCs w:val="21"/>
              </w:rPr>
              <w:t>（一）评分内容：投标人应如实填写《商务要求偏离表》，评审委员会根据响应情况进行打分，全部满足要求的得</w:t>
            </w:r>
            <w:r>
              <w:rPr>
                <w:rFonts w:hint="eastAsia" w:ascii="宋体" w:hAnsi="宋体" w:cs="宋体"/>
                <w:kern w:val="0"/>
                <w:szCs w:val="21"/>
                <w:lang w:val="en-US" w:eastAsia="zh-CN"/>
              </w:rPr>
              <w:t>5</w:t>
            </w:r>
            <w:r>
              <w:rPr>
                <w:rFonts w:hint="eastAsia" w:ascii="宋体" w:hAnsi="宋体" w:cs="宋体"/>
                <w:kern w:val="0"/>
                <w:szCs w:val="21"/>
              </w:rPr>
              <w:t>分，所有标注“▲”的重要参数每项负偏离一扣</w:t>
            </w:r>
            <w:r>
              <w:rPr>
                <w:rFonts w:hint="eastAsia" w:ascii="宋体" w:hAnsi="宋体" w:cs="宋体"/>
                <w:kern w:val="0"/>
                <w:szCs w:val="21"/>
                <w:lang w:val="en-US" w:eastAsia="zh-CN"/>
              </w:rPr>
              <w:t>1</w:t>
            </w:r>
            <w:r>
              <w:rPr>
                <w:rFonts w:hint="eastAsia" w:ascii="宋体" w:hAnsi="宋体" w:cs="宋体"/>
                <w:kern w:val="0"/>
                <w:szCs w:val="21"/>
              </w:rPr>
              <w:t>分，一般参数每负偏离一条扣</w:t>
            </w:r>
            <w:r>
              <w:rPr>
                <w:rFonts w:hint="eastAsia" w:ascii="宋体" w:hAnsi="宋体" w:cs="宋体"/>
                <w:kern w:val="0"/>
                <w:szCs w:val="21"/>
                <w:lang w:val="en-US" w:eastAsia="zh-CN"/>
              </w:rPr>
              <w:t>1</w:t>
            </w:r>
            <w:r>
              <w:rPr>
                <w:rFonts w:hint="eastAsia" w:ascii="宋体" w:hAnsi="宋体" w:cs="宋体"/>
                <w:kern w:val="0"/>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422" w:type="dxa"/>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投标人通过相关认证情况</w:t>
            </w:r>
          </w:p>
        </w:tc>
        <w:tc>
          <w:tcPr>
            <w:tcW w:w="1431" w:type="dxa"/>
            <w:gridSpan w:val="2"/>
            <w:vAlign w:val="center"/>
          </w:tcPr>
          <w:p>
            <w:pPr>
              <w:jc w:val="center"/>
              <w:rPr>
                <w:rFonts w:hint="default" w:ascii="宋体" w:hAnsi="宋体" w:eastAsia="宋体" w:cs="宋体"/>
                <w:szCs w:val="21"/>
                <w:lang w:val="en-US" w:eastAsia="zh-CN"/>
              </w:rPr>
            </w:pPr>
            <w:r>
              <w:rPr>
                <w:rFonts w:hint="eastAsia" w:ascii="仿宋" w:hAnsi="仿宋" w:eastAsia="仿宋" w:cs="宋体"/>
                <w:szCs w:val="21"/>
                <w:lang w:val="en-US" w:eastAsia="zh-CN"/>
              </w:rPr>
              <w:t>15</w:t>
            </w:r>
          </w:p>
        </w:tc>
        <w:tc>
          <w:tcPr>
            <w:tcW w:w="4678" w:type="dxa"/>
            <w:vAlign w:val="center"/>
          </w:tcPr>
          <w:p>
            <w:pPr>
              <w:jc w:val="left"/>
              <w:rPr>
                <w:rFonts w:hint="eastAsia" w:ascii="宋体" w:hAnsi="宋体" w:cs="宋体"/>
                <w:kern w:val="0"/>
                <w:szCs w:val="21"/>
              </w:rPr>
            </w:pPr>
            <w:r>
              <w:rPr>
                <w:rFonts w:hint="eastAsia" w:ascii="宋体" w:hAnsi="宋体" w:cs="宋体"/>
                <w:kern w:val="0"/>
                <w:szCs w:val="21"/>
              </w:rPr>
              <w:t>投标人具备有效的管理体系认证证书，包括：质量管理体系认证、环境管理体系认证和职业健康安全管理体系认证。证明文件：提供有效的相关认证证书复印件和国家认证监委网站（http：// www.cnca.gov.cn）的认证信息截图。如未按要求提供证明材料，或所提供的证明材料未能体现上述评分内容的，视为该证明材料无效。上述证书每提供一个得</w:t>
            </w:r>
            <w:r>
              <w:rPr>
                <w:rFonts w:hint="eastAsia" w:ascii="宋体" w:hAnsi="宋体" w:cs="宋体"/>
                <w:kern w:val="0"/>
                <w:szCs w:val="21"/>
                <w:lang w:val="en-US" w:eastAsia="zh-CN"/>
              </w:rPr>
              <w:t>5</w:t>
            </w:r>
            <w:r>
              <w:rPr>
                <w:rFonts w:hint="eastAsia" w:ascii="宋体" w:hAnsi="宋体" w:cs="宋体"/>
                <w:kern w:val="0"/>
                <w:szCs w:val="21"/>
              </w:rPr>
              <w:t>分，最高可得</w:t>
            </w:r>
            <w:r>
              <w:rPr>
                <w:rFonts w:hint="eastAsia" w:ascii="宋体" w:hAnsi="宋体" w:cs="宋体"/>
                <w:kern w:val="0"/>
                <w:szCs w:val="21"/>
                <w:lang w:val="en-US" w:eastAsia="zh-CN"/>
              </w:rPr>
              <w:t>15</w:t>
            </w:r>
            <w:r>
              <w:rPr>
                <w:rFonts w:hint="eastAsia" w:ascii="宋体" w:hAnsi="宋体" w:cs="宋体"/>
                <w:kern w:val="0"/>
                <w:szCs w:val="21"/>
              </w:rPr>
              <w:t>分。</w:t>
            </w:r>
          </w:p>
          <w:p>
            <w:pPr>
              <w:jc w:val="left"/>
              <w:rPr>
                <w:rFonts w:hint="eastAsia" w:ascii="宋体" w:hAnsi="宋体" w:cs="宋体"/>
                <w:kern w:val="0"/>
                <w:szCs w:val="21"/>
                <w:lang w:val="en-US" w:eastAsia="zh-CN"/>
              </w:rPr>
            </w:pPr>
            <w:r>
              <w:rPr>
                <w:rFonts w:hint="eastAsia" w:ascii="宋体" w:hAnsi="宋体" w:cs="宋体"/>
                <w:kern w:val="0"/>
                <w:szCs w:val="21"/>
              </w:rPr>
              <w:t>注：证书须在有效期内。提供证书复印件，复印件需加盖公章，未按要求提供的不得分。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1422" w:type="dxa"/>
            <w:vAlign w:val="center"/>
          </w:tcPr>
          <w:p>
            <w:pPr>
              <w:jc w:val="left"/>
              <w:rPr>
                <w:rFonts w:ascii="宋体" w:hAnsi="宋体" w:cs="宋体"/>
                <w:szCs w:val="21"/>
              </w:rPr>
            </w:pPr>
            <w:r>
              <w:rPr>
                <w:rFonts w:hint="eastAsia" w:ascii="宋体" w:hAnsi="宋体" w:cs="宋体"/>
                <w:szCs w:val="21"/>
              </w:rPr>
              <w:t>诚信评价</w:t>
            </w:r>
          </w:p>
        </w:tc>
        <w:tc>
          <w:tcPr>
            <w:tcW w:w="1431" w:type="dxa"/>
            <w:gridSpan w:val="2"/>
            <w:vAlign w:val="center"/>
          </w:tcPr>
          <w:p>
            <w:pPr>
              <w:jc w:val="center"/>
              <w:rPr>
                <w:rFonts w:ascii="宋体" w:hAnsi="宋体" w:cs="宋体"/>
                <w:szCs w:val="21"/>
              </w:rPr>
            </w:pPr>
            <w:r>
              <w:rPr>
                <w:rFonts w:hint="eastAsia" w:ascii="宋体" w:hAnsi="宋体" w:cs="宋体"/>
                <w:szCs w:val="21"/>
              </w:rPr>
              <w:t>5</w:t>
            </w:r>
          </w:p>
        </w:tc>
        <w:tc>
          <w:tcPr>
            <w:tcW w:w="4678" w:type="dxa"/>
          </w:tcPr>
          <w:p>
            <w:pPr>
              <w:jc w:val="left"/>
              <w:rPr>
                <w:rFonts w:ascii="宋体" w:hAnsi="宋体" w:cs="宋体"/>
                <w:szCs w:val="21"/>
              </w:rPr>
            </w:pPr>
            <w:r>
              <w:rPr>
                <w:rFonts w:hint="eastAsia" w:ascii="宋体" w:hAnsi="宋体" w:cs="宋体"/>
                <w:szCs w:val="21"/>
              </w:rPr>
              <w:t>投标人在参与政府采购活动中存在《深圳市财政局政府采购供应商信⽤信息管理办法》第⼗⼀条诚信相关问题且在主管部门相关处理措施实施期限内的，本项不得分，否则得满分。投标人无需提供任何证明材料，由工作人员查询后向评审委员会提供相关信息。</w:t>
            </w:r>
          </w:p>
        </w:tc>
      </w:tr>
    </w:tbl>
    <w:p>
      <w:pPr>
        <w:pStyle w:val="3"/>
      </w:pPr>
      <w:r>
        <w:rPr>
          <w:rFonts w:hint="eastAsia"/>
        </w:rPr>
        <w:t>第二章项目需求</w:t>
      </w:r>
    </w:p>
    <w:p>
      <w:pPr>
        <w:pStyle w:val="6"/>
        <w:spacing w:before="156" w:beforeLines="50" w:after="156" w:afterLines="50"/>
        <w:rPr>
          <w:rFonts w:cs="宋体"/>
          <w:szCs w:val="28"/>
        </w:rPr>
      </w:pPr>
      <w:bookmarkStart w:id="0" w:name="_Toc73518117"/>
      <w:bookmarkStart w:id="1" w:name="_Toc60560625"/>
      <w:bookmarkStart w:id="2" w:name="_Toc73517639"/>
      <w:bookmarkStart w:id="3" w:name="_Toc60631620"/>
      <w:bookmarkStart w:id="4" w:name="_Toc73521635"/>
      <w:bookmarkStart w:id="5" w:name="_Toc100052364"/>
      <w:bookmarkStart w:id="6" w:name="_Toc73521547"/>
      <w:bookmarkStart w:id="7" w:name="_Toc101074876"/>
      <w:r>
        <w:rPr>
          <w:rFonts w:hint="eastAsia" w:cs="宋体"/>
          <w:szCs w:val="28"/>
        </w:rPr>
        <w:t>一、项目概况</w:t>
      </w:r>
    </w:p>
    <w:bookmarkEnd w:id="0"/>
    <w:bookmarkEnd w:id="1"/>
    <w:bookmarkEnd w:id="2"/>
    <w:bookmarkEnd w:id="3"/>
    <w:bookmarkEnd w:id="4"/>
    <w:bookmarkEnd w:id="5"/>
    <w:bookmarkEnd w:id="6"/>
    <w:bookmarkEnd w:id="7"/>
    <w:p>
      <w:pPr>
        <w:pStyle w:val="6"/>
        <w:numPr>
          <w:ilvl w:val="0"/>
          <w:numId w:val="0"/>
        </w:numPr>
        <w:spacing w:before="156" w:beforeLines="50" w:after="156" w:afterLines="50"/>
        <w:jc w:val="both"/>
        <w:rPr>
          <w:rFonts w:cs="宋体"/>
          <w:szCs w:val="28"/>
        </w:rPr>
      </w:pPr>
      <w:r>
        <w:rPr>
          <w:rFonts w:hint="eastAsia" w:ascii="仿宋" w:hAnsi="仿宋" w:eastAsia="仿宋" w:cs="宋体"/>
          <w:b/>
          <w:bCs/>
          <w:kern w:val="0"/>
          <w:sz w:val="20"/>
          <w:szCs w:val="20"/>
        </w:rPr>
        <w:t>大数据竞赛实训平台</w:t>
      </w:r>
    </w:p>
    <w:p>
      <w:pPr>
        <w:pStyle w:val="6"/>
        <w:numPr>
          <w:ilvl w:val="0"/>
          <w:numId w:val="1"/>
        </w:numPr>
        <w:spacing w:before="156" w:beforeLines="50" w:after="156" w:afterLines="50"/>
        <w:rPr>
          <w:rFonts w:cs="宋体"/>
          <w:szCs w:val="28"/>
        </w:rPr>
      </w:pPr>
      <w:r>
        <w:rPr>
          <w:rFonts w:hint="eastAsia" w:cs="宋体"/>
          <w:szCs w:val="28"/>
        </w:rPr>
        <w:t>货物清单</w:t>
      </w:r>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1269"/>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单位</w:t>
            </w:r>
          </w:p>
        </w:tc>
        <w:tc>
          <w:tcPr>
            <w:tcW w:w="1290" w:type="dxa"/>
            <w:vAlign w:val="center"/>
          </w:tcPr>
          <w:p>
            <w:pPr>
              <w:jc w:val="center"/>
              <w:rPr>
                <w:rFonts w:ascii="宋体" w:hAnsi="宋体" w:cs="宋体"/>
                <w:bCs/>
                <w:szCs w:val="21"/>
              </w:rPr>
            </w:pPr>
            <w:r>
              <w:rPr>
                <w:rFonts w:hint="eastAsia" w:ascii="宋体" w:hAnsi="宋体" w:cs="宋体"/>
                <w:bCs/>
                <w:szCs w:val="21"/>
              </w:rPr>
              <w:t>数量</w:t>
            </w:r>
          </w:p>
        </w:tc>
        <w:tc>
          <w:tcPr>
            <w:tcW w:w="1269" w:type="dxa"/>
            <w:vAlign w:val="center"/>
          </w:tcPr>
          <w:p>
            <w:pPr>
              <w:jc w:val="center"/>
              <w:rPr>
                <w:rFonts w:ascii="宋体" w:hAnsi="宋体" w:cs="宋体"/>
                <w:bCs/>
                <w:szCs w:val="21"/>
              </w:rPr>
            </w:pPr>
            <w:r>
              <w:rPr>
                <w:rFonts w:hint="eastAsia" w:ascii="宋体" w:hAnsi="宋体" w:cs="宋体"/>
                <w:bCs/>
                <w:szCs w:val="21"/>
              </w:rPr>
              <w:t>允许采购</w:t>
            </w:r>
          </w:p>
          <w:p>
            <w:pPr>
              <w:jc w:val="center"/>
              <w:rPr>
                <w:rFonts w:ascii="宋体" w:hAnsi="宋体" w:cs="宋体"/>
                <w:szCs w:val="21"/>
              </w:rPr>
            </w:pPr>
            <w:r>
              <w:rPr>
                <w:rFonts w:hint="eastAsia" w:ascii="宋体" w:hAnsi="宋体" w:cs="宋体"/>
                <w:bCs/>
                <w:szCs w:val="21"/>
              </w:rPr>
              <w:t>进口产品</w:t>
            </w:r>
          </w:p>
        </w:tc>
        <w:tc>
          <w:tcPr>
            <w:tcW w:w="183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276" w:lineRule="auto"/>
              <w:jc w:val="center"/>
              <w:rPr>
                <w:rFonts w:ascii="宋体" w:hAnsi="宋体" w:cs="宋体"/>
                <w:bCs/>
                <w:szCs w:val="21"/>
              </w:rPr>
            </w:pPr>
            <w:r>
              <w:rPr>
                <w:rFonts w:hint="eastAsia" w:ascii="宋体" w:hAnsi="宋体"/>
                <w:b/>
                <w:bCs/>
                <w:sz w:val="22"/>
              </w:rPr>
              <w:t>1</w:t>
            </w:r>
          </w:p>
        </w:tc>
        <w:tc>
          <w:tcPr>
            <w:tcW w:w="2265" w:type="dxa"/>
            <w:vAlign w:val="top"/>
          </w:tcPr>
          <w:p>
            <w:pPr>
              <w:jc w:val="left"/>
              <w:rPr>
                <w:rFonts w:hint="eastAsia" w:ascii="宋体" w:hAnsi="宋体" w:cs="宋体"/>
                <w:szCs w:val="21"/>
              </w:rPr>
            </w:pPr>
            <w:r>
              <w:rPr>
                <w:rFonts w:hint="eastAsia" w:ascii="宋体" w:hAnsi="宋体" w:cs="宋体"/>
                <w:szCs w:val="21"/>
              </w:rPr>
              <w:t>大数据竞赛实训平台-学生实训模块</w:t>
            </w:r>
          </w:p>
        </w:tc>
        <w:tc>
          <w:tcPr>
            <w:tcW w:w="1335" w:type="dxa"/>
            <w:vAlign w:val="center"/>
          </w:tcPr>
          <w:p>
            <w:pPr>
              <w:spacing w:line="276" w:lineRule="auto"/>
              <w:jc w:val="center"/>
              <w:rPr>
                <w:rFonts w:ascii="仿宋" w:hAnsi="仿宋" w:eastAsia="仿宋"/>
                <w:bCs/>
                <w:szCs w:val="21"/>
              </w:rPr>
            </w:pPr>
            <w:r>
              <w:rPr>
                <w:rFonts w:hint="eastAsia" w:ascii="宋体" w:hAnsi="宋体"/>
                <w:szCs w:val="21"/>
              </w:rPr>
              <w:t>套</w:t>
            </w:r>
          </w:p>
        </w:tc>
        <w:tc>
          <w:tcPr>
            <w:tcW w:w="1290" w:type="dxa"/>
            <w:vAlign w:val="center"/>
          </w:tcPr>
          <w:p>
            <w:pPr>
              <w:spacing w:line="276" w:lineRule="auto"/>
              <w:jc w:val="center"/>
              <w:rPr>
                <w:rFonts w:ascii="仿宋" w:hAnsi="仿宋" w:eastAsia="仿宋"/>
                <w:bCs/>
                <w:szCs w:val="21"/>
              </w:rPr>
            </w:pPr>
            <w:r>
              <w:rPr>
                <w:rFonts w:hint="eastAsia" w:ascii="宋体" w:hAnsi="宋体"/>
                <w:szCs w:val="21"/>
              </w:rPr>
              <w:t>1</w:t>
            </w:r>
          </w:p>
        </w:tc>
        <w:tc>
          <w:tcPr>
            <w:tcW w:w="1269" w:type="dxa"/>
            <w:vAlign w:val="center"/>
          </w:tcPr>
          <w:p>
            <w:pPr>
              <w:spacing w:line="276" w:lineRule="auto"/>
              <w:jc w:val="center"/>
              <w:rPr>
                <w:rFonts w:ascii="宋体" w:hAnsi="宋体"/>
                <w:sz w:val="22"/>
              </w:rPr>
            </w:pPr>
            <w:r>
              <w:rPr>
                <w:rFonts w:hint="eastAsia" w:ascii="宋体" w:hAnsi="宋体"/>
                <w:sz w:val="22"/>
              </w:rPr>
              <w:t>拒绝进口</w:t>
            </w:r>
          </w:p>
        </w:tc>
        <w:tc>
          <w:tcPr>
            <w:tcW w:w="1830" w:type="dxa"/>
            <w:vAlign w:val="center"/>
          </w:tcPr>
          <w:p>
            <w:pPr>
              <w:spacing w:line="276" w:lineRule="auto"/>
              <w:jc w:val="center"/>
              <w:rPr>
                <w:rFonts w:ascii="仿宋" w:hAnsi="仿宋" w:eastAsia="仿宋"/>
                <w:bCs/>
                <w:szCs w:val="21"/>
              </w:rPr>
            </w:pPr>
            <w:r>
              <w:rPr>
                <w:rFonts w:hint="eastAsia" w:ascii="宋体" w:hAnsi="宋体"/>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276" w:lineRule="auto"/>
              <w:jc w:val="center"/>
              <w:rPr>
                <w:rFonts w:ascii="宋体" w:hAnsi="宋体" w:cs="宋体"/>
                <w:bCs/>
                <w:szCs w:val="21"/>
              </w:rPr>
            </w:pPr>
            <w:r>
              <w:rPr>
                <w:rFonts w:hint="eastAsia" w:ascii="宋体" w:hAnsi="宋体"/>
                <w:b/>
                <w:bCs/>
                <w:sz w:val="22"/>
              </w:rPr>
              <w:t>2</w:t>
            </w:r>
          </w:p>
        </w:tc>
        <w:tc>
          <w:tcPr>
            <w:tcW w:w="2265" w:type="dxa"/>
            <w:vAlign w:val="top"/>
          </w:tcPr>
          <w:p>
            <w:pPr>
              <w:jc w:val="left"/>
              <w:rPr>
                <w:rFonts w:hint="eastAsia" w:ascii="宋体" w:hAnsi="宋体" w:cs="宋体"/>
                <w:szCs w:val="21"/>
              </w:rPr>
            </w:pPr>
            <w:r>
              <w:rPr>
                <w:rFonts w:hint="eastAsia" w:ascii="宋体" w:hAnsi="宋体" w:cs="宋体"/>
                <w:szCs w:val="21"/>
                <w:lang w:val="en-US" w:eastAsia="zh-CN"/>
              </w:rPr>
              <w:t>售后服务</w:t>
            </w:r>
          </w:p>
        </w:tc>
        <w:tc>
          <w:tcPr>
            <w:tcW w:w="1335" w:type="dxa"/>
            <w:vAlign w:val="center"/>
          </w:tcPr>
          <w:p>
            <w:pPr>
              <w:spacing w:line="276" w:lineRule="auto"/>
              <w:jc w:val="center"/>
              <w:rPr>
                <w:rFonts w:hint="eastAsia" w:ascii="仿宋" w:hAnsi="仿宋" w:eastAsia="仿宋"/>
                <w:bCs/>
                <w:szCs w:val="21"/>
                <w:lang w:eastAsia="zh-CN"/>
              </w:rPr>
            </w:pPr>
            <w:r>
              <w:rPr>
                <w:rFonts w:hint="eastAsia" w:ascii="宋体" w:hAnsi="宋体" w:eastAsia="仿宋"/>
                <w:szCs w:val="21"/>
                <w:lang w:val="en-US" w:eastAsia="zh-CN"/>
              </w:rPr>
              <w:t>项</w:t>
            </w:r>
          </w:p>
        </w:tc>
        <w:tc>
          <w:tcPr>
            <w:tcW w:w="1290" w:type="dxa"/>
            <w:vAlign w:val="center"/>
          </w:tcPr>
          <w:p>
            <w:pPr>
              <w:spacing w:line="276" w:lineRule="auto"/>
              <w:jc w:val="center"/>
              <w:rPr>
                <w:rFonts w:ascii="仿宋" w:hAnsi="仿宋" w:eastAsia="仿宋"/>
                <w:bCs/>
                <w:szCs w:val="21"/>
              </w:rPr>
            </w:pPr>
            <w:r>
              <w:rPr>
                <w:rFonts w:hint="eastAsia" w:ascii="宋体" w:hAnsi="宋体"/>
                <w:szCs w:val="21"/>
              </w:rPr>
              <w:t>1</w:t>
            </w:r>
          </w:p>
        </w:tc>
        <w:tc>
          <w:tcPr>
            <w:tcW w:w="1269" w:type="dxa"/>
            <w:vAlign w:val="center"/>
          </w:tcPr>
          <w:p>
            <w:pPr>
              <w:spacing w:line="276" w:lineRule="auto"/>
              <w:jc w:val="center"/>
              <w:rPr>
                <w:rFonts w:ascii="宋体" w:hAnsi="宋体"/>
                <w:sz w:val="22"/>
              </w:rPr>
            </w:pPr>
            <w:r>
              <w:rPr>
                <w:rFonts w:hint="eastAsia" w:ascii="宋体" w:hAnsi="宋体"/>
                <w:sz w:val="22"/>
              </w:rPr>
              <w:t>拒绝进口</w:t>
            </w:r>
          </w:p>
        </w:tc>
        <w:tc>
          <w:tcPr>
            <w:tcW w:w="1830" w:type="dxa"/>
            <w:vAlign w:val="center"/>
          </w:tcPr>
          <w:p>
            <w:pPr>
              <w:spacing w:line="276" w:lineRule="auto"/>
              <w:jc w:val="center"/>
              <w:rPr>
                <w:rFonts w:ascii="宋体" w:hAnsi="宋体" w:cs="宋体"/>
                <w:color w:val="000000"/>
                <w:kern w:val="0"/>
                <w:sz w:val="24"/>
              </w:rPr>
            </w:pPr>
          </w:p>
        </w:tc>
      </w:tr>
    </w:tbl>
    <w:p>
      <w:pPr>
        <w:pStyle w:val="6"/>
        <w:spacing w:before="156" w:beforeLines="50" w:after="156" w:afterLines="50"/>
        <w:rPr>
          <w:rFonts w:cs="宋体"/>
          <w:szCs w:val="28"/>
        </w:rPr>
      </w:pPr>
      <w:r>
        <w:rPr>
          <w:rFonts w:hint="eastAsia" w:cs="宋体"/>
          <w:szCs w:val="28"/>
        </w:rPr>
        <w:t>三、具体技术要求</w:t>
      </w:r>
    </w:p>
    <w:p>
      <w:pPr>
        <w:rPr>
          <w:rFonts w:ascii="宋体" w:hAnsi="宋体" w:cs="宋体"/>
          <w:bCs/>
          <w:szCs w:val="21"/>
        </w:rPr>
      </w:pPr>
      <w:r>
        <w:rPr>
          <w:rFonts w:hint="eastAsia" w:ascii="宋体" w:hAnsi="宋体" w:cs="宋体"/>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3"/>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Cs/>
                <w:szCs w:val="21"/>
              </w:rPr>
            </w:pPr>
            <w:r>
              <w:rPr>
                <w:rFonts w:hint="eastAsia" w:ascii="仿宋" w:hAnsi="仿宋" w:eastAsia="仿宋"/>
                <w:bCs/>
                <w:szCs w:val="21"/>
              </w:rPr>
              <w:t>序号</w:t>
            </w:r>
          </w:p>
        </w:tc>
        <w:tc>
          <w:tcPr>
            <w:tcW w:w="1476" w:type="dxa"/>
            <w:vAlign w:val="center"/>
          </w:tcPr>
          <w:p>
            <w:pPr>
              <w:widowControl/>
              <w:jc w:val="center"/>
              <w:rPr>
                <w:rFonts w:ascii="仿宋" w:hAnsi="仿宋" w:eastAsia="仿宋"/>
                <w:bCs/>
                <w:szCs w:val="21"/>
              </w:rPr>
            </w:pPr>
            <w:r>
              <w:rPr>
                <w:rFonts w:hint="eastAsia" w:ascii="仿宋" w:hAnsi="仿宋" w:eastAsia="仿宋"/>
                <w:bCs/>
                <w:szCs w:val="21"/>
              </w:rPr>
              <w:t>货物名称</w:t>
            </w:r>
          </w:p>
        </w:tc>
        <w:tc>
          <w:tcPr>
            <w:tcW w:w="5986" w:type="dxa"/>
            <w:vAlign w:val="center"/>
          </w:tcPr>
          <w:p>
            <w:pPr>
              <w:jc w:val="center"/>
              <w:rPr>
                <w:rFonts w:ascii="仿宋" w:hAnsi="仿宋" w:eastAsia="仿宋"/>
                <w:bCs/>
                <w:szCs w:val="21"/>
              </w:rPr>
            </w:pPr>
            <w:r>
              <w:rPr>
                <w:rFonts w:hint="eastAsia" w:ascii="仿宋" w:hAnsi="仿宋" w:eastAsia="仿宋"/>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widowControl/>
              <w:jc w:val="center"/>
              <w:rPr>
                <w:rFonts w:hint="eastAsia" w:ascii="宋体" w:hAnsi="宋体" w:eastAsia="宋体" w:cs="宋体"/>
                <w:bCs/>
                <w:szCs w:val="21"/>
                <w:lang w:eastAsia="zh-CN"/>
              </w:rPr>
            </w:pPr>
            <w:r>
              <w:rPr>
                <w:rFonts w:hint="eastAsia" w:ascii="宋体" w:hAnsi="宋体" w:cs="宋体"/>
                <w:color w:val="000000"/>
                <w:kern w:val="0"/>
                <w:szCs w:val="21"/>
                <w:lang w:val="en-US" w:eastAsia="zh-CN"/>
              </w:rPr>
              <w:t>1</w:t>
            </w:r>
          </w:p>
        </w:tc>
        <w:tc>
          <w:tcPr>
            <w:tcW w:w="1476" w:type="dxa"/>
            <w:vAlign w:val="center"/>
          </w:tcPr>
          <w:p>
            <w:pPr>
              <w:jc w:val="left"/>
              <w:rPr>
                <w:rFonts w:hint="eastAsia" w:ascii="宋体" w:hAnsi="宋体" w:cs="宋体"/>
                <w:szCs w:val="21"/>
                <w:lang w:val="en-US" w:eastAsia="zh-CN"/>
              </w:rPr>
            </w:pPr>
            <w:r>
              <w:rPr>
                <w:rFonts w:hint="eastAsia" w:ascii="宋体" w:hAnsi="宋体" w:cs="宋体"/>
                <w:szCs w:val="21"/>
                <w:lang w:val="en-US" w:eastAsia="zh-CN"/>
              </w:rPr>
              <w:t>大数据竞赛实训平台-学生实训模块</w:t>
            </w:r>
          </w:p>
          <w:p>
            <w:pPr>
              <w:jc w:val="left"/>
              <w:rPr>
                <w:rFonts w:hint="eastAsia" w:ascii="宋体" w:hAnsi="宋体" w:cs="宋体"/>
                <w:szCs w:val="21"/>
                <w:lang w:val="en-US" w:eastAsia="zh-CN"/>
              </w:rPr>
            </w:pPr>
          </w:p>
        </w:tc>
        <w:tc>
          <w:tcPr>
            <w:tcW w:w="5986" w:type="dxa"/>
            <w:vAlign w:val="top"/>
          </w:tcPr>
          <w:p>
            <w:pPr>
              <w:jc w:val="left"/>
              <w:rPr>
                <w:rFonts w:hint="eastAsia" w:ascii="宋体" w:hAnsi="宋体" w:cs="宋体"/>
                <w:szCs w:val="21"/>
                <w:lang w:val="en-US" w:eastAsia="zh-CN"/>
              </w:rPr>
            </w:pPr>
            <w:r>
              <w:rPr>
                <w:rFonts w:hint="eastAsia" w:ascii="宋体" w:hAnsi="宋体" w:cs="宋体"/>
                <w:szCs w:val="21"/>
                <w:lang w:val="en-US" w:eastAsia="zh-CN"/>
              </w:rPr>
              <w:t>本实训平台基于云原生、Kubernetes、dockers、虚拟机和微服务等技术构建，为学生提供便捷、高效的大数据集群操作环境。平台为学生提供在线编码、命令行、云桌面等多种实践模式，满足不同类型专业课程知识、技能在线实践需求。平台提供一站式大数据搭建与运维、数据获取与处理、业务分析与可视化等核心知识技能服务。实训平台提供模拟实训场景，不仅培养学生“基础扎实、巧学活用”的大数据思维，而且满足大数据产教融合需求，助力学生提升大数据应用技能，培养新一代数据人才。</w:t>
            </w:r>
          </w:p>
          <w:p>
            <w:pPr>
              <w:jc w:val="left"/>
              <w:rPr>
                <w:rFonts w:hint="default" w:ascii="宋体" w:hAnsi="宋体" w:cs="宋体"/>
                <w:szCs w:val="21"/>
                <w:lang w:val="en-US" w:eastAsia="zh-CN"/>
              </w:rPr>
            </w:pPr>
            <w:r>
              <w:rPr>
                <w:rFonts w:hint="eastAsia" w:ascii="宋体" w:hAnsi="宋体" w:cs="宋体"/>
                <w:szCs w:val="21"/>
                <w:lang w:val="en-US" w:eastAsia="zh-CN"/>
              </w:rPr>
              <w:t>软件功能：</w:t>
            </w:r>
          </w:p>
          <w:p>
            <w:pPr>
              <w:jc w:val="left"/>
              <w:rPr>
                <w:rFonts w:hint="eastAsia" w:ascii="宋体" w:hAnsi="宋体" w:cs="宋体"/>
                <w:szCs w:val="21"/>
                <w:lang w:val="en-US" w:eastAsia="zh-CN"/>
              </w:rPr>
            </w:pPr>
            <w:r>
              <w:rPr>
                <w:rFonts w:hint="eastAsia" w:ascii="宋体" w:hAnsi="宋体" w:cs="宋体"/>
                <w:szCs w:val="21"/>
                <w:lang w:val="en-US" w:eastAsia="zh-CN"/>
              </w:rPr>
              <w:t>一、实训结果上传：</w:t>
            </w:r>
          </w:p>
          <w:p>
            <w:pPr>
              <w:jc w:val="left"/>
              <w:rPr>
                <w:rFonts w:hint="eastAsia" w:ascii="宋体" w:hAnsi="宋体" w:cs="宋体"/>
                <w:szCs w:val="21"/>
                <w:lang w:val="en-US" w:eastAsia="zh-CN"/>
              </w:rPr>
            </w:pPr>
            <w:r>
              <w:rPr>
                <w:rFonts w:hint="eastAsia" w:ascii="宋体" w:hAnsi="宋体" w:cs="宋体"/>
                <w:szCs w:val="21"/>
                <w:lang w:val="en-US" w:eastAsia="zh-CN"/>
              </w:rPr>
              <w:t>1、支持在线预览实训题目；</w:t>
            </w:r>
          </w:p>
          <w:p>
            <w:pPr>
              <w:jc w:val="left"/>
              <w:rPr>
                <w:rFonts w:hint="eastAsia" w:ascii="宋体" w:hAnsi="宋体" w:cs="宋体"/>
                <w:szCs w:val="21"/>
                <w:lang w:val="en-US" w:eastAsia="zh-CN"/>
              </w:rPr>
            </w:pPr>
            <w:r>
              <w:rPr>
                <w:rFonts w:hint="eastAsia" w:ascii="宋体" w:hAnsi="宋体" w:cs="宋体"/>
                <w:szCs w:val="21"/>
                <w:lang w:val="en-US" w:eastAsia="zh-CN"/>
              </w:rPr>
              <w:t>2、学生答题，支持文档填写，支持上传图片、文件等，支持富文本填写答案；</w:t>
            </w:r>
          </w:p>
          <w:p>
            <w:pPr>
              <w:jc w:val="left"/>
              <w:rPr>
                <w:rFonts w:hint="eastAsia" w:ascii="宋体" w:hAnsi="宋体" w:cs="宋体"/>
                <w:szCs w:val="21"/>
                <w:lang w:val="en-US" w:eastAsia="zh-CN"/>
              </w:rPr>
            </w:pPr>
            <w:r>
              <w:rPr>
                <w:rFonts w:hint="eastAsia" w:ascii="宋体" w:hAnsi="宋体" w:cs="宋体"/>
                <w:szCs w:val="21"/>
                <w:lang w:val="en-US" w:eastAsia="zh-CN"/>
              </w:rPr>
              <w:t>3、学生答案上传，支持学生二次确认是否提交，提交后，不允许修改答案；</w:t>
            </w:r>
          </w:p>
          <w:p>
            <w:pPr>
              <w:jc w:val="left"/>
              <w:rPr>
                <w:rFonts w:hint="eastAsia" w:ascii="宋体" w:hAnsi="宋体" w:cs="宋体"/>
                <w:szCs w:val="21"/>
                <w:lang w:val="en-US" w:eastAsia="zh-CN"/>
              </w:rPr>
            </w:pPr>
            <w:r>
              <w:rPr>
                <w:rFonts w:hint="eastAsia" w:ascii="宋体" w:hAnsi="宋体" w:cs="宋体"/>
                <w:szCs w:val="21"/>
                <w:lang w:val="en-US" w:eastAsia="zh-CN"/>
              </w:rPr>
              <w:t>▲4、学生答案提交后，支持按照子任务点击自动评分，校测学生答案是否通过；（提供功能截图作为佐证）</w:t>
            </w:r>
          </w:p>
          <w:p>
            <w:pPr>
              <w:jc w:val="left"/>
              <w:rPr>
                <w:rFonts w:hint="eastAsia" w:ascii="宋体" w:hAnsi="宋体" w:cs="宋体"/>
                <w:szCs w:val="21"/>
                <w:lang w:val="en-US" w:eastAsia="zh-CN"/>
              </w:rPr>
            </w:pPr>
            <w:r>
              <w:rPr>
                <w:rFonts w:hint="eastAsia" w:ascii="宋体" w:hAnsi="宋体" w:cs="宋体"/>
                <w:szCs w:val="21"/>
                <w:lang w:val="en-US" w:eastAsia="zh-CN"/>
              </w:rPr>
              <w:t>5、实训开始前，不支持学生答案，答案确认提交后，学生不能修改赛题答案。</w:t>
            </w:r>
          </w:p>
          <w:p>
            <w:pPr>
              <w:jc w:val="left"/>
              <w:rPr>
                <w:rFonts w:hint="eastAsia" w:ascii="宋体" w:hAnsi="宋体" w:cs="宋体"/>
                <w:szCs w:val="21"/>
                <w:lang w:val="en-US" w:eastAsia="zh-CN"/>
              </w:rPr>
            </w:pPr>
            <w:r>
              <w:rPr>
                <w:rFonts w:hint="eastAsia" w:ascii="宋体" w:hAnsi="宋体" w:cs="宋体"/>
                <w:szCs w:val="21"/>
                <w:lang w:val="en-US" w:eastAsia="zh-CN"/>
              </w:rPr>
              <w:t>二、实训资源：</w:t>
            </w:r>
          </w:p>
          <w:p>
            <w:pPr>
              <w:jc w:val="left"/>
              <w:rPr>
                <w:rFonts w:hint="eastAsia" w:ascii="宋体" w:hAnsi="宋体" w:cs="宋体"/>
                <w:szCs w:val="21"/>
                <w:lang w:val="en-US" w:eastAsia="zh-CN"/>
              </w:rPr>
            </w:pPr>
            <w:r>
              <w:rPr>
                <w:rFonts w:hint="eastAsia" w:ascii="宋体" w:hAnsi="宋体" w:cs="宋体"/>
                <w:szCs w:val="21"/>
                <w:lang w:val="en-US" w:eastAsia="zh-CN"/>
              </w:rPr>
              <w:t>1、文件资源：支持文件分类，支持按照文件名称搜索，支持文件下载和批量下载；</w:t>
            </w:r>
          </w:p>
          <w:p>
            <w:pPr>
              <w:jc w:val="left"/>
              <w:rPr>
                <w:rFonts w:hint="eastAsia" w:ascii="宋体" w:hAnsi="宋体" w:cs="宋体"/>
                <w:szCs w:val="21"/>
                <w:lang w:val="en-US" w:eastAsia="zh-CN"/>
              </w:rPr>
            </w:pPr>
            <w:r>
              <w:rPr>
                <w:rFonts w:hint="eastAsia" w:ascii="宋体" w:hAnsi="宋体" w:cs="宋体"/>
                <w:szCs w:val="21"/>
                <w:lang w:val="en-US" w:eastAsia="zh-CN"/>
              </w:rPr>
              <w:t>2、静态页面资源：支持静态页面名称搜索，支持在线预览静态页面；</w:t>
            </w:r>
          </w:p>
          <w:p>
            <w:pPr>
              <w:jc w:val="left"/>
              <w:rPr>
                <w:rFonts w:hint="eastAsia" w:ascii="宋体" w:hAnsi="宋体" w:cs="宋体"/>
                <w:szCs w:val="21"/>
                <w:lang w:val="en-US" w:eastAsia="zh-CN"/>
              </w:rPr>
            </w:pPr>
            <w:r>
              <w:rPr>
                <w:rFonts w:hint="eastAsia" w:ascii="宋体" w:hAnsi="宋体" w:cs="宋体"/>
                <w:szCs w:val="21"/>
                <w:lang w:val="en-US" w:eastAsia="zh-CN"/>
              </w:rPr>
              <w:t>3、虚拟机、数据库资源：支持在线查看虚拟机资源、数据库资源的ip、账号、密码。</w:t>
            </w:r>
          </w:p>
          <w:p>
            <w:pPr>
              <w:jc w:val="left"/>
              <w:rPr>
                <w:rFonts w:hint="eastAsia" w:ascii="宋体" w:hAnsi="宋体" w:cs="宋体"/>
                <w:szCs w:val="21"/>
                <w:lang w:val="en-US" w:eastAsia="zh-CN"/>
              </w:rPr>
            </w:pPr>
            <w:r>
              <w:rPr>
                <w:rFonts w:hint="eastAsia" w:ascii="宋体" w:hAnsi="宋体" w:cs="宋体"/>
                <w:szCs w:val="21"/>
                <w:lang w:val="en-US" w:eastAsia="zh-CN"/>
              </w:rPr>
              <w:t>三、数据采集与处理：</w:t>
            </w:r>
          </w:p>
          <w:p>
            <w:pPr>
              <w:jc w:val="left"/>
              <w:rPr>
                <w:rFonts w:hint="eastAsia" w:ascii="宋体" w:hAnsi="宋体" w:cs="宋体"/>
                <w:szCs w:val="21"/>
                <w:lang w:val="en-US" w:eastAsia="zh-CN"/>
              </w:rPr>
            </w:pPr>
            <w:r>
              <w:rPr>
                <w:rFonts w:hint="eastAsia" w:ascii="宋体" w:hAnsi="宋体" w:cs="宋体"/>
                <w:szCs w:val="21"/>
                <w:lang w:val="en-US" w:eastAsia="zh-CN"/>
              </w:rPr>
              <w:t>1、支持数据采集与处理任务新建、修改、删除；</w:t>
            </w:r>
          </w:p>
          <w:p>
            <w:pPr>
              <w:jc w:val="left"/>
              <w:rPr>
                <w:rFonts w:hint="eastAsia" w:ascii="宋体" w:hAnsi="宋体" w:cs="宋体"/>
                <w:szCs w:val="21"/>
                <w:lang w:val="en-US" w:eastAsia="zh-CN"/>
              </w:rPr>
            </w:pPr>
            <w:r>
              <w:rPr>
                <w:rFonts w:hint="eastAsia" w:ascii="宋体" w:hAnsi="宋体" w:cs="宋体"/>
                <w:szCs w:val="21"/>
                <w:lang w:val="en-US" w:eastAsia="zh-CN"/>
              </w:rPr>
              <w:t>▲2、支持按照添加数据源、输入配置、输出配置、数据映射、执行SQL流程配置采集任务；（提供功能截图作为佐证）</w:t>
            </w:r>
          </w:p>
          <w:p>
            <w:pPr>
              <w:jc w:val="left"/>
              <w:rPr>
                <w:rFonts w:hint="eastAsia" w:ascii="宋体" w:hAnsi="宋体" w:cs="宋体"/>
                <w:szCs w:val="21"/>
                <w:lang w:val="en-US" w:eastAsia="zh-CN"/>
              </w:rPr>
            </w:pPr>
            <w:r>
              <w:rPr>
                <w:rFonts w:hint="eastAsia" w:ascii="宋体" w:hAnsi="宋体" w:cs="宋体"/>
                <w:szCs w:val="21"/>
                <w:lang w:val="en-US" w:eastAsia="zh-CN"/>
              </w:rPr>
              <w:t>3、点击立即执行，支持在线查看运行日志。</w:t>
            </w:r>
          </w:p>
          <w:p>
            <w:pPr>
              <w:jc w:val="left"/>
              <w:rPr>
                <w:rFonts w:hint="eastAsia" w:ascii="宋体" w:hAnsi="宋体" w:cs="宋体"/>
                <w:szCs w:val="21"/>
                <w:lang w:val="en-US" w:eastAsia="zh-CN"/>
              </w:rPr>
            </w:pPr>
            <w:r>
              <w:rPr>
                <w:rFonts w:hint="eastAsia" w:ascii="宋体" w:hAnsi="宋体" w:cs="宋体"/>
                <w:szCs w:val="21"/>
                <w:lang w:val="en-US" w:eastAsia="zh-CN"/>
              </w:rPr>
              <w:t>四、数据分析与可视化：</w:t>
            </w:r>
          </w:p>
          <w:p>
            <w:pPr>
              <w:jc w:val="left"/>
              <w:rPr>
                <w:rFonts w:hint="eastAsia" w:ascii="宋体" w:hAnsi="宋体" w:cs="宋体"/>
                <w:szCs w:val="21"/>
                <w:lang w:val="en-US" w:eastAsia="zh-CN"/>
              </w:rPr>
            </w:pPr>
            <w:r>
              <w:rPr>
                <w:rFonts w:hint="eastAsia" w:ascii="宋体" w:hAnsi="宋体" w:cs="宋体"/>
                <w:szCs w:val="21"/>
                <w:lang w:val="en-US" w:eastAsia="zh-CN"/>
              </w:rPr>
              <w:t>1、支持web在线编码；</w:t>
            </w:r>
          </w:p>
          <w:p>
            <w:pPr>
              <w:jc w:val="left"/>
              <w:rPr>
                <w:rFonts w:hint="eastAsia" w:ascii="宋体" w:hAnsi="宋体" w:cs="宋体"/>
                <w:szCs w:val="21"/>
                <w:lang w:val="en-US" w:eastAsia="zh-CN"/>
              </w:rPr>
            </w:pPr>
            <w:r>
              <w:rPr>
                <w:rFonts w:hint="eastAsia" w:ascii="宋体" w:hAnsi="宋体" w:cs="宋体"/>
                <w:szCs w:val="21"/>
                <w:lang w:val="en-US" w:eastAsia="zh-CN"/>
              </w:rPr>
              <w:t>▲2、支持组件包括文字、柱状图、折线图、饼图、散点图、雷达图；同一页面，支持多组件选择；（提供功能截图作为佐证）</w:t>
            </w:r>
          </w:p>
          <w:p>
            <w:pPr>
              <w:jc w:val="left"/>
              <w:rPr>
                <w:rFonts w:hint="eastAsia" w:ascii="宋体" w:hAnsi="宋体" w:cs="宋体"/>
                <w:szCs w:val="21"/>
                <w:lang w:val="en-US" w:eastAsia="zh-CN"/>
              </w:rPr>
            </w:pPr>
            <w:r>
              <w:rPr>
                <w:rFonts w:hint="eastAsia" w:ascii="宋体" w:hAnsi="宋体" w:cs="宋体"/>
                <w:szCs w:val="21"/>
                <w:lang w:val="en-US" w:eastAsia="zh-CN"/>
              </w:rPr>
              <w:t>3、支持主题设置，修改背景颜色；</w:t>
            </w:r>
          </w:p>
          <w:p>
            <w:pPr>
              <w:jc w:val="left"/>
              <w:rPr>
                <w:rFonts w:hint="eastAsia" w:ascii="宋体" w:hAnsi="宋体" w:cs="宋体"/>
                <w:szCs w:val="21"/>
                <w:lang w:val="en-US" w:eastAsia="zh-CN"/>
              </w:rPr>
            </w:pPr>
            <w:r>
              <w:rPr>
                <w:rFonts w:hint="eastAsia" w:ascii="宋体" w:hAnsi="宋体" w:cs="宋体"/>
                <w:szCs w:val="21"/>
                <w:lang w:val="en-US" w:eastAsia="zh-CN"/>
              </w:rPr>
              <w:t>4、支持在线查看数据源。</w:t>
            </w:r>
          </w:p>
          <w:p>
            <w:pPr>
              <w:jc w:val="left"/>
              <w:rPr>
                <w:rFonts w:hint="eastAsia" w:ascii="宋体" w:hAnsi="宋体" w:cs="宋体"/>
                <w:szCs w:val="21"/>
                <w:lang w:val="en-US" w:eastAsia="zh-CN"/>
              </w:rPr>
            </w:pPr>
            <w:r>
              <w:rPr>
                <w:rFonts w:hint="eastAsia" w:ascii="宋体" w:hAnsi="宋体" w:cs="宋体"/>
                <w:szCs w:val="21"/>
                <w:lang w:val="en-US" w:eastAsia="zh-CN"/>
              </w:rPr>
              <w:t>五、SSH集成窗口：</w:t>
            </w:r>
          </w:p>
          <w:p>
            <w:pPr>
              <w:jc w:val="left"/>
              <w:rPr>
                <w:rFonts w:hint="eastAsia" w:ascii="宋体" w:hAnsi="宋体" w:cs="宋体"/>
                <w:szCs w:val="21"/>
                <w:lang w:val="en-US" w:eastAsia="zh-CN"/>
              </w:rPr>
            </w:pPr>
            <w:r>
              <w:rPr>
                <w:rFonts w:hint="eastAsia" w:ascii="宋体" w:hAnsi="宋体" w:cs="宋体"/>
                <w:szCs w:val="21"/>
                <w:lang w:val="en-US" w:eastAsia="zh-CN"/>
              </w:rPr>
              <w:t>1、支持Web端访问；</w:t>
            </w:r>
          </w:p>
          <w:p>
            <w:pPr>
              <w:jc w:val="left"/>
              <w:rPr>
                <w:rFonts w:hint="eastAsia" w:ascii="宋体" w:hAnsi="宋体" w:cs="宋体"/>
                <w:szCs w:val="21"/>
                <w:lang w:val="en-US" w:eastAsia="zh-CN"/>
              </w:rPr>
            </w:pPr>
            <w:r>
              <w:rPr>
                <w:rFonts w:hint="eastAsia" w:ascii="宋体" w:hAnsi="宋体" w:cs="宋体"/>
                <w:szCs w:val="21"/>
                <w:lang w:val="en-US" w:eastAsia="zh-CN"/>
              </w:rPr>
              <w:t>▲2、支持新建、编辑、修改连接，属性包括连接名称、IP地址、端口、用户、密码；（提供功能截图作为佐证）</w:t>
            </w:r>
          </w:p>
          <w:p>
            <w:pPr>
              <w:jc w:val="left"/>
              <w:rPr>
                <w:rFonts w:hint="eastAsia" w:ascii="宋体" w:hAnsi="宋体" w:cs="宋体"/>
                <w:szCs w:val="21"/>
                <w:lang w:val="en-US" w:eastAsia="zh-CN"/>
              </w:rPr>
            </w:pPr>
            <w:r>
              <w:rPr>
                <w:rFonts w:hint="eastAsia" w:ascii="宋体" w:hAnsi="宋体" w:cs="宋体"/>
                <w:szCs w:val="21"/>
                <w:lang w:val="en-US" w:eastAsia="zh-CN"/>
              </w:rPr>
              <w:t>3、支持交互式命令访问虚拟机；</w:t>
            </w:r>
          </w:p>
          <w:p>
            <w:pPr>
              <w:jc w:val="left"/>
              <w:rPr>
                <w:rFonts w:hint="eastAsia" w:ascii="宋体" w:hAnsi="宋体" w:cs="宋体"/>
                <w:szCs w:val="21"/>
                <w:lang w:val="en-US" w:eastAsia="zh-CN"/>
              </w:rPr>
            </w:pPr>
            <w:r>
              <w:rPr>
                <w:rFonts w:hint="eastAsia" w:ascii="宋体" w:hAnsi="宋体" w:cs="宋体"/>
                <w:szCs w:val="21"/>
                <w:lang w:val="en-US" w:eastAsia="zh-CN"/>
              </w:rPr>
              <w:t>4、支持文件上传、下载。</w:t>
            </w:r>
          </w:p>
          <w:p>
            <w:pPr>
              <w:jc w:val="left"/>
              <w:rPr>
                <w:rFonts w:hint="eastAsia" w:ascii="宋体" w:hAnsi="宋体" w:cs="宋体"/>
                <w:szCs w:val="21"/>
                <w:lang w:val="en-US" w:eastAsia="zh-CN"/>
              </w:rPr>
            </w:pPr>
            <w:r>
              <w:rPr>
                <w:rFonts w:hint="eastAsia" w:ascii="宋体" w:hAnsi="宋体" w:cs="宋体"/>
                <w:szCs w:val="21"/>
                <w:lang w:val="en-US" w:eastAsia="zh-CN"/>
              </w:rPr>
              <w:t>六、数据库工具：</w:t>
            </w:r>
          </w:p>
          <w:p>
            <w:pPr>
              <w:jc w:val="left"/>
              <w:rPr>
                <w:rFonts w:hint="eastAsia" w:ascii="宋体" w:hAnsi="宋体" w:cs="宋体"/>
                <w:szCs w:val="21"/>
                <w:lang w:val="en-US" w:eastAsia="zh-CN"/>
              </w:rPr>
            </w:pPr>
            <w:r>
              <w:rPr>
                <w:rFonts w:hint="eastAsia" w:ascii="宋体" w:hAnsi="宋体" w:cs="宋体"/>
                <w:szCs w:val="21"/>
                <w:lang w:val="en-US" w:eastAsia="zh-CN"/>
              </w:rPr>
              <w:t>1、支持Web端访问数据库；</w:t>
            </w:r>
          </w:p>
          <w:p>
            <w:pPr>
              <w:jc w:val="left"/>
              <w:rPr>
                <w:rFonts w:hint="eastAsia" w:ascii="宋体" w:hAnsi="宋体" w:cs="宋体"/>
                <w:szCs w:val="21"/>
                <w:lang w:val="en-US" w:eastAsia="zh-CN"/>
              </w:rPr>
            </w:pPr>
            <w:r>
              <w:rPr>
                <w:rFonts w:hint="eastAsia" w:ascii="宋体" w:hAnsi="宋体" w:cs="宋体"/>
                <w:szCs w:val="21"/>
                <w:lang w:val="en-US" w:eastAsia="zh-CN"/>
              </w:rPr>
              <w:t>▲2、支持新建、编辑、修改连接，属性包括数据库类型、连接名、主机、端口、用户名、密码；（提供功能截图作为佐证）</w:t>
            </w:r>
          </w:p>
          <w:p>
            <w:pPr>
              <w:jc w:val="left"/>
              <w:rPr>
                <w:rFonts w:hint="eastAsia" w:ascii="宋体" w:hAnsi="宋体" w:cs="宋体"/>
                <w:szCs w:val="21"/>
                <w:lang w:val="en-US" w:eastAsia="zh-CN"/>
              </w:rPr>
            </w:pPr>
            <w:r>
              <w:rPr>
                <w:rFonts w:hint="eastAsia" w:ascii="宋体" w:hAnsi="宋体" w:cs="宋体"/>
                <w:szCs w:val="21"/>
                <w:lang w:val="en-US" w:eastAsia="zh-CN"/>
              </w:rPr>
              <w:t>▲3、数据库支持Mysql、clickhouse、hbase、TIDB、OceanBase、DaMeng;（提供功能截图作为佐证）</w:t>
            </w:r>
          </w:p>
          <w:p>
            <w:pPr>
              <w:jc w:val="left"/>
              <w:rPr>
                <w:rFonts w:hint="eastAsia" w:ascii="宋体" w:hAnsi="宋体" w:cs="宋体"/>
                <w:szCs w:val="21"/>
                <w:lang w:val="en-US" w:eastAsia="zh-CN"/>
              </w:rPr>
            </w:pPr>
            <w:r>
              <w:rPr>
                <w:rFonts w:hint="eastAsia" w:ascii="宋体" w:hAnsi="宋体" w:cs="宋体"/>
                <w:szCs w:val="21"/>
                <w:lang w:val="en-US" w:eastAsia="zh-CN"/>
              </w:rPr>
              <w:t>4、支持在线预览库、表、数据；</w:t>
            </w:r>
          </w:p>
          <w:p>
            <w:pPr>
              <w:jc w:val="left"/>
              <w:rPr>
                <w:rFonts w:hint="eastAsia" w:ascii="宋体" w:hAnsi="宋体" w:cs="宋体"/>
                <w:szCs w:val="21"/>
                <w:lang w:val="en-US" w:eastAsia="zh-CN"/>
              </w:rPr>
            </w:pPr>
            <w:r>
              <w:rPr>
                <w:rFonts w:hint="eastAsia" w:ascii="宋体" w:hAnsi="宋体" w:cs="宋体"/>
                <w:szCs w:val="21"/>
                <w:lang w:val="en-US" w:eastAsia="zh-CN"/>
              </w:rPr>
              <w:t>5、支持在线编辑SQL。</w:t>
            </w:r>
          </w:p>
          <w:p>
            <w:pPr>
              <w:jc w:val="left"/>
              <w:rPr>
                <w:rFonts w:hint="eastAsia" w:ascii="宋体" w:hAnsi="宋体" w:cs="宋体"/>
                <w:szCs w:val="21"/>
                <w:lang w:val="en-US" w:eastAsia="zh-CN"/>
              </w:rPr>
            </w:pPr>
            <w:r>
              <w:rPr>
                <w:rFonts w:hint="eastAsia" w:ascii="宋体" w:hAnsi="宋体" w:cs="宋体"/>
                <w:szCs w:val="21"/>
                <w:lang w:val="en-US" w:eastAsia="zh-CN"/>
              </w:rPr>
              <w:t>七、python脚本工具：</w:t>
            </w:r>
          </w:p>
          <w:p>
            <w:pPr>
              <w:jc w:val="left"/>
              <w:rPr>
                <w:rFonts w:hint="eastAsia" w:ascii="宋体" w:hAnsi="宋体" w:cs="宋体"/>
                <w:szCs w:val="21"/>
                <w:lang w:val="en-US" w:eastAsia="zh-CN"/>
              </w:rPr>
            </w:pPr>
            <w:r>
              <w:rPr>
                <w:rFonts w:hint="eastAsia" w:ascii="宋体" w:hAnsi="宋体" w:cs="宋体"/>
                <w:szCs w:val="21"/>
                <w:lang w:val="en-US" w:eastAsia="zh-CN"/>
              </w:rPr>
              <w:t>1、支持Web端编程；</w:t>
            </w:r>
          </w:p>
          <w:p>
            <w:pPr>
              <w:jc w:val="left"/>
              <w:rPr>
                <w:rFonts w:hint="eastAsia" w:ascii="宋体" w:hAnsi="宋体" w:cs="宋体"/>
                <w:szCs w:val="21"/>
                <w:lang w:val="en-US" w:eastAsia="zh-CN"/>
              </w:rPr>
            </w:pPr>
            <w:r>
              <w:rPr>
                <w:rFonts w:hint="eastAsia" w:ascii="宋体" w:hAnsi="宋体" w:cs="宋体"/>
                <w:szCs w:val="21"/>
                <w:lang w:val="en-US" w:eastAsia="zh-CN"/>
              </w:rPr>
              <w:t>2、支持新建、编辑、删除 python、scale脚本；</w:t>
            </w:r>
          </w:p>
          <w:p>
            <w:pPr>
              <w:jc w:val="left"/>
              <w:rPr>
                <w:rFonts w:hint="eastAsia" w:ascii="宋体" w:hAnsi="宋体" w:cs="宋体"/>
                <w:szCs w:val="21"/>
                <w:lang w:val="en-US" w:eastAsia="zh-CN"/>
              </w:rPr>
            </w:pPr>
            <w:r>
              <w:rPr>
                <w:rFonts w:hint="eastAsia" w:ascii="宋体" w:hAnsi="宋体" w:cs="宋体"/>
                <w:szCs w:val="21"/>
                <w:lang w:val="en-US" w:eastAsia="zh-CN"/>
              </w:rPr>
              <w:t>3、列表支持按照文件名、代码类型、最近运行时间查询；</w:t>
            </w:r>
          </w:p>
          <w:p>
            <w:pPr>
              <w:jc w:val="left"/>
              <w:rPr>
                <w:rFonts w:hint="eastAsia" w:ascii="宋体" w:hAnsi="宋体" w:cs="宋体"/>
                <w:szCs w:val="21"/>
                <w:lang w:val="en-US" w:eastAsia="zh-CN"/>
              </w:rPr>
            </w:pPr>
            <w:r>
              <w:rPr>
                <w:rFonts w:hint="eastAsia" w:ascii="宋体" w:hAnsi="宋体" w:cs="宋体"/>
                <w:szCs w:val="21"/>
                <w:lang w:val="en-US" w:eastAsia="zh-CN"/>
              </w:rPr>
              <w:t>4、代码编辑：支持在线清空代码编辑框，支持下载代码，支持通过选择文件上传代码，支持在线运行代码和查看运行结果；</w:t>
            </w:r>
          </w:p>
          <w:p>
            <w:pPr>
              <w:jc w:val="left"/>
              <w:rPr>
                <w:rFonts w:hint="eastAsia" w:ascii="宋体" w:hAnsi="宋体" w:cs="宋体"/>
                <w:szCs w:val="21"/>
                <w:lang w:val="en-US" w:eastAsia="zh-CN"/>
              </w:rPr>
            </w:pPr>
            <w:r>
              <w:rPr>
                <w:rFonts w:hint="eastAsia" w:ascii="宋体" w:hAnsi="宋体" w:cs="宋体"/>
                <w:szCs w:val="21"/>
                <w:lang w:val="en-US" w:eastAsia="zh-CN"/>
              </w:rPr>
              <w:t>5、支持颜色模式切换。</w:t>
            </w:r>
          </w:p>
          <w:p>
            <w:pPr>
              <w:jc w:val="left"/>
              <w:rPr>
                <w:rFonts w:hint="eastAsia" w:ascii="宋体" w:hAnsi="宋体" w:cs="宋体"/>
                <w:szCs w:val="21"/>
                <w:lang w:val="en-US" w:eastAsia="zh-CN"/>
              </w:rPr>
            </w:pPr>
            <w:r>
              <w:rPr>
                <w:rFonts w:hint="eastAsia" w:ascii="宋体" w:hAnsi="宋体" w:cs="宋体"/>
                <w:szCs w:val="21"/>
                <w:lang w:val="en-US" w:eastAsia="zh-CN"/>
              </w:rPr>
              <w:t>八、国产化适配：</w:t>
            </w:r>
          </w:p>
          <w:p>
            <w:pPr>
              <w:jc w:val="left"/>
              <w:rPr>
                <w:rFonts w:hint="eastAsia" w:ascii="宋体" w:hAnsi="宋体" w:cs="宋体"/>
                <w:szCs w:val="21"/>
                <w:lang w:val="en-US" w:eastAsia="zh-CN"/>
              </w:rPr>
            </w:pPr>
            <w:r>
              <w:rPr>
                <w:rFonts w:hint="eastAsia" w:ascii="宋体" w:hAnsi="宋体" w:cs="宋体"/>
                <w:szCs w:val="21"/>
                <w:lang w:val="en-US" w:eastAsia="zh-CN"/>
              </w:rPr>
              <w:t>▲1、国产化操作系统适配：支持国产化操作系统及国产服务器如麒麟或中科红旗等；（投标人所投大数据一体化训练平台软件与国产化操作系统及国产服务器已完成兼容性测试，提供国家信创产业适配中心出具的国产操作系统厂商如银河麒麟或中科红旗的兼容认证证书或认证报告）</w:t>
            </w:r>
          </w:p>
          <w:p>
            <w:pPr>
              <w:jc w:val="left"/>
              <w:rPr>
                <w:rFonts w:hint="eastAsia" w:ascii="宋体" w:hAnsi="宋体" w:cs="宋体"/>
                <w:szCs w:val="21"/>
                <w:lang w:val="en-US" w:eastAsia="zh-CN"/>
              </w:rPr>
            </w:pPr>
            <w:r>
              <w:rPr>
                <w:rFonts w:hint="eastAsia" w:ascii="宋体" w:hAnsi="宋体" w:cs="宋体"/>
                <w:szCs w:val="21"/>
                <w:lang w:val="en-US" w:eastAsia="zh-CN"/>
              </w:rPr>
              <w:t>▲2、国产化数据库适配：支持国产化数据库如达梦、人大金仓等。（投标人所投大数据一体化训练平台软件与国产化数据库已完成兼容性测试，提供与国产数据库厂商如达梦或人大金仓的兼容认证证书或认证报告）</w:t>
            </w:r>
          </w:p>
          <w:p>
            <w:pPr>
              <w:jc w:val="left"/>
              <w:rPr>
                <w:rFonts w:hint="eastAsia" w:ascii="宋体" w:hAnsi="宋体" w:cs="宋体"/>
                <w:szCs w:val="21"/>
                <w:lang w:val="en-US" w:eastAsia="zh-CN"/>
              </w:rPr>
            </w:pPr>
            <w:r>
              <w:rPr>
                <w:rFonts w:hint="eastAsia" w:ascii="宋体" w:hAnsi="宋体" w:cs="宋体"/>
                <w:szCs w:val="21"/>
                <w:lang w:val="en-US" w:eastAsia="zh-CN"/>
              </w:rPr>
              <w:t>九、性能要求：</w:t>
            </w:r>
          </w:p>
          <w:p>
            <w:pPr>
              <w:jc w:val="left"/>
              <w:rPr>
                <w:rFonts w:hint="eastAsia" w:ascii="宋体" w:hAnsi="宋体" w:cs="宋体"/>
                <w:szCs w:val="21"/>
                <w:lang w:val="en-US" w:eastAsia="zh-CN"/>
              </w:rPr>
            </w:pPr>
            <w:r>
              <w:rPr>
                <w:rFonts w:hint="eastAsia" w:ascii="宋体" w:hAnsi="宋体" w:cs="宋体"/>
                <w:szCs w:val="21"/>
                <w:lang w:val="en-US" w:eastAsia="zh-CN"/>
              </w:rPr>
              <w:t>▲大数据教学实训平台，要求数据采集任务列表，在1000并发时，95%的请求响应时间不高于0.5s，事务失败率不高于0.1%。系统具备立即执行功能，每次处理3W条数据，平均响应时间不高于0.1s，事务失败率不高于0.1%。（提供由第三方检测机构出具的首页带有“中国计量认证(CMA)”及中国合格评定国家认可委员会（CNAS）的认可标志的检测报告复印件需加盖制造商公章。）</w:t>
            </w:r>
          </w:p>
          <w:p>
            <w:pPr>
              <w:jc w:val="left"/>
              <w:rPr>
                <w:rFonts w:hint="eastAsia" w:ascii="宋体" w:hAnsi="宋体" w:cs="宋体"/>
                <w:szCs w:val="21"/>
                <w:lang w:val="en-US" w:eastAsia="zh-CN"/>
              </w:rPr>
            </w:pPr>
            <w:r>
              <w:rPr>
                <w:rFonts w:hint="eastAsia" w:ascii="宋体" w:hAnsi="宋体" w:cs="宋体"/>
                <w:szCs w:val="21"/>
                <w:lang w:val="en-US" w:eastAsia="zh-CN"/>
              </w:rPr>
              <w:t>十、基于大数据技术应用与服务专业的要求，紧紧围绕试题内容大纲的大数据组件搭建、数据获取与处理以及数据分析可视化展开，为学生提供宝贵的实践机会。在搭建环节，学生成功部署了Hadoop、Spark等关键组件，深入理解了集群运维的复杂性；在数据获取与处理部分，学生运用爬虫技术获取数据，并通过Hive等工具进行了有效的清洗和转换；最后，在数据分析可视化阶段，学生利用Python\Echart可视化组件等开发工具，将图表和数据的价值直观地呈现出来。整个实训过程培养学生的实际操作能力和问题解决能力，为他们在大数据行业的学习探究激发更多的学习动力，推动对大数据行业的职业认知和行业理解。</w:t>
            </w:r>
          </w:p>
          <w:p>
            <w:pPr>
              <w:jc w:val="left"/>
              <w:rPr>
                <w:rFonts w:hint="eastAsia" w:ascii="宋体" w:hAnsi="宋体" w:cs="宋体"/>
                <w:szCs w:val="21"/>
                <w:lang w:val="en-US" w:eastAsia="zh-CN"/>
              </w:rPr>
            </w:pPr>
            <w:r>
              <w:rPr>
                <w:rFonts w:hint="eastAsia" w:ascii="宋体" w:hAnsi="宋体" w:cs="宋体"/>
                <w:szCs w:val="21"/>
                <w:lang w:val="en-US" w:eastAsia="zh-CN"/>
              </w:rPr>
              <w:t>1、实训资源</w:t>
            </w:r>
          </w:p>
          <w:p>
            <w:pPr>
              <w:jc w:val="left"/>
              <w:rPr>
                <w:rFonts w:hint="eastAsia" w:ascii="宋体" w:hAnsi="宋体" w:cs="宋体"/>
                <w:szCs w:val="21"/>
                <w:lang w:val="en-US" w:eastAsia="zh-CN"/>
              </w:rPr>
            </w:pPr>
            <w:r>
              <w:rPr>
                <w:rFonts w:hint="eastAsia" w:ascii="宋体" w:hAnsi="宋体" w:cs="宋体"/>
                <w:szCs w:val="21"/>
                <w:lang w:val="en-US" w:eastAsia="zh-CN"/>
              </w:rPr>
              <w:t>首先，大数据资源包包含了Hadoop、Spark、Hive等主流的大数据处理和分析工具，以及Flume、Zookeeper、Flink等用于数据流处理、分布式协调以及实时计算的组件。此外，还有HBase用于存储非结构化数据，JDK作为Java开发工具包，Kafka用于构建实时数据管道，MySQL和Redis作为关系型和非关系型数据库，以及Sqoop用于数据迁移。这些工具和技术组合在一起，形成了一个完整的大数据生态系统，能够满足各种数据处理和分析需求。</w:t>
            </w:r>
          </w:p>
          <w:p>
            <w:pPr>
              <w:jc w:val="left"/>
              <w:rPr>
                <w:rFonts w:hint="eastAsia" w:ascii="宋体" w:hAnsi="宋体" w:cs="宋体"/>
                <w:szCs w:val="21"/>
                <w:lang w:val="en-US" w:eastAsia="zh-CN"/>
              </w:rPr>
            </w:pPr>
            <w:r>
              <w:rPr>
                <w:rFonts w:hint="eastAsia" w:ascii="宋体" w:hAnsi="宋体" w:cs="宋体"/>
                <w:szCs w:val="21"/>
                <w:lang w:val="en-US" w:eastAsia="zh-CN"/>
              </w:rPr>
              <w:t>2、实训内容</w:t>
            </w:r>
          </w:p>
          <w:p>
            <w:pPr>
              <w:jc w:val="left"/>
              <w:rPr>
                <w:rFonts w:hint="eastAsia" w:ascii="宋体" w:hAnsi="宋体" w:cs="宋体"/>
                <w:szCs w:val="21"/>
                <w:lang w:val="en-US" w:eastAsia="zh-CN"/>
              </w:rPr>
            </w:pPr>
            <w:r>
              <w:rPr>
                <w:rFonts w:hint="eastAsia" w:ascii="宋体" w:hAnsi="宋体" w:cs="宋体"/>
                <w:szCs w:val="21"/>
                <w:lang w:val="en-US" w:eastAsia="zh-CN"/>
              </w:rPr>
              <w:t>围绕以试题项目为指导，以理解和掌握相关大数据实训相关的知识点为核心，设计1套模拟题，提供模拟题、答案和培训服务。实训内容涉及三块主要内容，其一，Hadoop、Hive、Flume以及大数据相关组件的安装配置，如hadoop、spark、hive、flume、zookeeper、flink、hbase、jdk、kafka、mysql、redis、sqoop等；其二，数据获取与处理，涉及爬虫、数据清洗、hdfs、hive、MySQL等；第三，数据分析可视化，涉及折线图、柱状图、饼图、漏斗图，对数据进行处理与分析后，用合适的图片展现出数据的价值。</w:t>
            </w:r>
          </w:p>
          <w:p>
            <w:pPr>
              <w:jc w:val="left"/>
              <w:rPr>
                <w:rFonts w:hint="eastAsia" w:ascii="宋体" w:hAnsi="宋体" w:cs="宋体"/>
                <w:szCs w:val="21"/>
                <w:lang w:val="en-US" w:eastAsia="zh-CN"/>
              </w:rPr>
            </w:pPr>
            <w:r>
              <w:rPr>
                <w:rFonts w:hint="eastAsia" w:ascii="宋体" w:hAnsi="宋体" w:cs="宋体"/>
                <w:szCs w:val="21"/>
                <w:lang w:val="en-US" w:eastAsia="zh-CN"/>
              </w:rPr>
              <w:t>▲提供竞赛类项目实例（包含1-3个不同行业项目工程案例，数据源，任务书等；）（供应商需提供实际内容材料做为佐证，未提供视为无效响应。）</w:t>
            </w:r>
          </w:p>
          <w:p>
            <w:pPr>
              <w:jc w:val="left"/>
              <w:rPr>
                <w:rFonts w:hint="eastAsia" w:ascii="宋体" w:hAnsi="宋体" w:cs="宋体"/>
                <w:szCs w:val="21"/>
                <w:lang w:val="en-US" w:eastAsia="zh-CN"/>
              </w:rPr>
            </w:pPr>
            <w:r>
              <w:rPr>
                <w:rFonts w:hint="eastAsia" w:ascii="宋体" w:hAnsi="宋体" w:cs="宋体"/>
                <w:szCs w:val="21"/>
                <w:lang w:val="en-US" w:eastAsia="zh-CN"/>
              </w:rPr>
              <w:t>硬件配置：</w:t>
            </w:r>
          </w:p>
          <w:p>
            <w:pPr>
              <w:jc w:val="left"/>
              <w:rPr>
                <w:rFonts w:hint="eastAsia" w:ascii="宋体" w:hAnsi="宋体" w:cs="宋体"/>
                <w:szCs w:val="21"/>
                <w:lang w:val="en-US" w:eastAsia="zh-CN"/>
              </w:rPr>
            </w:pPr>
            <w:r>
              <w:rPr>
                <w:rFonts w:hint="eastAsia" w:ascii="宋体" w:hAnsi="宋体" w:cs="宋体"/>
                <w:szCs w:val="21"/>
                <w:lang w:val="en-US" w:eastAsia="zh-CN"/>
              </w:rPr>
              <w:t>1.支持Intel可扩展处理器家族铜牌、银牌、金牌及铂金处理器产品；</w:t>
            </w:r>
          </w:p>
          <w:p>
            <w:pPr>
              <w:jc w:val="left"/>
              <w:rPr>
                <w:rFonts w:hint="eastAsia" w:ascii="宋体" w:hAnsi="宋体" w:cs="宋体"/>
                <w:szCs w:val="21"/>
                <w:lang w:val="en-US" w:eastAsia="zh-CN"/>
              </w:rPr>
            </w:pPr>
            <w:r>
              <w:rPr>
                <w:rFonts w:hint="eastAsia" w:ascii="宋体" w:hAnsi="宋体" w:cs="宋体"/>
                <w:szCs w:val="21"/>
                <w:lang w:val="en-US" w:eastAsia="zh-CN"/>
              </w:rPr>
              <w:t>2.2U机架式服务器，配置1个Intel可扩展处理器12核；</w:t>
            </w:r>
          </w:p>
          <w:p>
            <w:pPr>
              <w:jc w:val="left"/>
              <w:rPr>
                <w:rFonts w:hint="eastAsia" w:ascii="宋体" w:hAnsi="宋体" w:cs="宋体"/>
                <w:szCs w:val="21"/>
                <w:lang w:val="en-US" w:eastAsia="zh-CN"/>
              </w:rPr>
            </w:pPr>
            <w:r>
              <w:rPr>
                <w:rFonts w:hint="eastAsia" w:ascii="宋体" w:hAnsi="宋体" w:cs="宋体"/>
                <w:szCs w:val="21"/>
                <w:lang w:val="en-US" w:eastAsia="zh-CN"/>
              </w:rPr>
              <w:t>3.32GB(1条*32G)TruDDR4 3200MHz，配合Intel持久内存最大支持6TB内存扩展或最大支持32根内存插槽；</w:t>
            </w:r>
          </w:p>
          <w:p>
            <w:pPr>
              <w:jc w:val="left"/>
              <w:rPr>
                <w:rFonts w:hint="eastAsia" w:ascii="宋体" w:hAnsi="宋体" w:cs="宋体"/>
                <w:szCs w:val="21"/>
                <w:lang w:val="en-US" w:eastAsia="zh-CN"/>
              </w:rPr>
            </w:pPr>
            <w:r>
              <w:rPr>
                <w:rFonts w:hint="eastAsia" w:ascii="宋体" w:hAnsi="宋体" w:cs="宋体"/>
                <w:szCs w:val="21"/>
                <w:lang w:val="en-US" w:eastAsia="zh-CN"/>
              </w:rPr>
              <w:t>4.硬盘：配置2块1.2 TB SAS 10K硬盘，可在同一驱动器托架内灵活混搭SAS/SATAHDD/SSD和NVMeSSD；</w:t>
            </w:r>
          </w:p>
          <w:p>
            <w:pPr>
              <w:jc w:val="left"/>
              <w:rPr>
                <w:rFonts w:hint="eastAsia" w:ascii="宋体" w:hAnsi="宋体" w:cs="宋体"/>
                <w:szCs w:val="21"/>
                <w:lang w:val="en-US" w:eastAsia="zh-CN"/>
              </w:rPr>
            </w:pPr>
            <w:r>
              <w:rPr>
                <w:rFonts w:hint="eastAsia" w:ascii="宋体" w:hAnsi="宋体" w:cs="宋体"/>
                <w:szCs w:val="21"/>
                <w:lang w:val="en-US" w:eastAsia="zh-CN"/>
              </w:rPr>
              <w:t>5.1张2Gb阵列卡，支持0/1/10/5/50RAID级别，可选RAID6/60,最大支持8GB闪存；</w:t>
            </w:r>
          </w:p>
          <w:p>
            <w:pPr>
              <w:jc w:val="left"/>
              <w:rPr>
                <w:rFonts w:hint="eastAsia" w:ascii="宋体" w:hAnsi="宋体" w:cs="宋体"/>
                <w:szCs w:val="21"/>
                <w:lang w:val="en-US" w:eastAsia="zh-CN"/>
              </w:rPr>
            </w:pPr>
            <w:r>
              <w:rPr>
                <w:rFonts w:hint="eastAsia" w:ascii="宋体" w:hAnsi="宋体" w:cs="宋体"/>
                <w:szCs w:val="21"/>
                <w:lang w:val="en-US" w:eastAsia="zh-CN"/>
              </w:rPr>
              <w:t>6.支持一个专用的OCP3.0SFF接口，支持扩展多种双口/四口千兆万兆和25GbE网卡；</w:t>
            </w:r>
          </w:p>
          <w:p>
            <w:pPr>
              <w:jc w:val="left"/>
              <w:rPr>
                <w:rFonts w:hint="eastAsia" w:ascii="宋体" w:hAnsi="宋体" w:cs="宋体"/>
                <w:szCs w:val="21"/>
                <w:lang w:val="en-US" w:eastAsia="zh-CN"/>
              </w:rPr>
            </w:pPr>
            <w:r>
              <w:rPr>
                <w:rFonts w:hint="eastAsia" w:ascii="宋体" w:hAnsi="宋体" w:cs="宋体"/>
                <w:szCs w:val="21"/>
                <w:lang w:val="en-US" w:eastAsia="zh-CN"/>
              </w:rPr>
              <w:t>7.1+1热插拔冗余电源；</w:t>
            </w:r>
          </w:p>
          <w:p>
            <w:pPr>
              <w:jc w:val="left"/>
              <w:rPr>
                <w:rFonts w:hint="eastAsia" w:ascii="宋体" w:hAnsi="宋体" w:cs="宋体"/>
                <w:szCs w:val="21"/>
                <w:lang w:val="en-US" w:eastAsia="zh-CN"/>
              </w:rPr>
            </w:pPr>
            <w:r>
              <w:rPr>
                <w:rFonts w:hint="eastAsia" w:ascii="宋体" w:hAnsi="宋体" w:cs="宋体"/>
                <w:szCs w:val="21"/>
                <w:lang w:val="en-US" w:eastAsia="zh-CN"/>
              </w:rPr>
              <w:t>8.支持ASHAREA4标准，工作温度最高支持45°C；</w:t>
            </w:r>
          </w:p>
          <w:p>
            <w:pPr>
              <w:jc w:val="left"/>
              <w:rPr>
                <w:rFonts w:hint="eastAsia" w:ascii="宋体" w:hAnsi="宋体" w:cs="宋体"/>
                <w:szCs w:val="21"/>
                <w:lang w:val="en-US" w:eastAsia="zh-CN"/>
              </w:rPr>
            </w:pPr>
            <w:r>
              <w:rPr>
                <w:rFonts w:hint="eastAsia" w:ascii="宋体" w:hAnsi="宋体" w:cs="宋体"/>
                <w:szCs w:val="21"/>
                <w:lang w:val="en-US" w:eastAsia="zh-CN"/>
              </w:rPr>
              <w:t>9.支持12个PCIe4.0扩展插槽，2个OCP3.0插槽,可选支持3个300WGPU；</w:t>
            </w:r>
          </w:p>
          <w:p>
            <w:pPr>
              <w:jc w:val="left"/>
              <w:rPr>
                <w:rFonts w:hint="eastAsia" w:ascii="宋体" w:hAnsi="宋体" w:cs="宋体"/>
                <w:szCs w:val="21"/>
                <w:lang w:val="en-US" w:eastAsia="zh-CN"/>
              </w:rPr>
            </w:pPr>
            <w:r>
              <w:rPr>
                <w:rFonts w:hint="eastAsia" w:ascii="宋体" w:hAnsi="宋体" w:cs="宋体"/>
                <w:szCs w:val="21"/>
                <w:lang w:val="en-US" w:eastAsia="zh-CN"/>
              </w:rPr>
              <w:t>10.支持扩展内置的故障诊断面板；</w:t>
            </w:r>
          </w:p>
          <w:p>
            <w:pPr>
              <w:jc w:val="left"/>
              <w:rPr>
                <w:rFonts w:hint="eastAsia" w:ascii="宋体" w:hAnsi="宋体" w:cs="宋体"/>
                <w:szCs w:val="21"/>
                <w:lang w:val="en-US" w:eastAsia="zh-CN"/>
              </w:rPr>
            </w:pPr>
            <w:r>
              <w:rPr>
                <w:rFonts w:hint="eastAsia" w:ascii="宋体" w:hAnsi="宋体" w:cs="宋体"/>
                <w:szCs w:val="21"/>
                <w:lang w:val="en-US" w:eastAsia="zh-CN"/>
              </w:rPr>
              <w:t>11.平均无故障时间（MTBF）不低于24万小时；</w:t>
            </w:r>
          </w:p>
          <w:p>
            <w:pPr>
              <w:jc w:val="left"/>
              <w:rPr>
                <w:rFonts w:hint="default" w:ascii="宋体" w:hAnsi="宋体" w:cs="宋体"/>
                <w:szCs w:val="21"/>
                <w:lang w:val="en-US" w:eastAsia="zh-CN"/>
              </w:rPr>
            </w:pPr>
            <w:r>
              <w:rPr>
                <w:rFonts w:hint="eastAsia" w:ascii="宋体" w:hAnsi="宋体" w:cs="宋体"/>
                <w:szCs w:val="21"/>
                <w:lang w:val="en-US" w:eastAsia="zh-CN"/>
              </w:rPr>
              <w:t>12. ▲工频磁场抗扰度应符合GB/T17626.8-2006工频磁场抗扰度要求。（投标时提供具有CMA或CNAS认证标识的第三方检测机构出具的检测报告扫描件证明）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widowControl/>
              <w:jc w:val="left"/>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1476" w:type="dxa"/>
            <w:vAlign w:val="center"/>
          </w:tcPr>
          <w:p>
            <w:pPr>
              <w:jc w:val="left"/>
              <w:rPr>
                <w:rFonts w:hint="eastAsia" w:ascii="宋体" w:hAnsi="宋体" w:cs="宋体"/>
                <w:szCs w:val="21"/>
                <w:lang w:val="en-US" w:eastAsia="zh-CN"/>
              </w:rPr>
            </w:pPr>
            <w:r>
              <w:rPr>
                <w:rFonts w:hint="eastAsia" w:ascii="宋体" w:hAnsi="宋体" w:cs="宋体"/>
                <w:szCs w:val="21"/>
                <w:lang w:val="en-US" w:eastAsia="zh-CN"/>
              </w:rPr>
              <w:t>售后服务</w:t>
            </w:r>
          </w:p>
        </w:tc>
        <w:tc>
          <w:tcPr>
            <w:tcW w:w="5986" w:type="dxa"/>
            <w:vAlign w:val="top"/>
          </w:tcPr>
          <w:p>
            <w:pPr>
              <w:jc w:val="left"/>
              <w:rPr>
                <w:rFonts w:hint="eastAsia" w:ascii="宋体" w:hAnsi="宋体" w:cs="宋体"/>
                <w:szCs w:val="21"/>
                <w:lang w:val="en-US" w:eastAsia="zh-CN"/>
              </w:rPr>
            </w:pPr>
            <w:r>
              <w:rPr>
                <w:rFonts w:hint="eastAsia" w:ascii="宋体" w:hAnsi="宋体" w:cs="宋体"/>
                <w:szCs w:val="21"/>
                <w:lang w:val="en-US" w:eastAsia="zh-CN"/>
              </w:rPr>
              <w:t>1、培训与指导</w:t>
            </w:r>
          </w:p>
          <w:p>
            <w:pPr>
              <w:jc w:val="left"/>
              <w:rPr>
                <w:rFonts w:hint="eastAsia" w:ascii="宋体" w:hAnsi="宋体" w:cs="宋体"/>
                <w:szCs w:val="21"/>
                <w:lang w:val="en-US" w:eastAsia="zh-CN"/>
              </w:rPr>
            </w:pPr>
            <w:r>
              <w:rPr>
                <w:rFonts w:hint="eastAsia" w:ascii="宋体" w:hAnsi="宋体" w:cs="宋体"/>
                <w:szCs w:val="21"/>
                <w:lang w:val="en-US" w:eastAsia="zh-CN"/>
              </w:rPr>
              <w:t>（1）平台讲解</w:t>
            </w:r>
          </w:p>
          <w:p>
            <w:pPr>
              <w:jc w:val="left"/>
              <w:rPr>
                <w:rFonts w:hint="eastAsia" w:ascii="宋体" w:hAnsi="宋体" w:cs="宋体"/>
                <w:szCs w:val="21"/>
                <w:lang w:val="en-US" w:eastAsia="zh-CN"/>
              </w:rPr>
            </w:pPr>
            <w:r>
              <w:rPr>
                <w:rFonts w:hint="eastAsia" w:ascii="宋体" w:hAnsi="宋体" w:cs="宋体"/>
                <w:szCs w:val="21"/>
                <w:lang w:val="en-US" w:eastAsia="zh-CN"/>
              </w:rPr>
              <w:t>由企业技术专家通过远程指导如何使用云平台，帮助用户快速熟悉平台的基本操作和功能。引导内容包括平台界面介绍、操作流程演示等。模拟实训环境，还原真实实训场景，充分锻炼学生的大数据专业能力。</w:t>
            </w:r>
          </w:p>
          <w:p>
            <w:pPr>
              <w:jc w:val="left"/>
              <w:rPr>
                <w:rFonts w:hint="eastAsia" w:ascii="宋体" w:hAnsi="宋体" w:cs="宋体"/>
                <w:szCs w:val="21"/>
                <w:lang w:val="en-US" w:eastAsia="zh-CN"/>
              </w:rPr>
            </w:pPr>
            <w:r>
              <w:rPr>
                <w:rFonts w:hint="eastAsia" w:ascii="宋体" w:hAnsi="宋体" w:cs="宋体"/>
                <w:szCs w:val="21"/>
                <w:lang w:val="en-US" w:eastAsia="zh-CN"/>
              </w:rPr>
              <w:t>（2）专业内容培训</w:t>
            </w:r>
          </w:p>
          <w:p>
            <w:pPr>
              <w:jc w:val="left"/>
              <w:rPr>
                <w:rFonts w:hint="eastAsia" w:ascii="宋体" w:hAnsi="宋体" w:cs="宋体"/>
                <w:szCs w:val="21"/>
                <w:lang w:val="en-US" w:eastAsia="zh-CN"/>
              </w:rPr>
            </w:pPr>
            <w:r>
              <w:rPr>
                <w:rFonts w:hint="eastAsia" w:ascii="宋体" w:hAnsi="宋体" w:cs="宋体"/>
                <w:szCs w:val="21"/>
                <w:lang w:val="en-US" w:eastAsia="zh-CN"/>
              </w:rPr>
              <w:t>由企业技术专家参与，为学生解答知识点培训。培训内容将分为多个模块，每个模块针对大数据技术特定技能领域，包括大数据平台搭建和运维、数据获取与处理、业务分析以及数据可视化。针对本方案大数据综合实训资源包的内容知识点提供专业建议，并分享最佳经验。</w:t>
            </w:r>
          </w:p>
          <w:p>
            <w:pPr>
              <w:jc w:val="left"/>
              <w:rPr>
                <w:rFonts w:hint="eastAsia" w:ascii="宋体" w:hAnsi="宋体" w:cs="宋体"/>
                <w:szCs w:val="21"/>
                <w:lang w:val="en-US" w:eastAsia="zh-CN"/>
              </w:rPr>
            </w:pPr>
            <w:r>
              <w:rPr>
                <w:rFonts w:hint="eastAsia" w:ascii="宋体" w:hAnsi="宋体" w:cs="宋体"/>
                <w:szCs w:val="21"/>
                <w:lang w:val="en-US" w:eastAsia="zh-CN"/>
              </w:rPr>
              <w:t>2、平台运维支持</w:t>
            </w:r>
          </w:p>
          <w:p>
            <w:pPr>
              <w:jc w:val="left"/>
              <w:rPr>
                <w:rFonts w:hint="eastAsia" w:ascii="宋体" w:hAnsi="宋体" w:cs="宋体"/>
                <w:szCs w:val="21"/>
                <w:lang w:val="en-US" w:eastAsia="zh-CN"/>
              </w:rPr>
            </w:pPr>
            <w:r>
              <w:rPr>
                <w:rFonts w:hint="eastAsia" w:ascii="宋体" w:hAnsi="宋体" w:cs="宋体"/>
                <w:szCs w:val="21"/>
                <w:lang w:val="en-US" w:eastAsia="zh-CN"/>
              </w:rPr>
              <w:t>实训云平台运维支撑内容涵盖服务器集群与软件平台的搭建与优化，包括部署、测试、性能调优以及网络安全策略的实施。另外，强调了日志和监控系统的部署，以及快速响应机制的重要性。此外，还关注数据的采集、存储、备份和保护，确保数据安全性。这一系列措施共同保障了平台的稳定运行和数据安全。</w:t>
            </w:r>
          </w:p>
          <w:p>
            <w:pPr>
              <w:jc w:val="left"/>
              <w:rPr>
                <w:rFonts w:hint="eastAsia" w:ascii="宋体" w:hAnsi="宋体" w:cs="宋体"/>
                <w:szCs w:val="21"/>
                <w:lang w:val="en-US" w:eastAsia="zh-CN"/>
              </w:rPr>
            </w:pPr>
            <w:r>
              <w:rPr>
                <w:rFonts w:hint="eastAsia" w:ascii="宋体" w:hAnsi="宋体" w:cs="宋体"/>
                <w:szCs w:val="21"/>
                <w:lang w:val="en-US" w:eastAsia="zh-CN"/>
              </w:rPr>
              <w:t>（1）运维内容：服务器集群与软件平台部署、系统性能优化、安全性与漏洞管理、日志和监控系统、数据管理</w:t>
            </w:r>
          </w:p>
          <w:p>
            <w:pPr>
              <w:jc w:val="left"/>
              <w:rPr>
                <w:rFonts w:hint="eastAsia" w:ascii="宋体" w:hAnsi="宋体" w:cs="宋体"/>
                <w:szCs w:val="21"/>
                <w:lang w:val="en-US" w:eastAsia="zh-CN"/>
              </w:rPr>
            </w:pPr>
            <w:r>
              <w:rPr>
                <w:rFonts w:hint="eastAsia" w:ascii="宋体" w:hAnsi="宋体" w:cs="宋体"/>
                <w:szCs w:val="21"/>
                <w:lang w:val="en-US" w:eastAsia="zh-CN"/>
              </w:rPr>
              <w:t>（2）定期维护：平台会定期进行维护，包括修复已知漏洞、优化系统性能等，以确保平台的稳定性和安全性。维护期间，平台会提前通知用户，并尽量选择在用户活跃度较低的时间段进行。</w:t>
            </w:r>
          </w:p>
          <w:p>
            <w:pPr>
              <w:jc w:val="left"/>
              <w:rPr>
                <w:rFonts w:hint="eastAsia" w:ascii="宋体" w:hAnsi="宋体" w:cs="宋体"/>
                <w:szCs w:val="21"/>
                <w:lang w:val="en-US" w:eastAsia="zh-CN"/>
              </w:rPr>
            </w:pPr>
            <w:r>
              <w:rPr>
                <w:rFonts w:hint="eastAsia" w:ascii="宋体" w:hAnsi="宋体" w:cs="宋体"/>
                <w:szCs w:val="21"/>
                <w:lang w:val="en-US" w:eastAsia="zh-CN"/>
              </w:rPr>
              <w:t>（3）功能升级：为了满足用户不断增长的需求，平台会不断进行功能升级。升级内容可能包括新增功能模块、优化用户界面、提升数据处理速度等。升级完成后，平台会提供详细的使用指南和教程，帮助用户快速熟悉新功能。</w:t>
            </w:r>
          </w:p>
          <w:p>
            <w:pPr>
              <w:jc w:val="left"/>
              <w:rPr>
                <w:rFonts w:hint="eastAsia" w:ascii="宋体" w:hAnsi="宋体" w:cs="宋体"/>
                <w:szCs w:val="21"/>
                <w:lang w:val="en-US" w:eastAsia="zh-CN"/>
              </w:rPr>
            </w:pPr>
            <w:r>
              <w:rPr>
                <w:rFonts w:hint="eastAsia" w:ascii="宋体" w:hAnsi="宋体" w:cs="宋体"/>
                <w:szCs w:val="21"/>
                <w:lang w:val="en-US" w:eastAsia="zh-CN"/>
              </w:rPr>
              <w:t>3、平台安全保障服务</w:t>
            </w:r>
          </w:p>
          <w:p>
            <w:pPr>
              <w:jc w:val="left"/>
              <w:rPr>
                <w:rFonts w:hint="eastAsia" w:ascii="宋体" w:hAnsi="宋体" w:cs="宋体"/>
                <w:szCs w:val="21"/>
                <w:lang w:val="en-US" w:eastAsia="zh-CN"/>
              </w:rPr>
            </w:pPr>
            <w:r>
              <w:rPr>
                <w:rFonts w:hint="eastAsia" w:ascii="宋体" w:hAnsi="宋体" w:cs="宋体"/>
                <w:szCs w:val="21"/>
                <w:lang w:val="en-US" w:eastAsia="zh-CN"/>
              </w:rPr>
              <w:t>（1）可靠性：稳定的运行环境、高效的数据处理、完善的备份与恢复机制</w:t>
            </w:r>
          </w:p>
          <w:p>
            <w:pPr>
              <w:jc w:val="left"/>
              <w:rPr>
                <w:rFonts w:hint="eastAsia" w:ascii="宋体" w:hAnsi="宋体" w:cs="宋体"/>
                <w:szCs w:val="21"/>
                <w:lang w:val="en-US" w:eastAsia="zh-CN"/>
              </w:rPr>
            </w:pPr>
            <w:r>
              <w:rPr>
                <w:rFonts w:hint="eastAsia" w:ascii="宋体" w:hAnsi="宋体" w:cs="宋体"/>
                <w:szCs w:val="21"/>
                <w:lang w:val="en-US" w:eastAsia="zh-CN"/>
              </w:rPr>
              <w:t>（2）安全性：严格的身份认证与授权、精细的访问控制、数据安全防护、系统安全加固、日志审计与监控</w:t>
            </w:r>
          </w:p>
          <w:p>
            <w:pPr>
              <w:jc w:val="left"/>
              <w:rPr>
                <w:rFonts w:hint="eastAsia" w:ascii="宋体" w:hAnsi="宋体" w:cs="宋体"/>
                <w:szCs w:val="21"/>
                <w:lang w:val="en-US" w:eastAsia="zh-CN"/>
              </w:rPr>
            </w:pPr>
            <w:r>
              <w:rPr>
                <w:rFonts w:hint="eastAsia" w:ascii="宋体" w:hAnsi="宋体" w:cs="宋体"/>
                <w:szCs w:val="21"/>
                <w:lang w:val="en-US" w:eastAsia="zh-CN"/>
              </w:rPr>
              <w:t>4、技术支持服务</w:t>
            </w:r>
          </w:p>
          <w:p>
            <w:pPr>
              <w:jc w:val="left"/>
              <w:rPr>
                <w:rFonts w:hint="eastAsia" w:ascii="宋体" w:hAnsi="宋体" w:cs="宋体"/>
                <w:szCs w:val="21"/>
                <w:lang w:val="en-US" w:eastAsia="zh-CN"/>
              </w:rPr>
            </w:pPr>
            <w:r>
              <w:rPr>
                <w:rFonts w:hint="eastAsia" w:ascii="宋体" w:hAnsi="宋体" w:cs="宋体"/>
                <w:szCs w:val="21"/>
                <w:lang w:val="en-US" w:eastAsia="zh-CN"/>
              </w:rPr>
              <w:t>（1）实时在线支持服务：平台为用户提供实时在线的技术支持服务，旨在确保用户在使用过程中遇到的任何问题都能得到及时解决。平台设有专业的技术支持团队，团队成员均具备丰富的专业知识和实践经验，有能力为用户提供咨询和帮助。</w:t>
            </w:r>
          </w:p>
          <w:p>
            <w:pPr>
              <w:jc w:val="left"/>
              <w:rPr>
                <w:rFonts w:hint="eastAsia" w:ascii="宋体" w:hAnsi="宋体" w:cs="宋体"/>
                <w:szCs w:val="21"/>
                <w:lang w:val="en-US" w:eastAsia="zh-CN"/>
              </w:rPr>
            </w:pPr>
            <w:r>
              <w:rPr>
                <w:rFonts w:hint="eastAsia" w:ascii="宋体" w:hAnsi="宋体" w:cs="宋体"/>
                <w:szCs w:val="21"/>
                <w:lang w:val="en-US" w:eastAsia="zh-CN"/>
              </w:rPr>
              <w:t>（2）问题诊断与解决策略：当用户反馈问题时，特别是平台故障类问题，平台的技术支持团队将迅速响应，并启动问题诊断程序。团队将深入剖析问题原因，并根据实际情况提供针对性的解决方案。平台承诺为用户提供及时、有效的快速响应和解决方案，确保用户的问题得到妥善处理，提升用户的使用体验。</w:t>
            </w:r>
          </w:p>
          <w:p>
            <w:pPr>
              <w:jc w:val="left"/>
              <w:rPr>
                <w:rFonts w:hint="eastAsia" w:ascii="宋体" w:hAnsi="宋体" w:cs="宋体"/>
                <w:szCs w:val="21"/>
                <w:lang w:val="en-US" w:eastAsia="zh-CN"/>
              </w:rPr>
            </w:pPr>
            <w:r>
              <w:rPr>
                <w:rFonts w:hint="eastAsia" w:ascii="宋体" w:hAnsi="宋体" w:cs="宋体"/>
                <w:szCs w:val="21"/>
                <w:lang w:val="en-US" w:eastAsia="zh-CN"/>
              </w:rPr>
              <w:t>5、用户反馈与改进</w:t>
            </w:r>
          </w:p>
          <w:p>
            <w:pPr>
              <w:jc w:val="left"/>
              <w:rPr>
                <w:rFonts w:hint="eastAsia" w:ascii="宋体" w:hAnsi="宋体" w:cs="宋体"/>
                <w:szCs w:val="21"/>
                <w:lang w:val="en-US" w:eastAsia="zh-CN"/>
              </w:rPr>
            </w:pPr>
            <w:r>
              <w:rPr>
                <w:rFonts w:hint="eastAsia" w:ascii="宋体" w:hAnsi="宋体" w:cs="宋体"/>
                <w:szCs w:val="21"/>
                <w:lang w:val="en-US" w:eastAsia="zh-CN"/>
              </w:rPr>
              <w:t>（1）反馈收集：平台积极收集用户的反馈意见，通在线反馈和调研交流等方式，了解用户对平台功能、性能、服务等方面的看法和建议。</w:t>
            </w:r>
          </w:p>
          <w:p>
            <w:pPr>
              <w:jc w:val="left"/>
              <w:rPr>
                <w:rFonts w:hint="eastAsia" w:ascii="宋体" w:hAnsi="宋体" w:cs="宋体"/>
                <w:szCs w:val="21"/>
                <w:lang w:val="en-US" w:eastAsia="zh-CN"/>
              </w:rPr>
            </w:pPr>
            <w:r>
              <w:rPr>
                <w:rFonts w:hint="eastAsia" w:ascii="宋体" w:hAnsi="宋体" w:cs="宋体"/>
                <w:szCs w:val="21"/>
                <w:lang w:val="en-US" w:eastAsia="zh-CN"/>
              </w:rPr>
              <w:t>（2）持续改进：根据用户的反馈意见，平台会不断对功能和服务进行改进。这些改进可能包括优化操作流程和UI界面、增加更优化的业务功能、更新体系架构，提升数据处理速度等，旨在为用户提供更好的使用体验。</w:t>
            </w:r>
          </w:p>
          <w:p>
            <w:pPr>
              <w:jc w:val="left"/>
              <w:rPr>
                <w:rFonts w:hint="eastAsia" w:ascii="宋体" w:hAnsi="宋体" w:cs="宋体"/>
                <w:szCs w:val="21"/>
                <w:lang w:val="en-US" w:eastAsia="zh-CN"/>
              </w:rPr>
            </w:pPr>
            <w:r>
              <w:rPr>
                <w:rFonts w:hint="eastAsia" w:ascii="宋体" w:hAnsi="宋体" w:cs="宋体"/>
                <w:szCs w:val="21"/>
                <w:lang w:val="en-US" w:eastAsia="zh-CN"/>
              </w:rPr>
              <w:t>6、服务时间一年。</w:t>
            </w:r>
          </w:p>
        </w:tc>
      </w:tr>
    </w:tbl>
    <w:p>
      <w:pPr>
        <w:ind w:firstLine="420" w:firstLineChars="200"/>
        <w:rPr>
          <w:bCs/>
          <w:szCs w:val="21"/>
        </w:rPr>
      </w:pPr>
      <w:r>
        <w:rPr>
          <w:rFonts w:hint="eastAsia" w:ascii="宋体" w:hAnsi="宋体" w:cs="宋体"/>
          <w:bCs/>
        </w:rPr>
        <w:t>备注：</w:t>
      </w:r>
      <w:r>
        <w:rPr>
          <w:rFonts w:hint="eastAsia"/>
          <w:bCs/>
          <w:szCs w:val="21"/>
        </w:rPr>
        <w:t>1．带“</w:t>
      </w:r>
      <w:r>
        <w:rPr>
          <w:rFonts w:hint="eastAsia" w:ascii="宋体" w:hAnsi="宋体" w:cs="宋体"/>
          <w:bCs/>
          <w:szCs w:val="21"/>
        </w:rPr>
        <w:t>★</w:t>
      </w:r>
      <w:r>
        <w:rPr>
          <w:rFonts w:hint="eastAsia"/>
          <w:bCs/>
          <w:szCs w:val="21"/>
        </w:rPr>
        <w:t>”指标项为实质性条款，如出现负偏离，将被视为未实质性满足招标文件要求作投标无效处理。带“</w:t>
      </w:r>
      <w:r>
        <w:rPr>
          <w:bCs/>
        </w:rPr>
        <w:t>▲</w:t>
      </w:r>
      <w:r>
        <w:rPr>
          <w:rFonts w:hint="eastAsia"/>
          <w:bCs/>
          <w:szCs w:val="21"/>
        </w:rPr>
        <w:t>”指标项为重要参数，负偏离时依相关评分准则内容作重点扣分处理。</w:t>
      </w:r>
    </w:p>
    <w:p>
      <w:pPr>
        <w:ind w:firstLine="420" w:firstLineChars="200"/>
        <w:rPr>
          <w:rFonts w:ascii="宋体" w:hAnsi="宋体" w:cs="宋体"/>
          <w:bCs/>
        </w:rPr>
      </w:pPr>
      <w:r>
        <w:rPr>
          <w:rFonts w:hint="eastAsia"/>
          <w:bCs/>
        </w:rPr>
        <w:t>2．评分时，如对一项招标技术要求中的内容存在两处（或以上）负偏离的，在评分时只作一项负偏离扣分</w:t>
      </w:r>
      <w:r>
        <w:rPr>
          <w:rFonts w:hint="eastAsia" w:ascii="宋体" w:hAnsi="宋体" w:cs="宋体"/>
          <w:bCs/>
        </w:rPr>
        <w:t>。</w:t>
      </w:r>
    </w:p>
    <w:p>
      <w:pPr>
        <w:pStyle w:val="9"/>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3"/>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numPr>
                <w:ilvl w:val="0"/>
                <w:numId w:val="2"/>
              </w:numPr>
              <w:jc w:val="center"/>
              <w:rPr>
                <w:rFonts w:ascii="仿宋_GB2312" w:hAnsi="仿宋_GB2312" w:eastAsia="仿宋_GB2312" w:cs="仿宋_GB2312"/>
              </w:rPr>
            </w:pPr>
          </w:p>
        </w:tc>
        <w:tc>
          <w:tcPr>
            <w:tcW w:w="1559" w:type="dxa"/>
            <w:vAlign w:val="center"/>
          </w:tcPr>
          <w:p>
            <w:pPr>
              <w:rPr>
                <w:rFonts w:ascii="宋体" w:hAnsi="宋体" w:cs="宋体"/>
              </w:rPr>
            </w:pPr>
            <w:r>
              <w:rPr>
                <w:rFonts w:hint="eastAsia" w:ascii="宋体" w:hAnsi="宋体" w:cs="宋体"/>
              </w:rPr>
              <w:t>免费保修期</w:t>
            </w:r>
          </w:p>
        </w:tc>
        <w:tc>
          <w:tcPr>
            <w:tcW w:w="6158" w:type="dxa"/>
          </w:tcPr>
          <w:p>
            <w:pPr>
              <w:rPr>
                <w:rFonts w:ascii="宋体" w:hAnsi="宋体" w:cs="宋体"/>
              </w:rPr>
            </w:pPr>
            <w:r>
              <w:rPr>
                <w:rFonts w:hint="eastAsia" w:ascii="宋体" w:hAnsi="宋体" w:cs="宋体"/>
              </w:rPr>
              <w:t>货物免费保修期三年，时间自最终验收合格并交付使用之日起计算。在质保期内，免费维修与更换所有零配件。中标人需每年定期免费提供软件升级及硬件维护等服务。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restart"/>
            <w:vAlign w:val="center"/>
          </w:tcPr>
          <w:p>
            <w:pPr>
              <w:numPr>
                <w:ilvl w:val="0"/>
                <w:numId w:val="2"/>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维修响应及故障解决时间</w:t>
            </w:r>
          </w:p>
        </w:tc>
        <w:tc>
          <w:tcPr>
            <w:tcW w:w="6158" w:type="dxa"/>
          </w:tcPr>
          <w:p>
            <w:pPr>
              <w:rPr>
                <w:rFonts w:ascii="宋体" w:hAnsi="宋体" w:cs="宋体"/>
              </w:rPr>
            </w:pPr>
            <w:r>
              <w:rPr>
                <w:rFonts w:hint="eastAsia" w:ascii="宋体" w:hAnsi="宋体" w:cs="宋体"/>
              </w:rPr>
              <w:t>在保修期内，一旦发生质量问题，投标人保证在接到通知24小时内赶到现场进行修理或更换。因维修不及时，而导致设备无法正常使用时，其保修时间随停机时间的长短而相应延长。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vAlign w:val="center"/>
          </w:tcPr>
          <w:p>
            <w:pPr>
              <w:rPr>
                <w:rFonts w:ascii="宋体" w:hAnsi="宋体" w:cs="宋体"/>
              </w:rPr>
            </w:pPr>
          </w:p>
        </w:tc>
        <w:tc>
          <w:tcPr>
            <w:tcW w:w="6158" w:type="dxa"/>
          </w:tcPr>
          <w:p>
            <w:pPr>
              <w:rPr>
                <w:rFonts w:ascii="宋体" w:hAnsi="宋体" w:cs="宋体"/>
              </w:rPr>
            </w:pPr>
            <w:r>
              <w:rPr>
                <w:rFonts w:hint="eastAsia" w:ascii="宋体" w:hAnsi="宋体" w:cs="宋体"/>
              </w:rPr>
              <w:t>一般故障：到达现场时间：&lt;=8小时。</w:t>
            </w:r>
          </w:p>
          <w:p>
            <w:pPr>
              <w:rPr>
                <w:rFonts w:ascii="宋体" w:hAnsi="宋体" w:cs="宋体"/>
              </w:rPr>
            </w:pPr>
            <w:r>
              <w:rPr>
                <w:rFonts w:hint="eastAsia" w:ascii="宋体" w:hAnsi="宋体" w:cs="宋体"/>
              </w:rPr>
              <w:t>重大故障：到达现场时间：&lt;=4小时。</w:t>
            </w:r>
          </w:p>
          <w:p>
            <w:pPr>
              <w:rPr>
                <w:rFonts w:ascii="宋体" w:hAnsi="宋体" w:cs="宋体"/>
              </w:rPr>
            </w:pPr>
            <w:r>
              <w:rPr>
                <w:rFonts w:hint="eastAsia" w:ascii="宋体" w:hAnsi="宋体" w:cs="宋体"/>
              </w:rPr>
              <w:t>系统故障：到达现场时间：&lt;=2小时。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numPr>
                <w:ilvl w:val="0"/>
                <w:numId w:val="2"/>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★关于交货</w:t>
            </w:r>
          </w:p>
        </w:tc>
        <w:tc>
          <w:tcPr>
            <w:tcW w:w="6158" w:type="dxa"/>
          </w:tcPr>
          <w:p>
            <w:pPr>
              <w:rPr>
                <w:rFonts w:ascii="宋体" w:hAnsi="宋体" w:cs="宋体"/>
              </w:rPr>
            </w:pPr>
            <w:r>
              <w:rPr>
                <w:rFonts w:hint="eastAsia" w:ascii="宋体" w:hAnsi="宋体" w:cs="宋体"/>
              </w:rPr>
              <w:t>1.签订合同之日起</w:t>
            </w:r>
            <w:r>
              <w:rPr>
                <w:rFonts w:hint="eastAsia" w:ascii="宋体" w:hAnsi="宋体" w:cs="宋体"/>
                <w:lang w:val="en-US" w:eastAsia="zh-CN"/>
              </w:rPr>
              <w:t>7</w:t>
            </w:r>
            <w:r>
              <w:rPr>
                <w:rFonts w:hint="eastAsia" w:ascii="宋体" w:hAnsi="宋体" w:cs="宋体"/>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vAlign w:val="center"/>
          </w:tcPr>
          <w:p>
            <w:pPr>
              <w:rPr>
                <w:rFonts w:ascii="宋体" w:hAnsi="宋体" w:cs="宋体"/>
              </w:rPr>
            </w:pPr>
          </w:p>
        </w:tc>
        <w:tc>
          <w:tcPr>
            <w:tcW w:w="6158" w:type="dxa"/>
          </w:tcPr>
          <w:p>
            <w:pPr>
              <w:rPr>
                <w:rFonts w:ascii="宋体" w:hAnsi="宋体" w:cs="宋体"/>
              </w:rPr>
            </w:pPr>
            <w:r>
              <w:rPr>
                <w:rFonts w:hint="eastAsia" w:ascii="宋体" w:hAnsi="宋体" w:cs="宋体"/>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numPr>
                <w:ilvl w:val="0"/>
                <w:numId w:val="2"/>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关于验收</w:t>
            </w:r>
          </w:p>
        </w:tc>
        <w:tc>
          <w:tcPr>
            <w:tcW w:w="6158" w:type="dxa"/>
          </w:tcPr>
          <w:p>
            <w:pPr>
              <w:rPr>
                <w:rFonts w:ascii="宋体" w:hAnsi="宋体" w:cs="宋体"/>
              </w:rPr>
            </w:pPr>
            <w:r>
              <w:rPr>
                <w:rFonts w:hint="eastAsia" w:ascii="宋体" w:hAnsi="宋体" w:cs="宋体"/>
              </w:rPr>
              <w:t>1.投标人货物经过双方检验认可后，签署验收报告，产品保修期自验收合格之日起算。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tcPr>
          <w:p>
            <w:pPr>
              <w:rPr>
                <w:rFonts w:ascii="宋体" w:hAnsi="宋体" w:cs="宋体"/>
              </w:rPr>
            </w:pPr>
          </w:p>
        </w:tc>
        <w:tc>
          <w:tcPr>
            <w:tcW w:w="6158" w:type="dxa"/>
          </w:tcPr>
          <w:p>
            <w:pPr>
              <w:rPr>
                <w:rFonts w:ascii="宋体" w:hAnsi="宋体" w:cs="宋体"/>
              </w:rPr>
            </w:pPr>
            <w:r>
              <w:rPr>
                <w:rFonts w:hint="eastAsia" w:ascii="宋体" w:hAnsi="宋体" w:cs="宋体"/>
              </w:rPr>
              <w:t>2.当满足以下条件时，采购人才向中标人签发货物验收报告：</w:t>
            </w:r>
          </w:p>
          <w:p>
            <w:pPr>
              <w:rPr>
                <w:rFonts w:ascii="宋体" w:hAnsi="宋体" w:cs="宋体"/>
              </w:rPr>
            </w:pPr>
            <w:r>
              <w:rPr>
                <w:rFonts w:hint="eastAsia" w:ascii="宋体" w:hAnsi="宋体" w:cs="宋体"/>
              </w:rPr>
              <w:t>a、中标人已按照合同规定提供了全部产品及完整的技术资料。</w:t>
            </w:r>
          </w:p>
          <w:p>
            <w:pPr>
              <w:rPr>
                <w:rFonts w:ascii="宋体" w:hAnsi="宋体" w:cs="宋体"/>
              </w:rPr>
            </w:pPr>
            <w:r>
              <w:rPr>
                <w:rFonts w:hint="eastAsia" w:ascii="宋体" w:hAnsi="宋体" w:cs="宋体"/>
              </w:rPr>
              <w:t>b、货物符合招标文件技术规格书的要求，性能满足要求。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numPr>
                <w:ilvl w:val="0"/>
                <w:numId w:val="2"/>
              </w:numPr>
              <w:jc w:val="center"/>
              <w:rPr>
                <w:rFonts w:ascii="仿宋_GB2312" w:hAnsi="仿宋_GB2312" w:eastAsia="仿宋_GB2312" w:cs="仿宋_GB2312"/>
              </w:rPr>
            </w:pPr>
          </w:p>
        </w:tc>
        <w:tc>
          <w:tcPr>
            <w:tcW w:w="1559" w:type="dxa"/>
            <w:vAlign w:val="center"/>
          </w:tcPr>
          <w:p>
            <w:pPr>
              <w:rPr>
                <w:rFonts w:ascii="宋体" w:hAnsi="宋体" w:cs="宋体"/>
              </w:rPr>
            </w:pPr>
            <w:r>
              <w:rPr>
                <w:rFonts w:hint="eastAsia" w:ascii="宋体" w:hAnsi="宋体" w:cs="宋体"/>
              </w:rPr>
              <w:t>关于付款</w:t>
            </w:r>
          </w:p>
        </w:tc>
        <w:tc>
          <w:tcPr>
            <w:tcW w:w="6158" w:type="dxa"/>
            <w:vAlign w:val="center"/>
          </w:tcPr>
          <w:p>
            <w:pPr>
              <w:rPr>
                <w:rFonts w:ascii="宋体" w:hAnsi="宋体" w:cs="宋体"/>
              </w:rPr>
            </w:pPr>
            <w:r>
              <w:rPr>
                <w:rFonts w:hint="eastAsia" w:ascii="宋体" w:hAnsi="宋体" w:cs="宋体"/>
              </w:rPr>
              <w:t>按合同约定交货、安装、调试及试运行，并经甲方组织的验收合格后，甲方在收到乙方付款申请及付款所需要的材料后15日内，甲方向乙方一次性付清合同款项。</w:t>
            </w:r>
          </w:p>
        </w:tc>
      </w:tr>
    </w:tbl>
    <w:p>
      <w:pPr>
        <w:ind w:firstLine="420" w:firstLineChars="200"/>
        <w:rPr>
          <w:bCs/>
          <w:szCs w:val="21"/>
        </w:rPr>
      </w:pPr>
      <w:r>
        <w:rPr>
          <w:rFonts w:hint="eastAsia" w:ascii="宋体" w:hAnsi="宋体" w:cs="宋体"/>
          <w:bCs/>
        </w:rPr>
        <w:t>备注：</w:t>
      </w:r>
      <w:r>
        <w:rPr>
          <w:rFonts w:hint="eastAsia"/>
          <w:bCs/>
          <w:szCs w:val="21"/>
        </w:rPr>
        <w:t>1．带“</w:t>
      </w:r>
      <w:r>
        <w:rPr>
          <w:rFonts w:hint="eastAsia" w:ascii="宋体" w:hAnsi="宋体" w:cs="宋体"/>
          <w:bCs/>
          <w:szCs w:val="21"/>
        </w:rPr>
        <w:t>★</w:t>
      </w:r>
      <w:r>
        <w:rPr>
          <w:rFonts w:hint="eastAsia"/>
          <w:bCs/>
          <w:szCs w:val="21"/>
        </w:rPr>
        <w:t>”指标项为实质性条款，如出现负偏离，将被视为未实质性满足招标文件要求作投标无效处理。带“</w:t>
      </w:r>
      <w:r>
        <w:rPr>
          <w:bCs/>
        </w:rPr>
        <w:t>▲</w:t>
      </w:r>
      <w:r>
        <w:rPr>
          <w:rFonts w:hint="eastAsia"/>
          <w:bCs/>
          <w:szCs w:val="21"/>
        </w:rPr>
        <w:t>”指标项为重要参数，负偏离时依相关评分准则内容作重点扣分处理。</w:t>
      </w:r>
    </w:p>
    <w:p>
      <w:pPr>
        <w:ind w:firstLine="420" w:firstLineChars="200"/>
        <w:rPr>
          <w:rFonts w:ascii="宋体" w:hAnsi="宋体" w:cs="宋体"/>
          <w:bCs/>
        </w:rPr>
      </w:pPr>
      <w:r>
        <w:rPr>
          <w:rFonts w:hint="eastAsia"/>
          <w:bCs/>
        </w:rPr>
        <w:t>2．评分时，如对一项招标技术要求中的内容存在两处（或以上）负偏离的，在评分时只作一项负偏离扣分</w:t>
      </w:r>
      <w:r>
        <w:rPr>
          <w:rFonts w:hint="eastAsia" w:ascii="宋体" w:hAnsi="宋体" w:cs="宋体"/>
          <w:bCs/>
        </w:rPr>
        <w:t>。</w:t>
      </w:r>
    </w:p>
    <w:p>
      <w:pPr>
        <w:pStyle w:val="9"/>
        <w:ind w:firstLine="422"/>
        <w:rPr>
          <w:rFonts w:ascii="宋体" w:hAnsi="宋体" w:cs="宋体"/>
          <w:b/>
        </w:rPr>
      </w:pPr>
    </w:p>
    <w:p>
      <w:pPr>
        <w:pStyle w:val="9"/>
        <w:ind w:firstLine="422"/>
        <w:rPr>
          <w:rFonts w:ascii="宋体" w:hAnsi="宋体" w:cs="宋体"/>
          <w:b/>
        </w:rPr>
      </w:pPr>
    </w:p>
    <w:p>
      <w:pPr>
        <w:pStyle w:val="3"/>
      </w:pPr>
      <w:r>
        <w:rPr>
          <w:rFonts w:hint="eastAsia"/>
        </w:rPr>
        <w:t>第三章投标文件格式</w:t>
      </w:r>
    </w:p>
    <w:p>
      <w:pPr>
        <w:rPr>
          <w:rStyle w:val="22"/>
          <w:rFonts w:ascii="宋体" w:hAnsi="宋体" w:eastAsia="宋体" w:cs="宋体"/>
          <w:sz w:val="28"/>
          <w:szCs w:val="28"/>
        </w:rPr>
      </w:pPr>
      <w:r>
        <w:rPr>
          <w:rStyle w:val="22"/>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项目实施方案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单位：人民币元</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投标单位公章：</w:t>
      </w:r>
    </w:p>
    <w:p>
      <w:pPr>
        <w:pStyle w:val="9"/>
      </w:pPr>
    </w:p>
    <w:p>
      <w:pPr>
        <w:pStyle w:val="4"/>
        <w:numPr>
          <w:ilvl w:val="0"/>
          <w:numId w:val="3"/>
        </w:numPr>
        <w:jc w:val="center"/>
        <w:rPr>
          <w:rFonts w:cs="宋体"/>
          <w:bCs w:val="0"/>
          <w:kern w:val="0"/>
          <w:szCs w:val="28"/>
        </w:rPr>
      </w:pPr>
      <w:r>
        <w:rPr>
          <w:rFonts w:hint="eastAsia" w:cs="宋体"/>
          <w:bCs w:val="0"/>
          <w:kern w:val="0"/>
          <w:szCs w:val="28"/>
        </w:rPr>
        <w:t>评标指引表</w:t>
      </w:r>
    </w:p>
    <w:tbl>
      <w:tblPr>
        <w:tblStyle w:val="1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有效日期：签发日期：单位：</w:t>
      </w:r>
    </w:p>
    <w:p>
      <w:pPr>
        <w:spacing w:line="360" w:lineRule="auto"/>
        <w:rPr>
          <w:rFonts w:ascii="宋体" w:hAnsi="宋体" w:cs="宋体"/>
          <w:szCs w:val="21"/>
        </w:rPr>
      </w:pPr>
      <w:r>
        <w:rPr>
          <w:rFonts w:hint="eastAsia" w:ascii="宋体" w:hAnsi="宋体" w:cs="宋体"/>
          <w:szCs w:val="21"/>
        </w:rPr>
        <w:t>附：代表人性别：年龄：身份证号码：</w:t>
      </w:r>
    </w:p>
    <w:p>
      <w:pPr>
        <w:spacing w:line="360" w:lineRule="auto"/>
        <w:rPr>
          <w:rFonts w:ascii="宋体" w:hAnsi="宋体" w:cs="宋体"/>
          <w:szCs w:val="21"/>
        </w:rPr>
      </w:pPr>
      <w:r>
        <w:rPr>
          <w:rFonts w:hint="eastAsia" w:ascii="宋体" w:hAnsi="宋体" w:cs="宋体"/>
          <w:szCs w:val="21"/>
        </w:rPr>
        <w:t>营业执照号码：经济性质：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2、内容必须填写真实、清楚，涂改无效，不得转让、买卖。</w:t>
      </w:r>
    </w:p>
    <w:p>
      <w:pPr>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深圳市第一职业技术学校</w:t>
      </w:r>
    </w:p>
    <w:p>
      <w:pPr>
        <w:numPr>
          <w:ilvl w:val="0"/>
          <w:numId w:val="4"/>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投标人：单位地址：</w:t>
      </w:r>
    </w:p>
    <w:p>
      <w:pPr>
        <w:spacing w:after="156" w:afterLines="50"/>
        <w:ind w:firstLine="440" w:firstLineChars="200"/>
        <w:rPr>
          <w:rFonts w:ascii="宋体" w:hAnsi="宋体" w:cs="宋体"/>
          <w:sz w:val="22"/>
          <w:szCs w:val="22"/>
        </w:rPr>
      </w:pPr>
      <w:r>
        <w:rPr>
          <w:rFonts w:hint="eastAsia" w:ascii="宋体" w:hAnsi="宋体" w:cs="宋体"/>
          <w:sz w:val="22"/>
          <w:szCs w:val="22"/>
        </w:rPr>
        <w:t>法定代表人或其委托代理人：</w:t>
      </w:r>
    </w:p>
    <w:p>
      <w:pPr>
        <w:spacing w:after="156" w:afterLines="50"/>
        <w:ind w:firstLine="440" w:firstLineChars="200"/>
        <w:rPr>
          <w:rFonts w:ascii="宋体" w:hAnsi="宋体" w:cs="宋体"/>
          <w:sz w:val="22"/>
          <w:szCs w:val="22"/>
        </w:rPr>
      </w:pPr>
      <w:r>
        <w:rPr>
          <w:rFonts w:hint="eastAsia" w:ascii="宋体" w:hAnsi="宋体" w:cs="宋体"/>
          <w:sz w:val="22"/>
          <w:szCs w:val="22"/>
        </w:rPr>
        <w:t>邮政编码：电话：传真：</w:t>
      </w:r>
    </w:p>
    <w:p>
      <w:pPr>
        <w:spacing w:after="156" w:afterLines="50"/>
        <w:ind w:firstLine="440" w:firstLineChars="200"/>
        <w:rPr>
          <w:rFonts w:ascii="宋体" w:hAnsi="宋体" w:cs="宋体"/>
          <w:sz w:val="22"/>
          <w:szCs w:val="22"/>
        </w:rPr>
      </w:pPr>
      <w:r>
        <w:rPr>
          <w:rFonts w:hint="eastAsia" w:ascii="宋体" w:hAnsi="宋体" w:cs="宋体"/>
          <w:sz w:val="22"/>
          <w:szCs w:val="22"/>
        </w:rPr>
        <w:t>日期：年月日</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3"/>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3"/>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2"/>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2"/>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p>
    <w:p>
      <w:pPr>
        <w:rPr>
          <w:rFonts w:ascii="宋体" w:hAnsi="宋体" w:cs="宋体"/>
        </w:rPr>
      </w:pPr>
    </w:p>
    <w:p>
      <w:pPr>
        <w:pStyle w:val="4"/>
        <w:jc w:val="center"/>
        <w:rPr>
          <w:rFonts w:hint="default" w:eastAsia="宋体" w:cs="宋体"/>
          <w:kern w:val="0"/>
          <w:szCs w:val="28"/>
          <w:lang w:val="en-US" w:eastAsia="zh-CN"/>
        </w:rPr>
      </w:pPr>
      <w:r>
        <w:rPr>
          <w:rFonts w:hint="eastAsia" w:cs="宋体"/>
          <w:kern w:val="0"/>
          <w:szCs w:val="28"/>
        </w:rPr>
        <w:t>十、</w:t>
      </w:r>
      <w:r>
        <w:rPr>
          <w:rFonts w:hint="eastAsia" w:cs="宋体"/>
          <w:kern w:val="0"/>
          <w:szCs w:val="28"/>
          <w:lang w:val="en-US" w:eastAsia="zh-CN"/>
        </w:rPr>
        <w:t>项目实施方案</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5"/>
      </w:pPr>
      <w:bookmarkStart w:id="8" w:name="_GoBack"/>
      <w:bookmarkEnd w:id="8"/>
    </w:p>
    <w:p>
      <w:pPr>
        <w:pStyle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18C321E5"/>
    <w:multiLevelType w:val="singleLevel"/>
    <w:tmpl w:val="18C321E5"/>
    <w:lvl w:ilvl="0" w:tentative="0">
      <w:start w:val="1"/>
      <w:numFmt w:val="decimal"/>
      <w:lvlText w:val="%1."/>
      <w:lvlJc w:val="left"/>
      <w:pPr>
        <w:ind w:left="635" w:hanging="425"/>
      </w:pPr>
      <w:rPr>
        <w:rFonts w:hint="default"/>
      </w:r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ZmI1MjQxOTQ3ZjExZDUyYTMxZDQ0NTRhZmMzNzQifQ=="/>
    <w:docVar w:name="KSO_WPS_MARK_KEY" w:val="756e16de-e7df-4634-93e2-c7ce6f72b5f4"/>
  </w:docVars>
  <w:rsids>
    <w:rsidRoot w:val="008E06EA"/>
    <w:rsid w:val="000958E5"/>
    <w:rsid w:val="001338D7"/>
    <w:rsid w:val="001543A8"/>
    <w:rsid w:val="002B1235"/>
    <w:rsid w:val="002D1886"/>
    <w:rsid w:val="00390C90"/>
    <w:rsid w:val="003C1F11"/>
    <w:rsid w:val="003C75D3"/>
    <w:rsid w:val="00414C11"/>
    <w:rsid w:val="004E51F9"/>
    <w:rsid w:val="005821A2"/>
    <w:rsid w:val="006E43F1"/>
    <w:rsid w:val="0079565D"/>
    <w:rsid w:val="007F151F"/>
    <w:rsid w:val="008E06EA"/>
    <w:rsid w:val="008E5767"/>
    <w:rsid w:val="00960C58"/>
    <w:rsid w:val="009C137A"/>
    <w:rsid w:val="00A151C1"/>
    <w:rsid w:val="00A2554D"/>
    <w:rsid w:val="00A72C32"/>
    <w:rsid w:val="00AF491E"/>
    <w:rsid w:val="00B626E5"/>
    <w:rsid w:val="00BD34F2"/>
    <w:rsid w:val="00C815FC"/>
    <w:rsid w:val="00CC7DC0"/>
    <w:rsid w:val="00CF7933"/>
    <w:rsid w:val="00D02822"/>
    <w:rsid w:val="00D22651"/>
    <w:rsid w:val="00D415BF"/>
    <w:rsid w:val="00D7132D"/>
    <w:rsid w:val="00DF0DCB"/>
    <w:rsid w:val="00E645A8"/>
    <w:rsid w:val="00F553C3"/>
    <w:rsid w:val="00F820B8"/>
    <w:rsid w:val="03BE6FC6"/>
    <w:rsid w:val="04224B47"/>
    <w:rsid w:val="075E0B31"/>
    <w:rsid w:val="098C348D"/>
    <w:rsid w:val="0A124452"/>
    <w:rsid w:val="0A872CDA"/>
    <w:rsid w:val="0AF17FEF"/>
    <w:rsid w:val="0D7731A8"/>
    <w:rsid w:val="12A8606C"/>
    <w:rsid w:val="13BD7D54"/>
    <w:rsid w:val="14A050D5"/>
    <w:rsid w:val="18CB3C40"/>
    <w:rsid w:val="1F426239"/>
    <w:rsid w:val="21C57E4B"/>
    <w:rsid w:val="231F3C6E"/>
    <w:rsid w:val="240370EB"/>
    <w:rsid w:val="26B82091"/>
    <w:rsid w:val="29D55F6E"/>
    <w:rsid w:val="29E1282E"/>
    <w:rsid w:val="375C5833"/>
    <w:rsid w:val="3C602787"/>
    <w:rsid w:val="3DD61CDB"/>
    <w:rsid w:val="411F02FE"/>
    <w:rsid w:val="4B40126C"/>
    <w:rsid w:val="4E273257"/>
    <w:rsid w:val="508A5624"/>
    <w:rsid w:val="519B0059"/>
    <w:rsid w:val="52B37A56"/>
    <w:rsid w:val="52F106D1"/>
    <w:rsid w:val="565A0366"/>
    <w:rsid w:val="56D92D97"/>
    <w:rsid w:val="634218F3"/>
    <w:rsid w:val="65166159"/>
    <w:rsid w:val="660F7458"/>
    <w:rsid w:val="665004E8"/>
    <w:rsid w:val="685130EA"/>
    <w:rsid w:val="6BBD7F7B"/>
    <w:rsid w:val="6D1E7A9D"/>
    <w:rsid w:val="6D350E31"/>
    <w:rsid w:val="6D5C69C9"/>
    <w:rsid w:val="6DC7079D"/>
    <w:rsid w:val="6EE92007"/>
    <w:rsid w:val="6F6B4296"/>
    <w:rsid w:val="772174F0"/>
    <w:rsid w:val="7A7C5FFF"/>
    <w:rsid w:val="7C3742ED"/>
    <w:rsid w:val="7EAF0708"/>
    <w:rsid w:val="7FD1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7">
    <w:name w:val="Normal Indent"/>
    <w:basedOn w:val="1"/>
    <w:qFormat/>
    <w:uiPriority w:val="0"/>
    <w:pPr>
      <w:ind w:firstLine="420" w:firstLineChars="200"/>
    </w:pPr>
  </w:style>
  <w:style w:type="paragraph" w:styleId="8">
    <w:name w:val="Body Text Indent"/>
    <w:basedOn w:val="1"/>
    <w:next w:val="9"/>
    <w:qFormat/>
    <w:uiPriority w:val="0"/>
    <w:pPr>
      <w:spacing w:line="360" w:lineRule="auto"/>
      <w:ind w:firstLine="420" w:firstLineChars="200"/>
    </w:pPr>
  </w:style>
  <w:style w:type="paragraph" w:styleId="9">
    <w:name w:val="Body Text First Indent 2"/>
    <w:basedOn w:val="8"/>
    <w:unhideWhenUsed/>
    <w:qFormat/>
    <w:uiPriority w:val="99"/>
    <w:pPr>
      <w:spacing w:after="120"/>
      <w:ind w:left="420" w:leftChars="200"/>
    </w:pPr>
    <w:rPr>
      <w:rFonts w:ascii="Calibri" w:hAnsi="Calibr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rPr>
      <w:sz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表格文字"/>
    <w:basedOn w:val="1"/>
    <w:qFormat/>
    <w:uiPriority w:val="99"/>
    <w:pPr>
      <w:spacing w:before="25" w:after="25"/>
    </w:pPr>
    <w:rPr>
      <w:spacing w:val="10"/>
      <w:sz w:val="24"/>
    </w:rPr>
  </w:style>
  <w:style w:type="character" w:customStyle="1" w:styleId="22">
    <w:name w:val="标题 3 Char"/>
    <w:qFormat/>
    <w:uiPriority w:val="0"/>
    <w:rPr>
      <w:rFonts w:ascii="黑体" w:eastAsia="黑体"/>
      <w:bCs/>
      <w:sz w:val="30"/>
    </w:rPr>
  </w:style>
  <w:style w:type="character" w:customStyle="1" w:styleId="23">
    <w:name w:val="未处理的提及1"/>
    <w:basedOn w:val="15"/>
    <w:semiHidden/>
    <w:unhideWhenUsed/>
    <w:qFormat/>
    <w:uiPriority w:val="99"/>
    <w:rPr>
      <w:color w:val="605E5C"/>
      <w:shd w:val="clear" w:color="auto" w:fill="E1DFDD"/>
    </w:rPr>
  </w:style>
  <w:style w:type="paragraph" w:customStyle="1" w:styleId="24">
    <w:name w:val="正文正"/>
    <w:basedOn w:val="1"/>
    <w:qFormat/>
    <w:uiPriority w:val="0"/>
    <w:pPr>
      <w:spacing w:line="560" w:lineRule="exact"/>
      <w:ind w:firstLine="561"/>
    </w:pPr>
    <w:rPr>
      <w:rFonts w:ascii="Calibri" w:hAnsi="Calibri"/>
      <w:sz w:val="28"/>
      <w:szCs w:val="28"/>
    </w:rPr>
  </w:style>
  <w:style w:type="paragraph" w:styleId="2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11478</Words>
  <Characters>12078</Characters>
  <Lines>100</Lines>
  <Paragraphs>28</Paragraphs>
  <TotalTime>6</TotalTime>
  <ScaleCrop>false</ScaleCrop>
  <LinksUpToDate>false</LinksUpToDate>
  <CharactersWithSpaces>12110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2024-04-12T02:34:00Z</dcterms:created>
  <dc:creator>Administrator</dc:creator>
  <cp:lastModifiedBy>010</cp:lastModifiedBy>
  <dcterms:modified xsi:type="dcterms:W3CDTF">2024-11-21T04:21:17Z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9BCC81128E0B4994AACC9633980AB5C7_13</vt:lpwstr>
  </property>
</Properties>
</file>