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ascii="华文中宋" w:hAnsi="华文中宋" w:eastAsia="华文中宋"/>
          <w:b/>
          <w:bCs/>
          <w:sz w:val="48"/>
          <w:szCs w:val="40"/>
        </w:rPr>
      </w:pPr>
      <w:bookmarkStart w:id="8" w:name="_GoBack"/>
      <w:r>
        <w:rPr>
          <w:rFonts w:hint="eastAsia" w:ascii="华文中宋" w:hAnsi="华文中宋" w:eastAsia="华文中宋"/>
          <w:b/>
          <w:bCs/>
          <w:sz w:val="48"/>
          <w:szCs w:val="40"/>
          <w:lang w:eastAsia="zh-CN"/>
        </w:rPr>
        <w:t>网络建设与运维综合应用设备</w:t>
      </w:r>
      <w:bookmarkEnd w:id="8"/>
      <w:r>
        <w:rPr>
          <w:rFonts w:hint="eastAsia" w:ascii="华文中宋" w:hAnsi="华文中宋" w:eastAsia="华文中宋"/>
          <w:b/>
          <w:bCs/>
          <w:sz w:val="48"/>
          <w:szCs w:val="40"/>
        </w:rPr>
        <w:t>采购项目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lang w:val="en-US" w:eastAsia="zh-CN"/>
        </w:rPr>
        <w:t>2024</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11</w:t>
      </w:r>
      <w:r>
        <w:rPr>
          <w:rFonts w:hint="eastAsia" w:ascii="黑体" w:hAnsi="华文中宋" w:eastAsia="黑体" w:cs="Arial"/>
          <w:sz w:val="32"/>
          <w:szCs w:val="32"/>
        </w:rPr>
        <w:t>月</w:t>
      </w:r>
      <w:r>
        <w:rPr>
          <w:rFonts w:hint="eastAsia" w:ascii="宋体" w:hAnsi="宋体" w:cs="宋体"/>
          <w:sz w:val="32"/>
          <w:szCs w:val="32"/>
        </w:rPr>
        <w:br w:type="page"/>
      </w:r>
    </w:p>
    <w:p>
      <w:pPr>
        <w:pStyle w:val="3"/>
      </w:pPr>
      <w:r>
        <w:rPr>
          <w:rFonts w:hint="eastAsia"/>
        </w:rPr>
        <w:t>第一章项目评审信息</w:t>
      </w:r>
    </w:p>
    <w:p>
      <w:pPr>
        <w:adjustRightInd w:val="0"/>
        <w:snapToGrid w:val="0"/>
        <w:spacing w:line="360" w:lineRule="auto"/>
        <w:rPr>
          <w:rFonts w:ascii="宋体" w:hAnsi="宋体" w:cs="宋体"/>
          <w:szCs w:val="21"/>
        </w:rPr>
      </w:pPr>
      <w:r>
        <w:rPr>
          <w:rFonts w:hint="eastAsia" w:ascii="宋体" w:hAnsi="宋体" w:cs="宋体"/>
          <w:szCs w:val="21"/>
        </w:rPr>
        <w:t>项目名称：深圳市第一职业技术学校</w:t>
      </w:r>
      <w:r>
        <w:rPr>
          <w:rFonts w:hint="eastAsia" w:ascii="宋体" w:hAnsi="宋体" w:cs="宋体"/>
          <w:szCs w:val="21"/>
          <w:lang w:eastAsia="zh-CN"/>
        </w:rPr>
        <w:t>网络建设与运维综合应用设备</w:t>
      </w:r>
      <w:r>
        <w:rPr>
          <w:rFonts w:hint="eastAsia" w:ascii="宋体" w:hAnsi="宋体" w:cs="宋体"/>
          <w:szCs w:val="21"/>
        </w:rPr>
        <w:t>采购项目</w:t>
      </w:r>
    </w:p>
    <w:p>
      <w:pPr>
        <w:adjustRightInd w:val="0"/>
        <w:snapToGrid w:val="0"/>
        <w:spacing w:line="360" w:lineRule="auto"/>
        <w:rPr>
          <w:rFonts w:ascii="宋体" w:hAnsi="宋体" w:cs="宋体"/>
          <w:szCs w:val="21"/>
        </w:rPr>
      </w:pPr>
      <w:r>
        <w:rPr>
          <w:rFonts w:hint="eastAsia" w:ascii="宋体" w:hAnsi="宋体" w:cs="宋体"/>
          <w:szCs w:val="21"/>
        </w:rPr>
        <w:t>项目类型：货物类</w:t>
      </w:r>
    </w:p>
    <w:p>
      <w:pPr>
        <w:adjustRightInd w:val="0"/>
        <w:snapToGrid w:val="0"/>
        <w:spacing w:line="360" w:lineRule="auto"/>
        <w:rPr>
          <w:rFonts w:ascii="宋体" w:hAnsi="宋体" w:cs="宋体"/>
          <w:szCs w:val="21"/>
        </w:rPr>
      </w:pPr>
      <w:r>
        <w:rPr>
          <w:rFonts w:hint="eastAsia" w:ascii="宋体" w:hAnsi="宋体" w:cs="宋体"/>
          <w:szCs w:val="21"/>
        </w:rPr>
        <w:t>采购方式：公开招标</w:t>
      </w:r>
    </w:p>
    <w:p>
      <w:pPr>
        <w:adjustRightInd w:val="0"/>
        <w:snapToGrid w:val="0"/>
        <w:spacing w:line="360" w:lineRule="auto"/>
        <w:rPr>
          <w:rFonts w:hint="eastAsia" w:ascii="宋体" w:hAnsi="宋体" w:cs="宋体"/>
          <w:szCs w:val="21"/>
        </w:rPr>
      </w:pPr>
      <w:r>
        <w:rPr>
          <w:rFonts w:hint="eastAsia" w:ascii="宋体" w:hAnsi="宋体" w:cs="宋体"/>
          <w:szCs w:val="21"/>
        </w:rPr>
        <w:t>货币类型：人民币</w:t>
      </w:r>
    </w:p>
    <w:p>
      <w:pPr>
        <w:pStyle w:val="21"/>
        <w:rPr>
          <w:rFonts w:hint="default" w:eastAsia="宋体"/>
          <w:lang w:val="en-US" w:eastAsia="zh-CN"/>
        </w:rPr>
      </w:pPr>
      <w:r>
        <w:rPr>
          <w:rFonts w:hint="eastAsia" w:ascii="宋体" w:hAnsi="宋体" w:cs="宋体"/>
          <w:szCs w:val="21"/>
          <w:lang w:val="en-US" w:eastAsia="zh-CN"/>
        </w:rPr>
        <w:t>预算金额：15万</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评标总得分＝F1×A1＋F2×A2＋……＋Fn×An</w:t>
            </w:r>
          </w:p>
          <w:p>
            <w:pPr>
              <w:pStyle w:val="13"/>
              <w:widowControl/>
              <w:spacing w:line="324" w:lineRule="auto"/>
              <w:ind w:left="420"/>
              <w:rPr>
                <w:sz w:val="21"/>
                <w:szCs w:val="21"/>
              </w:rPr>
            </w:pPr>
            <w:r>
              <w:rPr>
                <w:sz w:val="21"/>
                <w:szCs w:val="21"/>
              </w:rPr>
              <w:t>F1、F2……Fn分别为各项评审因素的得分；</w:t>
            </w:r>
          </w:p>
          <w:p>
            <w:pPr>
              <w:pStyle w:val="13"/>
              <w:widowControl/>
              <w:spacing w:line="324" w:lineRule="auto"/>
              <w:ind w:left="420"/>
              <w:rPr>
                <w:sz w:val="21"/>
                <w:szCs w:val="21"/>
              </w:rPr>
            </w:pPr>
            <w:r>
              <w:rPr>
                <w:sz w:val="21"/>
                <w:szCs w:val="21"/>
              </w:rPr>
              <w:t>A1、A2、……An分别为各项评审因素所占的权重(A1＋A2＋……＋An＝1)。</w:t>
            </w:r>
          </w:p>
          <w:p>
            <w:pPr>
              <w:pStyle w:val="13"/>
              <w:widowControl/>
              <w:spacing w:line="324" w:lineRule="auto"/>
              <w:ind w:left="420"/>
              <w:rPr>
                <w:sz w:val="21"/>
                <w:szCs w:val="21"/>
              </w:rPr>
            </w:pPr>
            <w:r>
              <w:rPr>
                <w:sz w:val="21"/>
                <w:szCs w:val="21"/>
              </w:rPr>
              <w:t>评标过程中，不得去掉报价中的最高报价和最低报价。</w:t>
            </w:r>
          </w:p>
          <w:p>
            <w:pPr>
              <w:pStyle w:val="13"/>
              <w:widowControl/>
              <w:spacing w:line="324" w:lineRule="auto"/>
              <w:ind w:left="420"/>
              <w:rPr>
                <w:sz w:val="21"/>
                <w:szCs w:val="21"/>
              </w:rPr>
            </w:pPr>
            <w:r>
              <w:rPr>
                <w:sz w:val="21"/>
                <w:szCs w:val="21"/>
              </w:rPr>
              <w:t>此方法适用于货物类、服务类、工程类项目。</w:t>
            </w:r>
          </w:p>
        </w:tc>
      </w:tr>
    </w:tbl>
    <w:p/>
    <w:p>
      <w:pPr>
        <w:pStyle w:val="10"/>
      </w:pPr>
    </w:p>
    <w:tbl>
      <w:tblPr>
        <w:tblStyle w:val="1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ascii="宋体" w:hAnsi="宋体" w:cs="宋体"/>
                <w:b/>
                <w:color w:val="FF0000"/>
                <w:szCs w:val="21"/>
              </w:rPr>
            </w:pPr>
            <w:r>
              <w:rPr>
                <w:rFonts w:hint="eastAsia" w:ascii="宋体" w:hAnsi="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4"/>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2"/>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433" w:type="dxa"/>
            <w:gridSpan w:val="2"/>
            <w:vAlign w:val="center"/>
          </w:tcPr>
          <w:p>
            <w:pPr>
              <w:jc w:val="center"/>
              <w:rPr>
                <w:rFonts w:ascii="宋体" w:hAnsi="宋体" w:cs="宋体"/>
                <w:szCs w:val="21"/>
              </w:rPr>
            </w:pPr>
            <w:r>
              <w:rPr>
                <w:rFonts w:hint="eastAsia" w:ascii="宋体" w:hAnsi="宋体" w:cs="宋体"/>
                <w:kern w:val="0"/>
                <w:szCs w:val="21"/>
              </w:rPr>
              <w:t>技术规格偏离情况</w:t>
            </w:r>
          </w:p>
        </w:tc>
        <w:tc>
          <w:tcPr>
            <w:tcW w:w="142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45</w:t>
            </w:r>
          </w:p>
        </w:tc>
        <w:tc>
          <w:tcPr>
            <w:tcW w:w="4678" w:type="dxa"/>
            <w:vAlign w:val="center"/>
          </w:tcPr>
          <w:p>
            <w:pPr>
              <w:tabs>
                <w:tab w:val="left" w:pos="2869"/>
                <w:tab w:val="left" w:pos="3010"/>
              </w:tabs>
              <w:rPr>
                <w:rFonts w:ascii="宋体" w:hAnsi="宋体" w:cs="宋体"/>
                <w:b/>
                <w:szCs w:val="21"/>
              </w:rPr>
            </w:pPr>
            <w:r>
              <w:rPr>
                <w:rFonts w:hint="eastAsia" w:ascii="宋体" w:hAnsi="宋体" w:cs="宋体"/>
                <w:b/>
                <w:szCs w:val="21"/>
              </w:rPr>
              <w:t>（一）评审内容：</w:t>
            </w:r>
          </w:p>
          <w:p>
            <w:pPr>
              <w:tabs>
                <w:tab w:val="left" w:pos="2869"/>
                <w:tab w:val="left" w:pos="3010"/>
              </w:tabs>
              <w:jc w:val="left"/>
              <w:rPr>
                <w:rFonts w:ascii="宋体" w:hAnsi="宋体" w:cs="宋体"/>
                <w:szCs w:val="21"/>
              </w:rPr>
            </w:pPr>
            <w:r>
              <w:rPr>
                <w:rFonts w:hint="eastAsia" w:ascii="宋体" w:hAnsi="宋体" w:cs="宋体"/>
                <w:szCs w:val="21"/>
              </w:rPr>
              <w:t>投标人应如实填写《技术规格偏离表》，评审专家根据技术需求参数响应情况进行评审。</w:t>
            </w:r>
          </w:p>
          <w:p>
            <w:pPr>
              <w:tabs>
                <w:tab w:val="left" w:pos="2869"/>
                <w:tab w:val="left" w:pos="3010"/>
              </w:tabs>
              <w:jc w:val="left"/>
              <w:rPr>
                <w:rFonts w:ascii="宋体" w:hAnsi="宋体" w:cs="宋体"/>
                <w:b/>
                <w:szCs w:val="21"/>
              </w:rPr>
            </w:pPr>
            <w:r>
              <w:rPr>
                <w:rFonts w:hint="eastAsia" w:ascii="宋体" w:hAnsi="宋体" w:cs="宋体"/>
                <w:b/>
                <w:szCs w:val="21"/>
              </w:rPr>
              <w:t>（二）评分标准与依据：</w:t>
            </w:r>
          </w:p>
          <w:p>
            <w:pPr>
              <w:rPr>
                <w:rFonts w:ascii="宋体" w:hAnsi="宋体" w:cs="宋体"/>
                <w:szCs w:val="21"/>
              </w:rPr>
            </w:pPr>
            <w:r>
              <w:rPr>
                <w:rFonts w:hint="eastAsia" w:ascii="宋体" w:hAnsi="宋体" w:cs="宋体"/>
                <w:szCs w:val="21"/>
              </w:rPr>
              <w:t>完全满足招标文件要求的得</w:t>
            </w:r>
            <w:r>
              <w:rPr>
                <w:rFonts w:hint="eastAsia" w:ascii="宋体" w:hAnsi="宋体" w:cs="宋体"/>
                <w:szCs w:val="21"/>
                <w:lang w:val="en-US" w:eastAsia="zh-CN"/>
              </w:rPr>
              <w:t>45</w:t>
            </w:r>
            <w:r>
              <w:rPr>
                <w:rFonts w:hint="eastAsia" w:ascii="宋体" w:hAnsi="宋体" w:cs="宋体"/>
                <w:szCs w:val="21"/>
              </w:rPr>
              <w:t>分，标注“▲”条款，每负偏离一项扣</w:t>
            </w:r>
            <w:r>
              <w:rPr>
                <w:rFonts w:hint="eastAsia" w:ascii="宋体" w:hAnsi="宋体" w:cs="宋体"/>
                <w:szCs w:val="21"/>
                <w:lang w:val="en-US" w:eastAsia="zh-CN"/>
              </w:rPr>
              <w:t>4</w:t>
            </w:r>
            <w:r>
              <w:rPr>
                <w:rFonts w:hint="eastAsia" w:ascii="宋体" w:hAnsi="宋体" w:cs="宋体"/>
                <w:szCs w:val="21"/>
              </w:rPr>
              <w:t>分；未标注“▲”为一般条款，每负偏离一项扣1分。扣完为止。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t>2</w:t>
            </w:r>
          </w:p>
        </w:tc>
        <w:tc>
          <w:tcPr>
            <w:tcW w:w="1433" w:type="dxa"/>
            <w:gridSpan w:val="2"/>
            <w:vAlign w:val="center"/>
          </w:tcPr>
          <w:p>
            <w:pPr>
              <w:jc w:val="center"/>
              <w:rPr>
                <w:rFonts w:ascii="宋体" w:hAnsi="宋体" w:cs="宋体"/>
                <w:szCs w:val="21"/>
              </w:rPr>
            </w:pPr>
            <w:r>
              <w:rPr>
                <w:rFonts w:hint="eastAsia" w:ascii="仿宋" w:hAnsi="仿宋" w:eastAsia="仿宋"/>
                <w:szCs w:val="21"/>
              </w:rPr>
              <w:t>技术保障措施</w:t>
            </w:r>
          </w:p>
        </w:tc>
        <w:tc>
          <w:tcPr>
            <w:tcW w:w="1420" w:type="dxa"/>
            <w:vAlign w:val="center"/>
          </w:tcPr>
          <w:p>
            <w:pPr>
              <w:jc w:val="center"/>
              <w:rPr>
                <w:rFonts w:ascii="宋体" w:hAnsi="宋体" w:cs="宋体"/>
                <w:szCs w:val="21"/>
              </w:rPr>
            </w:pPr>
            <w:r>
              <w:rPr>
                <w:rFonts w:hint="eastAsia" w:ascii="仿宋" w:hAnsi="仿宋" w:eastAsia="仿宋"/>
                <w:szCs w:val="21"/>
              </w:rPr>
              <w:t>5</w:t>
            </w:r>
          </w:p>
        </w:tc>
        <w:tc>
          <w:tcPr>
            <w:tcW w:w="4678" w:type="dxa"/>
            <w:vAlign w:val="center"/>
          </w:tcPr>
          <w:p>
            <w:pPr>
              <w:numPr>
                <w:ilvl w:val="0"/>
                <w:numId w:val="1"/>
              </w:numPr>
              <w:spacing w:line="340" w:lineRule="exac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评审内容：</w:t>
            </w:r>
            <w:r>
              <w:rPr>
                <w:rFonts w:ascii="宋体" w:hAnsi="宋体" w:cs="宋体"/>
                <w:b/>
                <w:bCs/>
                <w:color w:val="auto"/>
                <w:kern w:val="0"/>
                <w:szCs w:val="21"/>
                <w:highlight w:val="none"/>
                <w:lang w:bidi="ar"/>
              </w:rPr>
              <w:t xml:space="preserve"> </w:t>
            </w:r>
          </w:p>
          <w:p>
            <w:pPr>
              <w:widowControl/>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投标人据招标文件的需求，制定相应的工作方案，包含以下内容：</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w:t>
            </w:r>
            <w:r>
              <w:rPr>
                <w:rFonts w:hint="eastAsia" w:ascii="仿宋" w:hAnsi="仿宋" w:eastAsia="仿宋" w:cs="宋体"/>
                <w:szCs w:val="21"/>
              </w:rPr>
              <w:t>技术实力</w:t>
            </w:r>
          </w:p>
          <w:p>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lang w:val="en-US" w:eastAsia="zh-CN"/>
              </w:rPr>
              <w:t>2、</w:t>
            </w:r>
            <w:r>
              <w:rPr>
                <w:rFonts w:hint="eastAsia" w:ascii="仿宋" w:hAnsi="仿宋" w:eastAsia="仿宋" w:cs="宋体"/>
                <w:szCs w:val="21"/>
              </w:rPr>
              <w:t>机构情况</w:t>
            </w:r>
          </w:p>
          <w:p>
            <w:pPr>
              <w:widowControl/>
              <w:rPr>
                <w:rFonts w:ascii="宋体" w:hAnsi="宋体" w:cs="宋体"/>
                <w:color w:val="auto"/>
                <w:szCs w:val="21"/>
                <w:highlight w:val="none"/>
              </w:rPr>
            </w:pPr>
            <w:r>
              <w:rPr>
                <w:rFonts w:hint="eastAsia" w:ascii="宋体" w:hAnsi="宋体" w:cs="宋体"/>
                <w:b/>
                <w:bCs/>
                <w:color w:val="auto"/>
                <w:kern w:val="0"/>
                <w:szCs w:val="21"/>
                <w:highlight w:val="none"/>
                <w:lang w:bidi="ar"/>
              </w:rPr>
              <w:t>（二）评</w:t>
            </w:r>
            <w:r>
              <w:rPr>
                <w:rFonts w:hint="eastAsia" w:ascii="宋体" w:hAnsi="宋体" w:cs="宋体"/>
                <w:b/>
                <w:bCs/>
                <w:color w:val="auto"/>
                <w:kern w:val="0"/>
                <w:szCs w:val="21"/>
                <w:highlight w:val="none"/>
                <w:lang w:val="en-US" w:eastAsia="zh-CN" w:bidi="ar"/>
              </w:rPr>
              <w:t>分标准</w:t>
            </w:r>
            <w:r>
              <w:rPr>
                <w:rFonts w:hint="eastAsia" w:ascii="宋体" w:hAnsi="宋体" w:cs="宋体"/>
                <w:b/>
                <w:bCs/>
                <w:color w:val="auto"/>
                <w:kern w:val="0"/>
                <w:szCs w:val="21"/>
                <w:highlight w:val="none"/>
                <w:lang w:bidi="ar"/>
              </w:rPr>
              <w:t>：</w:t>
            </w:r>
            <w:r>
              <w:rPr>
                <w:rFonts w:ascii="宋体" w:hAnsi="宋体" w:cs="宋体"/>
                <w:b/>
                <w:bCs/>
                <w:color w:val="auto"/>
                <w:kern w:val="0"/>
                <w:szCs w:val="21"/>
                <w:highlight w:val="none"/>
                <w:lang w:bidi="ar"/>
              </w:rPr>
              <w:t xml:space="preserve"> </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1.评审委员会考察以上评审内容的 1-</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lang w:val="en-US" w:eastAsia="zh-CN"/>
              </w:rPr>
              <w:t>点。以上</w:t>
            </w:r>
            <w:r>
              <w:rPr>
                <w:rFonts w:hint="eastAsia" w:ascii="宋体" w:hAnsi="宋体" w:cs="宋体"/>
                <w:kern w:val="0"/>
                <w:sz w:val="20"/>
                <w:szCs w:val="20"/>
                <w:highlight w:val="none"/>
                <w:lang w:val="en-US" w:eastAsia="zh-CN"/>
              </w:rPr>
              <w:t>两</w:t>
            </w:r>
            <w:r>
              <w:rPr>
                <w:rFonts w:hint="eastAsia" w:ascii="宋体" w:hAnsi="宋体" w:eastAsia="宋体" w:cs="宋体"/>
                <w:kern w:val="0"/>
                <w:sz w:val="20"/>
                <w:szCs w:val="20"/>
                <w:highlight w:val="none"/>
                <w:lang w:val="en-US" w:eastAsia="zh-CN"/>
              </w:rPr>
              <w:t xml:space="preserve">点内容均满足得 </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lang w:val="en-US" w:eastAsia="zh-CN"/>
              </w:rPr>
              <w:t>分，满足任意一点得</w:t>
            </w:r>
            <w:r>
              <w:rPr>
                <w:rFonts w:hint="eastAsia" w:ascii="宋体" w:hAnsi="宋体" w:cs="宋体"/>
                <w:kern w:val="0"/>
                <w:sz w:val="20"/>
                <w:szCs w:val="20"/>
                <w:highlight w:val="none"/>
                <w:lang w:val="en-US" w:eastAsia="zh-CN"/>
              </w:rPr>
              <w:t>1</w:t>
            </w:r>
            <w:r>
              <w:rPr>
                <w:rFonts w:hint="eastAsia" w:ascii="宋体" w:hAnsi="宋体" w:eastAsia="宋体" w:cs="宋体"/>
                <w:kern w:val="0"/>
                <w:sz w:val="20"/>
                <w:szCs w:val="20"/>
                <w:highlight w:val="none"/>
                <w:lang w:val="en-US" w:eastAsia="zh-CN"/>
              </w:rPr>
              <w:t xml:space="preserve"> 分，未满足不得分。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w:t>
            </w:r>
            <w:r>
              <w:rPr>
                <w:rFonts w:hint="eastAsia" w:ascii="宋体" w:hAnsi="宋体" w:cs="宋体"/>
                <w:szCs w:val="21"/>
                <w:lang w:val="zh-CN"/>
              </w:rPr>
              <w:t>在此基础上，</w:t>
            </w:r>
            <w:r>
              <w:rPr>
                <w:rFonts w:hint="eastAsia" w:ascii="宋体" w:hAnsi="宋体" w:eastAsia="宋体" w:cs="宋体"/>
                <w:kern w:val="0"/>
                <w:sz w:val="20"/>
                <w:szCs w:val="20"/>
                <w:highlight w:val="none"/>
                <w:lang w:val="en-US" w:eastAsia="zh-CN"/>
              </w:rPr>
              <w:t>根据投标人实施方案具体响应内容进一步评审。</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优：以上实施方案的</w:t>
            </w:r>
            <w:r>
              <w:rPr>
                <w:rFonts w:hint="eastAsia" w:ascii="宋体" w:hAnsi="宋体" w:cs="宋体"/>
                <w:kern w:val="0"/>
                <w:sz w:val="20"/>
                <w:szCs w:val="20"/>
                <w:highlight w:val="none"/>
                <w:lang w:val="en-US" w:eastAsia="zh-CN"/>
              </w:rPr>
              <w:t>两</w:t>
            </w:r>
            <w:r>
              <w:rPr>
                <w:rFonts w:hint="eastAsia" w:ascii="宋体" w:hAnsi="宋体" w:eastAsia="宋体" w:cs="宋体"/>
                <w:kern w:val="0"/>
                <w:sz w:val="20"/>
                <w:szCs w:val="20"/>
                <w:highlight w:val="none"/>
                <w:lang w:val="en-US" w:eastAsia="zh-CN"/>
              </w:rPr>
              <w:t>点内容全面具体、针对性</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强、可操作性强，加 </w:t>
            </w:r>
            <w:r>
              <w:rPr>
                <w:rFonts w:hint="eastAsia" w:ascii="宋体" w:hAnsi="宋体" w:cs="宋体"/>
                <w:kern w:val="0"/>
                <w:sz w:val="20"/>
                <w:szCs w:val="20"/>
                <w:highlight w:val="none"/>
                <w:lang w:val="en-US" w:eastAsia="zh-CN"/>
              </w:rPr>
              <w:t>3</w:t>
            </w:r>
            <w:r>
              <w:rPr>
                <w:rFonts w:hint="eastAsia" w:ascii="宋体" w:hAnsi="宋体" w:eastAsia="宋体" w:cs="宋体"/>
                <w:kern w:val="0"/>
                <w:sz w:val="20"/>
                <w:szCs w:val="20"/>
                <w:highlight w:val="none"/>
                <w:lang w:val="en-US" w:eastAsia="zh-CN"/>
              </w:rPr>
              <w:t>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良：以上实施方案的</w:t>
            </w:r>
            <w:r>
              <w:rPr>
                <w:rFonts w:hint="eastAsia" w:ascii="宋体" w:hAnsi="宋体" w:cs="宋体"/>
                <w:kern w:val="0"/>
                <w:sz w:val="20"/>
                <w:szCs w:val="20"/>
                <w:highlight w:val="none"/>
                <w:lang w:val="en-US" w:eastAsia="zh-CN"/>
              </w:rPr>
              <w:t>两</w:t>
            </w:r>
            <w:r>
              <w:rPr>
                <w:rFonts w:hint="eastAsia" w:ascii="宋体" w:hAnsi="宋体" w:eastAsia="宋体" w:cs="宋体"/>
                <w:kern w:val="0"/>
                <w:sz w:val="20"/>
                <w:szCs w:val="20"/>
                <w:highlight w:val="none"/>
                <w:lang w:val="en-US" w:eastAsia="zh-CN"/>
              </w:rPr>
              <w:t>点内容较全面、针对性较</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强、可操作性较强，加 </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lang w:val="en-US" w:eastAsia="zh-CN"/>
              </w:rPr>
              <w:t xml:space="preserve"> 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中：以上实施方案的</w:t>
            </w:r>
            <w:r>
              <w:rPr>
                <w:rFonts w:hint="eastAsia" w:ascii="宋体" w:hAnsi="宋体" w:cs="宋体"/>
                <w:kern w:val="0"/>
                <w:sz w:val="20"/>
                <w:szCs w:val="20"/>
                <w:highlight w:val="none"/>
                <w:lang w:val="en-US" w:eastAsia="zh-CN"/>
              </w:rPr>
              <w:t>两</w:t>
            </w:r>
            <w:r>
              <w:rPr>
                <w:rFonts w:hint="eastAsia" w:ascii="宋体" w:hAnsi="宋体" w:eastAsia="宋体" w:cs="宋体"/>
                <w:kern w:val="0"/>
                <w:sz w:val="20"/>
                <w:szCs w:val="20"/>
                <w:highlight w:val="none"/>
                <w:lang w:val="en-US" w:eastAsia="zh-CN"/>
              </w:rPr>
              <w:t>点内容完整性、针对性、可</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操作性均一般，加</w:t>
            </w:r>
            <w:r>
              <w:rPr>
                <w:rFonts w:hint="eastAsia" w:ascii="宋体" w:hAnsi="宋体" w:cs="宋体"/>
                <w:kern w:val="0"/>
                <w:sz w:val="20"/>
                <w:szCs w:val="20"/>
                <w:highlight w:val="none"/>
                <w:lang w:val="en-US" w:eastAsia="zh-CN"/>
              </w:rPr>
              <w:t>1</w:t>
            </w:r>
            <w:r>
              <w:rPr>
                <w:rFonts w:hint="eastAsia" w:ascii="宋体" w:hAnsi="宋体" w:eastAsia="宋体" w:cs="宋体"/>
                <w:kern w:val="0"/>
                <w:sz w:val="20"/>
                <w:szCs w:val="20"/>
                <w:highlight w:val="none"/>
                <w:lang w:val="en-US" w:eastAsia="zh-CN"/>
              </w:rPr>
              <w:t>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差：实施方案内容不科学、不完整、针对性较弱，加 0 分；如果评审为差，请书面说明理由，并记录存档。</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备注：投标人未提供相应方案的，得0分。</w:t>
            </w:r>
          </w:p>
          <w:p>
            <w:pPr>
              <w:adjustRightInd/>
              <w:snapToGrid/>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cs="宋体"/>
                <w:szCs w:val="21"/>
              </w:rPr>
            </w:pPr>
            <w:r>
              <w:rPr>
                <w:rFonts w:hint="eastAsia" w:ascii="宋体" w:hAnsi="宋体" w:cs="宋体"/>
                <w:szCs w:val="21"/>
              </w:rPr>
              <w:t>3</w:t>
            </w:r>
          </w:p>
        </w:tc>
        <w:tc>
          <w:tcPr>
            <w:tcW w:w="1433" w:type="dxa"/>
            <w:gridSpan w:val="2"/>
            <w:vAlign w:val="center"/>
          </w:tcPr>
          <w:p>
            <w:pPr>
              <w:adjustRightInd/>
              <w:snapToGrid/>
              <w:spacing w:line="240" w:lineRule="auto"/>
              <w:jc w:val="left"/>
              <w:rPr>
                <w:rFonts w:hint="eastAsia" w:ascii="宋体" w:hAnsi="宋体" w:cs="宋体"/>
                <w:szCs w:val="21"/>
              </w:rPr>
            </w:pPr>
            <w:r>
              <w:rPr>
                <w:rFonts w:hint="eastAsia" w:ascii="宋体" w:hAnsi="宋体" w:cs="宋体"/>
                <w:szCs w:val="21"/>
              </w:rPr>
              <w:t>售后服务方案</w:t>
            </w:r>
          </w:p>
        </w:tc>
        <w:tc>
          <w:tcPr>
            <w:tcW w:w="1420" w:type="dxa"/>
            <w:vAlign w:val="center"/>
          </w:tcPr>
          <w:p>
            <w:pPr>
              <w:jc w:val="center"/>
              <w:rPr>
                <w:rFonts w:hint="eastAsia" w:ascii="宋体" w:hAnsi="宋体" w:cs="宋体"/>
                <w:szCs w:val="21"/>
              </w:rPr>
            </w:pPr>
            <w:r>
              <w:rPr>
                <w:rFonts w:hint="eastAsia" w:ascii="仿宋" w:hAnsi="仿宋" w:eastAsia="仿宋"/>
                <w:szCs w:val="21"/>
                <w:lang w:val="en-US" w:eastAsia="zh-CN"/>
              </w:rPr>
              <w:t>5</w:t>
            </w:r>
          </w:p>
        </w:tc>
        <w:tc>
          <w:tcPr>
            <w:tcW w:w="4678" w:type="dxa"/>
            <w:vAlign w:val="center"/>
          </w:tcPr>
          <w:p>
            <w:pPr>
              <w:numPr>
                <w:ilvl w:val="0"/>
                <w:numId w:val="1"/>
              </w:numPr>
              <w:spacing w:line="340" w:lineRule="exact"/>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评审内容：</w:t>
            </w:r>
            <w:r>
              <w:rPr>
                <w:rFonts w:ascii="宋体" w:hAnsi="宋体" w:cs="宋体"/>
                <w:b/>
                <w:bCs/>
                <w:color w:val="auto"/>
                <w:kern w:val="0"/>
                <w:szCs w:val="21"/>
                <w:highlight w:val="none"/>
                <w:lang w:bidi="ar"/>
              </w:rPr>
              <w:t xml:space="preserve"> </w:t>
            </w:r>
          </w:p>
          <w:p>
            <w:pPr>
              <w:widowControl/>
              <w:jc w:val="lef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投标人据招标文件的需求，制定相应的工作方案，包含以下内容：</w:t>
            </w:r>
          </w:p>
          <w:p>
            <w:pPr>
              <w:ind w:left="-78" w:leftChars="-37" w:right="-73" w:rightChars="-35"/>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1</w:t>
            </w:r>
            <w:r>
              <w:rPr>
                <w:rFonts w:cs="宋体" w:asciiTheme="minorEastAsia" w:hAnsiTheme="minorEastAsia" w:eastAsiaTheme="minorEastAsia"/>
                <w:sz w:val="24"/>
              </w:rPr>
              <w:t>. 交货计划；</w:t>
            </w:r>
          </w:p>
          <w:p>
            <w:pPr>
              <w:ind w:left="-78" w:leftChars="-37" w:right="-73" w:rightChars="-35"/>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cs="宋体" w:asciiTheme="minorEastAsia" w:hAnsiTheme="minorEastAsia" w:eastAsiaTheme="minorEastAsia"/>
                <w:sz w:val="24"/>
              </w:rPr>
              <w:t>. 应急维修时间安排；</w:t>
            </w:r>
          </w:p>
          <w:p>
            <w:pPr>
              <w:ind w:left="-78" w:leftChars="-37" w:right="-73" w:rightChars="-35"/>
              <w:jc w:val="left"/>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t>. 质保期外的维修服务收费标准</w:t>
            </w:r>
          </w:p>
          <w:p>
            <w:pPr>
              <w:widowControl/>
              <w:jc w:val="left"/>
              <w:rPr>
                <w:rFonts w:ascii="宋体" w:hAnsi="宋体" w:cs="宋体"/>
                <w:color w:val="auto"/>
                <w:szCs w:val="21"/>
                <w:highlight w:val="none"/>
              </w:rPr>
            </w:pPr>
            <w:r>
              <w:rPr>
                <w:rFonts w:hint="eastAsia" w:ascii="宋体" w:hAnsi="宋体" w:cs="宋体"/>
                <w:b/>
                <w:bCs/>
                <w:color w:val="auto"/>
                <w:kern w:val="0"/>
                <w:szCs w:val="21"/>
                <w:highlight w:val="none"/>
                <w:lang w:bidi="ar"/>
              </w:rPr>
              <w:t>（二）评</w:t>
            </w:r>
            <w:r>
              <w:rPr>
                <w:rFonts w:hint="eastAsia" w:ascii="宋体" w:hAnsi="宋体" w:cs="宋体"/>
                <w:b/>
                <w:bCs/>
                <w:color w:val="auto"/>
                <w:kern w:val="0"/>
                <w:szCs w:val="21"/>
                <w:highlight w:val="none"/>
                <w:lang w:val="en-US" w:eastAsia="zh-CN" w:bidi="ar"/>
              </w:rPr>
              <w:t>分标准</w:t>
            </w:r>
            <w:r>
              <w:rPr>
                <w:rFonts w:hint="eastAsia" w:ascii="宋体" w:hAnsi="宋体" w:cs="宋体"/>
                <w:b/>
                <w:bCs/>
                <w:color w:val="auto"/>
                <w:kern w:val="0"/>
                <w:szCs w:val="21"/>
                <w:highlight w:val="none"/>
                <w:lang w:bidi="ar"/>
              </w:rPr>
              <w:t>：</w:t>
            </w:r>
            <w:r>
              <w:rPr>
                <w:rFonts w:ascii="宋体" w:hAnsi="宋体" w:cs="宋体"/>
                <w:b/>
                <w:bCs/>
                <w:color w:val="auto"/>
                <w:kern w:val="0"/>
                <w:szCs w:val="21"/>
                <w:highlight w:val="none"/>
                <w:lang w:bidi="ar"/>
              </w:rPr>
              <w:t xml:space="preserve"> </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1.评审委员会考察以上评审内容的 1-</w:t>
            </w:r>
            <w:r>
              <w:rPr>
                <w:rFonts w:hint="eastAsia" w:ascii="宋体" w:hAnsi="宋体" w:cs="宋体"/>
                <w:kern w:val="0"/>
                <w:sz w:val="20"/>
                <w:szCs w:val="20"/>
                <w:highlight w:val="none"/>
                <w:lang w:val="en-US" w:eastAsia="zh-CN"/>
              </w:rPr>
              <w:t>3</w:t>
            </w:r>
            <w:r>
              <w:rPr>
                <w:rFonts w:hint="eastAsia" w:ascii="宋体" w:hAnsi="宋体" w:eastAsia="宋体" w:cs="宋体"/>
                <w:kern w:val="0"/>
                <w:sz w:val="20"/>
                <w:szCs w:val="20"/>
                <w:highlight w:val="none"/>
                <w:lang w:val="en-US" w:eastAsia="zh-CN"/>
              </w:rPr>
              <w:t>点。以上</w:t>
            </w:r>
            <w:r>
              <w:rPr>
                <w:rFonts w:hint="eastAsia" w:ascii="宋体" w:hAnsi="宋体" w:cs="宋体"/>
                <w:kern w:val="0"/>
                <w:sz w:val="20"/>
                <w:szCs w:val="20"/>
                <w:highlight w:val="none"/>
                <w:lang w:val="en-US" w:eastAsia="zh-CN"/>
              </w:rPr>
              <w:t>三</w:t>
            </w:r>
            <w:r>
              <w:rPr>
                <w:rFonts w:hint="eastAsia" w:ascii="宋体" w:hAnsi="宋体" w:eastAsia="宋体" w:cs="宋体"/>
                <w:kern w:val="0"/>
                <w:sz w:val="20"/>
                <w:szCs w:val="20"/>
                <w:highlight w:val="none"/>
                <w:lang w:val="en-US" w:eastAsia="zh-CN"/>
              </w:rPr>
              <w:t>点内容均满足得</w:t>
            </w:r>
            <w:r>
              <w:rPr>
                <w:rFonts w:hint="eastAsia" w:ascii="宋体" w:hAnsi="宋体" w:cs="宋体"/>
                <w:kern w:val="0"/>
                <w:sz w:val="20"/>
                <w:szCs w:val="20"/>
                <w:highlight w:val="none"/>
                <w:lang w:val="en-US" w:eastAsia="zh-CN"/>
              </w:rPr>
              <w:t>3</w:t>
            </w:r>
            <w:r>
              <w:rPr>
                <w:rFonts w:hint="eastAsia" w:ascii="宋体" w:hAnsi="宋体" w:eastAsia="宋体" w:cs="宋体"/>
                <w:kern w:val="0"/>
                <w:sz w:val="20"/>
                <w:szCs w:val="20"/>
                <w:highlight w:val="none"/>
                <w:lang w:val="en-US" w:eastAsia="zh-CN"/>
              </w:rPr>
              <w:t>分，满足任意二点得</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lang w:val="en-US" w:eastAsia="zh-CN"/>
              </w:rPr>
              <w:t>分满足任意一点得</w:t>
            </w:r>
            <w:r>
              <w:rPr>
                <w:rFonts w:hint="eastAsia" w:ascii="宋体" w:hAnsi="宋体" w:cs="宋体"/>
                <w:kern w:val="0"/>
                <w:sz w:val="20"/>
                <w:szCs w:val="20"/>
                <w:highlight w:val="none"/>
                <w:lang w:val="en-US" w:eastAsia="zh-CN"/>
              </w:rPr>
              <w:t>1</w:t>
            </w:r>
            <w:r>
              <w:rPr>
                <w:rFonts w:hint="eastAsia" w:ascii="宋体" w:hAnsi="宋体" w:eastAsia="宋体" w:cs="宋体"/>
                <w:kern w:val="0"/>
                <w:sz w:val="20"/>
                <w:szCs w:val="20"/>
                <w:highlight w:val="none"/>
                <w:lang w:val="en-US" w:eastAsia="zh-CN"/>
              </w:rPr>
              <w:t xml:space="preserve"> 分，未满足不得分。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w:t>
            </w:r>
            <w:r>
              <w:rPr>
                <w:rFonts w:hint="eastAsia" w:ascii="宋体" w:hAnsi="宋体" w:cs="宋体"/>
                <w:szCs w:val="21"/>
                <w:lang w:val="zh-CN"/>
              </w:rPr>
              <w:t>在此基础上，</w:t>
            </w:r>
            <w:r>
              <w:rPr>
                <w:rFonts w:hint="eastAsia" w:ascii="宋体" w:hAnsi="宋体" w:eastAsia="宋体" w:cs="宋体"/>
                <w:kern w:val="0"/>
                <w:sz w:val="20"/>
                <w:szCs w:val="20"/>
                <w:highlight w:val="none"/>
                <w:lang w:val="en-US" w:eastAsia="zh-CN"/>
              </w:rPr>
              <w:t>根据投标人实施方案具体响应内容进一步评审。</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优：以上实施方案的</w:t>
            </w:r>
            <w:r>
              <w:rPr>
                <w:rFonts w:hint="eastAsia" w:ascii="宋体" w:hAnsi="宋体" w:cs="宋体"/>
                <w:kern w:val="0"/>
                <w:sz w:val="20"/>
                <w:szCs w:val="20"/>
                <w:highlight w:val="none"/>
                <w:lang w:val="en-US" w:eastAsia="zh-CN"/>
              </w:rPr>
              <w:t>三</w:t>
            </w:r>
            <w:r>
              <w:rPr>
                <w:rFonts w:hint="eastAsia" w:ascii="宋体" w:hAnsi="宋体" w:eastAsia="宋体" w:cs="宋体"/>
                <w:kern w:val="0"/>
                <w:sz w:val="20"/>
                <w:szCs w:val="20"/>
                <w:highlight w:val="none"/>
                <w:lang w:val="en-US" w:eastAsia="zh-CN"/>
              </w:rPr>
              <w:t>点内容全面具体、针对性</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强、可操作性强，加 </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lang w:val="en-US" w:eastAsia="zh-CN"/>
              </w:rPr>
              <w:t>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良：以上实施方案的</w:t>
            </w:r>
            <w:r>
              <w:rPr>
                <w:rFonts w:hint="eastAsia" w:ascii="宋体" w:hAnsi="宋体" w:cs="宋体"/>
                <w:kern w:val="0"/>
                <w:sz w:val="20"/>
                <w:szCs w:val="20"/>
                <w:highlight w:val="none"/>
                <w:lang w:val="en-US" w:eastAsia="zh-CN"/>
              </w:rPr>
              <w:t>三</w:t>
            </w:r>
            <w:r>
              <w:rPr>
                <w:rFonts w:hint="eastAsia" w:ascii="宋体" w:hAnsi="宋体" w:eastAsia="宋体" w:cs="宋体"/>
                <w:kern w:val="0"/>
                <w:sz w:val="20"/>
                <w:szCs w:val="20"/>
                <w:highlight w:val="none"/>
                <w:lang w:val="en-US" w:eastAsia="zh-CN"/>
              </w:rPr>
              <w:t>点内容较全面、针对性较</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强、可操作性较强，加 </w:t>
            </w:r>
            <w:r>
              <w:rPr>
                <w:rFonts w:hint="eastAsia" w:ascii="宋体" w:hAnsi="宋体" w:cs="宋体"/>
                <w:kern w:val="0"/>
                <w:sz w:val="20"/>
                <w:szCs w:val="20"/>
                <w:highlight w:val="none"/>
                <w:lang w:val="en-US" w:eastAsia="zh-CN"/>
              </w:rPr>
              <w:t>1</w:t>
            </w:r>
            <w:r>
              <w:rPr>
                <w:rFonts w:hint="eastAsia" w:ascii="宋体" w:hAnsi="宋体" w:eastAsia="宋体" w:cs="宋体"/>
                <w:kern w:val="0"/>
                <w:sz w:val="20"/>
                <w:szCs w:val="20"/>
                <w:highlight w:val="none"/>
                <w:lang w:val="en-US" w:eastAsia="zh-CN"/>
              </w:rPr>
              <w:t xml:space="preserve"> 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中：以上实施方案的</w:t>
            </w:r>
            <w:r>
              <w:rPr>
                <w:rFonts w:hint="eastAsia" w:ascii="宋体" w:hAnsi="宋体" w:cs="宋体"/>
                <w:kern w:val="0"/>
                <w:sz w:val="20"/>
                <w:szCs w:val="20"/>
                <w:highlight w:val="none"/>
                <w:lang w:val="en-US" w:eastAsia="zh-CN"/>
              </w:rPr>
              <w:t>三</w:t>
            </w:r>
            <w:r>
              <w:rPr>
                <w:rFonts w:hint="eastAsia" w:ascii="宋体" w:hAnsi="宋体" w:eastAsia="宋体" w:cs="宋体"/>
                <w:kern w:val="0"/>
                <w:sz w:val="20"/>
                <w:szCs w:val="20"/>
                <w:highlight w:val="none"/>
                <w:lang w:val="en-US" w:eastAsia="zh-CN"/>
              </w:rPr>
              <w:t>点内容完整性、针对性、可</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 xml:space="preserve">操作性均一般，加 </w:t>
            </w:r>
            <w:r>
              <w:rPr>
                <w:rFonts w:hint="eastAsia" w:ascii="宋体" w:hAnsi="宋体" w:cs="宋体"/>
                <w:kern w:val="0"/>
                <w:sz w:val="20"/>
                <w:szCs w:val="20"/>
                <w:highlight w:val="none"/>
                <w:lang w:val="en-US" w:eastAsia="zh-CN"/>
              </w:rPr>
              <w:t>0.5</w:t>
            </w:r>
            <w:r>
              <w:rPr>
                <w:rFonts w:hint="eastAsia" w:ascii="宋体" w:hAnsi="宋体" w:eastAsia="宋体" w:cs="宋体"/>
                <w:kern w:val="0"/>
                <w:sz w:val="20"/>
                <w:szCs w:val="20"/>
                <w:highlight w:val="none"/>
                <w:lang w:val="en-US" w:eastAsia="zh-CN"/>
              </w:rPr>
              <w:t xml:space="preserve"> 分；</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差：实施方案内容不科学、不完整、针对性较弱，加 0 分；如果评审为差，请书面说明理由，并记录存档。</w:t>
            </w:r>
          </w:p>
          <w:p>
            <w:pPr>
              <w:widowControl/>
              <w:jc w:val="lef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备注：投标人未提供相应方案的，得0分。</w:t>
            </w:r>
          </w:p>
          <w:p>
            <w:pPr>
              <w:widowControl/>
              <w:jc w:val="left"/>
              <w:rPr>
                <w:rFonts w:hint="eastAsia" w:ascii="Times New Roman" w:hAnsi="Times New Roman" w:eastAsia="宋体" w:cs="宋体"/>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4"/>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ascii="宋体" w:hAnsi="宋体" w:cs="宋体"/>
                <w:szCs w:val="21"/>
              </w:rPr>
            </w:pPr>
            <w:r>
              <w:rPr>
                <w:rFonts w:hint="eastAsia" w:ascii="宋体" w:hAnsi="宋体" w:cs="宋体"/>
                <w:szCs w:val="21"/>
              </w:rPr>
              <w:cr/>
            </w:r>
            <w:r>
              <w:rPr>
                <w:rFonts w:hint="eastAsia" w:ascii="宋体" w:hAnsi="宋体" w:cs="宋体"/>
                <w:szCs w:val="21"/>
              </w:rPr>
              <w:t>1</w:t>
            </w:r>
          </w:p>
        </w:tc>
        <w:tc>
          <w:tcPr>
            <w:tcW w:w="1422" w:type="dxa"/>
            <w:vAlign w:val="center"/>
          </w:tcPr>
          <w:p>
            <w:pPr>
              <w:widowControl/>
              <w:jc w:val="left"/>
              <w:rPr>
                <w:rFonts w:hint="eastAsia" w:ascii="宋体" w:hAnsi="宋体" w:cs="宋体"/>
                <w:kern w:val="0"/>
                <w:sz w:val="20"/>
                <w:szCs w:val="20"/>
              </w:rPr>
            </w:pPr>
            <w:r>
              <w:rPr>
                <w:rFonts w:hint="eastAsia" w:ascii="宋体" w:hAnsi="宋体" w:cs="宋体"/>
                <w:kern w:val="0"/>
                <w:sz w:val="20"/>
                <w:szCs w:val="20"/>
              </w:rPr>
              <w:t>商务条款</w:t>
            </w:r>
          </w:p>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偏离情况</w:t>
            </w:r>
          </w:p>
        </w:tc>
        <w:tc>
          <w:tcPr>
            <w:tcW w:w="1431" w:type="dxa"/>
            <w:gridSpan w:val="2"/>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4678"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（一）评分内容：投标人应如实填写《商务要求偏离表》，评审委员会根据响应情况进行打分，全部满足要求的得</w:t>
            </w:r>
            <w:r>
              <w:rPr>
                <w:rFonts w:hint="eastAsia" w:ascii="宋体" w:hAnsi="宋体" w:cs="宋体"/>
                <w:kern w:val="0"/>
                <w:sz w:val="20"/>
                <w:szCs w:val="20"/>
                <w:lang w:val="en-US" w:eastAsia="zh-CN"/>
              </w:rPr>
              <w:t>5</w:t>
            </w:r>
            <w:r>
              <w:rPr>
                <w:rFonts w:hint="eastAsia" w:ascii="宋体" w:hAnsi="宋体" w:cs="宋体"/>
                <w:kern w:val="0"/>
                <w:sz w:val="20"/>
                <w:szCs w:val="20"/>
              </w:rPr>
              <w:t>分，所有标注“▲”的重要参数每项负偏离一扣</w:t>
            </w:r>
            <w:r>
              <w:rPr>
                <w:rFonts w:hint="eastAsia" w:ascii="宋体" w:hAnsi="宋体" w:cs="宋体"/>
                <w:kern w:val="0"/>
                <w:sz w:val="20"/>
                <w:szCs w:val="20"/>
                <w:lang w:val="en-US" w:eastAsia="zh-CN"/>
              </w:rPr>
              <w:t>1</w:t>
            </w:r>
            <w:r>
              <w:rPr>
                <w:rFonts w:hint="eastAsia" w:ascii="宋体" w:hAnsi="宋体" w:cs="宋体"/>
                <w:kern w:val="0"/>
                <w:sz w:val="20"/>
                <w:szCs w:val="20"/>
              </w:rPr>
              <w:t>分，一般参数每负偏离一条扣</w:t>
            </w:r>
            <w:r>
              <w:rPr>
                <w:rFonts w:hint="eastAsia" w:ascii="宋体" w:hAnsi="宋体" w:cs="宋体"/>
                <w:kern w:val="0"/>
                <w:sz w:val="20"/>
                <w:szCs w:val="20"/>
                <w:lang w:val="en-US" w:eastAsia="zh-CN"/>
              </w:rPr>
              <w:t>1</w:t>
            </w:r>
            <w:r>
              <w:rPr>
                <w:rFonts w:hint="eastAsia" w:ascii="宋体" w:hAnsi="宋体" w:cs="宋体"/>
                <w:kern w:val="0"/>
                <w:sz w:val="20"/>
                <w:szCs w:val="20"/>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rPr>
            </w:pPr>
          </w:p>
        </w:tc>
        <w:tc>
          <w:tcPr>
            <w:tcW w:w="699" w:type="dxa"/>
            <w:vAlign w:val="center"/>
          </w:tcPr>
          <w:p>
            <w:pPr>
              <w:jc w:val="center"/>
              <w:rPr>
                <w:rFonts w:hint="eastAsia" w:ascii="宋体" w:hAnsi="宋体" w:cs="宋体"/>
                <w:szCs w:val="21"/>
              </w:rPr>
            </w:pPr>
          </w:p>
        </w:tc>
        <w:tc>
          <w:tcPr>
            <w:tcW w:w="1422"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同类业绩</w:t>
            </w:r>
          </w:p>
        </w:tc>
        <w:tc>
          <w:tcPr>
            <w:tcW w:w="1431" w:type="dxa"/>
            <w:gridSpan w:val="2"/>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678" w:type="dxa"/>
            <w:vAlign w:val="center"/>
          </w:tcPr>
          <w:p>
            <w:pPr>
              <w:widowControl/>
              <w:jc w:val="left"/>
              <w:rPr>
                <w:rFonts w:hint="eastAsia" w:ascii="宋体" w:hAnsi="宋体" w:cs="宋体"/>
                <w:kern w:val="0"/>
                <w:sz w:val="20"/>
                <w:szCs w:val="20"/>
              </w:rPr>
            </w:pPr>
            <w:r>
              <w:rPr>
                <w:rFonts w:hint="eastAsia" w:ascii="宋体" w:hAnsi="宋体" w:cs="宋体"/>
                <w:kern w:val="0"/>
                <w:sz w:val="20"/>
                <w:szCs w:val="20"/>
                <w:lang w:eastAsia="zh-CN"/>
              </w:rPr>
              <w:t>（</w:t>
            </w:r>
            <w:r>
              <w:rPr>
                <w:rFonts w:hint="eastAsia" w:ascii="宋体" w:hAnsi="宋体" w:cs="宋体"/>
                <w:kern w:val="0"/>
                <w:sz w:val="20"/>
                <w:szCs w:val="20"/>
                <w:lang w:val="en-US" w:eastAsia="zh-CN"/>
              </w:rPr>
              <w:t>一</w:t>
            </w:r>
            <w:r>
              <w:rPr>
                <w:rFonts w:hint="eastAsia" w:ascii="宋体" w:hAnsi="宋体" w:cs="宋体"/>
                <w:kern w:val="0"/>
                <w:sz w:val="20"/>
                <w:szCs w:val="20"/>
                <w:lang w:eastAsia="zh-CN"/>
              </w:rPr>
              <w:t>）</w:t>
            </w:r>
            <w:r>
              <w:rPr>
                <w:rFonts w:hint="eastAsia" w:ascii="宋体" w:hAnsi="宋体" w:cs="宋体"/>
                <w:kern w:val="0"/>
                <w:sz w:val="20"/>
                <w:szCs w:val="20"/>
                <w:lang w:val="en-US" w:eastAsia="zh-CN"/>
              </w:rPr>
              <w:t>评分内容：</w:t>
            </w:r>
            <w:r>
              <w:rPr>
                <w:rFonts w:hint="eastAsia" w:ascii="宋体" w:hAnsi="宋体" w:cs="宋体"/>
                <w:kern w:val="0"/>
                <w:sz w:val="20"/>
                <w:szCs w:val="20"/>
              </w:rPr>
              <w:t>投标人</w:t>
            </w:r>
            <w:r>
              <w:rPr>
                <w:rFonts w:hint="eastAsia" w:ascii="宋体" w:hAnsi="宋体" w:cs="宋体"/>
                <w:kern w:val="0"/>
                <w:sz w:val="20"/>
                <w:szCs w:val="20"/>
                <w:lang w:val="en-US" w:eastAsia="zh-CN"/>
              </w:rPr>
              <w:t>提供自</w:t>
            </w:r>
            <w:r>
              <w:rPr>
                <w:rFonts w:hint="eastAsia" w:ascii="宋体" w:hAnsi="宋体" w:cs="宋体"/>
                <w:kern w:val="0"/>
                <w:sz w:val="20"/>
                <w:szCs w:val="20"/>
              </w:rPr>
              <w:t>2021年</w:t>
            </w:r>
            <w:r>
              <w:rPr>
                <w:rFonts w:hint="eastAsia" w:ascii="宋体" w:hAnsi="宋体" w:cs="宋体"/>
                <w:kern w:val="0"/>
                <w:sz w:val="20"/>
                <w:szCs w:val="20"/>
                <w:lang w:val="en-US" w:eastAsia="zh-CN"/>
              </w:rPr>
              <w:t>11</w:t>
            </w:r>
            <w:r>
              <w:rPr>
                <w:rFonts w:hint="eastAsia" w:ascii="宋体" w:hAnsi="宋体" w:cs="宋体"/>
                <w:kern w:val="0"/>
                <w:sz w:val="20"/>
                <w:szCs w:val="20"/>
              </w:rPr>
              <w:t>月</w:t>
            </w:r>
            <w:r>
              <w:rPr>
                <w:rFonts w:hint="eastAsia" w:ascii="宋体" w:hAnsi="宋体" w:cs="宋体"/>
                <w:kern w:val="0"/>
                <w:sz w:val="20"/>
                <w:szCs w:val="20"/>
                <w:lang w:val="en-US" w:eastAsia="zh-CN"/>
              </w:rPr>
              <w:t>1日</w:t>
            </w:r>
            <w:r>
              <w:rPr>
                <w:rFonts w:hint="eastAsia" w:ascii="宋体" w:hAnsi="宋体" w:cs="宋体"/>
                <w:kern w:val="0"/>
                <w:sz w:val="20"/>
                <w:szCs w:val="20"/>
              </w:rPr>
              <w:t>至投标截止日</w:t>
            </w:r>
            <w:r>
              <w:rPr>
                <w:rFonts w:hint="eastAsia" w:ascii="宋体" w:hAnsi="宋体" w:cs="宋体"/>
                <w:kern w:val="0"/>
                <w:sz w:val="20"/>
                <w:szCs w:val="20"/>
                <w:lang w:eastAsia="zh-CN"/>
              </w:rPr>
              <w:t>（</w:t>
            </w:r>
            <w:r>
              <w:rPr>
                <w:rFonts w:hint="eastAsia" w:ascii="宋体" w:hAnsi="宋体" w:cs="宋体"/>
                <w:kern w:val="0"/>
                <w:sz w:val="20"/>
                <w:szCs w:val="20"/>
                <w:lang w:val="en-US" w:eastAsia="zh-CN"/>
              </w:rPr>
              <w:t>以合同签订时间为准</w:t>
            </w:r>
            <w:r>
              <w:rPr>
                <w:rFonts w:hint="eastAsia" w:ascii="宋体" w:hAnsi="宋体" w:cs="宋体"/>
                <w:kern w:val="0"/>
                <w:sz w:val="20"/>
                <w:szCs w:val="20"/>
                <w:lang w:eastAsia="zh-CN"/>
              </w:rPr>
              <w:t>）</w:t>
            </w:r>
            <w:r>
              <w:rPr>
                <w:rFonts w:hint="eastAsia" w:ascii="宋体" w:hAnsi="宋体" w:cs="宋体"/>
                <w:kern w:val="0"/>
                <w:sz w:val="20"/>
                <w:szCs w:val="20"/>
              </w:rPr>
              <w:t>以来同类（</w:t>
            </w:r>
            <w:r>
              <w:rPr>
                <w:rFonts w:hint="eastAsia" w:ascii="仿宋" w:hAnsi="仿宋" w:eastAsia="仿宋" w:cs="宋体"/>
                <w:b/>
                <w:bCs/>
                <w:kern w:val="0"/>
                <w:sz w:val="20"/>
                <w:szCs w:val="20"/>
              </w:rPr>
              <w:t>网络建设与运维</w:t>
            </w:r>
            <w:r>
              <w:rPr>
                <w:rFonts w:hint="eastAsia" w:ascii="宋体" w:hAnsi="宋体" w:cs="宋体"/>
                <w:kern w:val="0"/>
                <w:sz w:val="20"/>
                <w:szCs w:val="20"/>
              </w:rPr>
              <w:t>）业绩，每提供1个得</w:t>
            </w:r>
            <w:r>
              <w:rPr>
                <w:rFonts w:hint="eastAsia" w:ascii="宋体" w:hAnsi="宋体" w:cs="宋体"/>
                <w:kern w:val="0"/>
                <w:sz w:val="20"/>
                <w:szCs w:val="20"/>
                <w:lang w:val="en-US" w:eastAsia="zh-CN"/>
              </w:rPr>
              <w:t>1</w:t>
            </w:r>
            <w:r>
              <w:rPr>
                <w:rFonts w:hint="eastAsia" w:ascii="宋体" w:hAnsi="宋体" w:cs="宋体"/>
                <w:kern w:val="0"/>
                <w:sz w:val="20"/>
                <w:szCs w:val="20"/>
              </w:rPr>
              <w:t>分，未提供的不得分，最高得</w:t>
            </w:r>
            <w:r>
              <w:rPr>
                <w:rFonts w:hint="eastAsia" w:ascii="宋体" w:hAnsi="宋体" w:cs="宋体"/>
                <w:kern w:val="0"/>
                <w:sz w:val="20"/>
                <w:szCs w:val="20"/>
                <w:lang w:val="en-US" w:eastAsia="zh-CN"/>
              </w:rPr>
              <w:t>5</w:t>
            </w:r>
            <w:r>
              <w:rPr>
                <w:rFonts w:hint="eastAsia" w:ascii="宋体" w:hAnsi="宋体" w:cs="宋体"/>
                <w:kern w:val="0"/>
                <w:sz w:val="20"/>
                <w:szCs w:val="20"/>
              </w:rPr>
              <w:t>分。</w:t>
            </w:r>
          </w:p>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eastAsia="zh-CN"/>
              </w:rPr>
              <w:t>（</w:t>
            </w:r>
            <w:r>
              <w:rPr>
                <w:rFonts w:hint="eastAsia" w:ascii="宋体" w:hAnsi="宋体" w:cs="宋体"/>
                <w:kern w:val="0"/>
                <w:sz w:val="20"/>
                <w:szCs w:val="20"/>
                <w:lang w:val="en-US" w:eastAsia="zh-CN"/>
              </w:rPr>
              <w:t>二</w:t>
            </w:r>
            <w:r>
              <w:rPr>
                <w:rFonts w:hint="eastAsia" w:ascii="宋体" w:hAnsi="宋体" w:cs="宋体"/>
                <w:kern w:val="0"/>
                <w:sz w:val="20"/>
                <w:szCs w:val="20"/>
                <w:lang w:eastAsia="zh-CN"/>
              </w:rPr>
              <w:t>）</w:t>
            </w:r>
            <w:r>
              <w:rPr>
                <w:rFonts w:hint="eastAsia" w:ascii="宋体" w:hAnsi="宋体" w:cs="宋体"/>
                <w:kern w:val="0"/>
                <w:sz w:val="20"/>
                <w:szCs w:val="20"/>
                <w:lang w:val="en-US" w:eastAsia="zh-CN"/>
              </w:rPr>
              <w:t>评分依据：</w:t>
            </w:r>
            <w:r>
              <w:rPr>
                <w:rFonts w:hint="eastAsia" w:ascii="宋体" w:hAnsi="宋体" w:cs="宋体"/>
                <w:kern w:val="0"/>
                <w:sz w:val="20"/>
                <w:szCs w:val="20"/>
              </w:rPr>
              <w:t>投标人</w:t>
            </w:r>
            <w:r>
              <w:rPr>
                <w:rFonts w:hint="eastAsia" w:ascii="宋体" w:hAnsi="宋体" w:cs="宋体"/>
                <w:kern w:val="0"/>
                <w:sz w:val="20"/>
                <w:szCs w:val="20"/>
                <w:lang w:val="en-US" w:eastAsia="zh-CN"/>
              </w:rPr>
              <w:t>需在</w:t>
            </w:r>
            <w:r>
              <w:rPr>
                <w:rFonts w:hint="eastAsia" w:ascii="宋体" w:hAnsi="宋体" w:cs="宋体"/>
                <w:kern w:val="0"/>
                <w:sz w:val="20"/>
                <w:szCs w:val="20"/>
              </w:rPr>
              <w:t>投标文件中提供每一个项目的合同和验收报告（均加盖合同甲方公章或业务章）扫描件，否则不得分。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5</w:t>
            </w:r>
          </w:p>
        </w:tc>
        <w:tc>
          <w:tcPr>
            <w:tcW w:w="1422" w:type="dxa"/>
            <w:vAlign w:val="center"/>
          </w:tcPr>
          <w:p>
            <w:pPr>
              <w:jc w:val="center"/>
              <w:rPr>
                <w:rFonts w:ascii="宋体" w:hAnsi="宋体" w:cs="宋体"/>
                <w:szCs w:val="21"/>
              </w:rPr>
            </w:pPr>
            <w:r>
              <w:rPr>
                <w:rFonts w:hint="eastAsia" w:ascii="宋体" w:hAnsi="宋体" w:cs="宋体"/>
                <w:szCs w:val="21"/>
              </w:rPr>
              <w:t>诚信评价</w:t>
            </w:r>
          </w:p>
        </w:tc>
        <w:tc>
          <w:tcPr>
            <w:tcW w:w="1431" w:type="dxa"/>
            <w:gridSpan w:val="2"/>
            <w:vAlign w:val="center"/>
          </w:tcPr>
          <w:p>
            <w:pPr>
              <w:jc w:val="center"/>
              <w:rPr>
                <w:rFonts w:ascii="宋体" w:hAnsi="宋体" w:cs="宋体"/>
                <w:szCs w:val="21"/>
              </w:rPr>
            </w:pPr>
            <w:r>
              <w:rPr>
                <w:rFonts w:hint="eastAsia" w:ascii="宋体" w:hAnsi="宋体" w:cs="宋体"/>
                <w:szCs w:val="21"/>
              </w:rPr>
              <w:t>5</w:t>
            </w:r>
          </w:p>
        </w:tc>
        <w:tc>
          <w:tcPr>
            <w:tcW w:w="4678" w:type="dxa"/>
          </w:tcPr>
          <w:p>
            <w:pPr>
              <w:jc w:val="left"/>
              <w:rPr>
                <w:rFonts w:ascii="宋体" w:hAnsi="宋体" w:cs="宋体"/>
                <w:szCs w:val="21"/>
              </w:rPr>
            </w:pPr>
            <w:r>
              <w:rPr>
                <w:rFonts w:hint="eastAsia" w:ascii="宋体" w:hAnsi="宋体" w:cs="宋体"/>
                <w:szCs w:val="21"/>
              </w:rPr>
              <w:t>投标人在参与政府采购活动中存在《深圳市财政局政府采购供应商信⽤信息管理办法》第⼗⼀条诚信相关问题且在主管部门相关处理措施实施期限内的，本项不得分，否则得满分。投标人无需提供任何证明材料，由工作人员查询后向评审委员会提供相关信息。</w:t>
            </w:r>
          </w:p>
        </w:tc>
      </w:tr>
    </w:tbl>
    <w:p>
      <w:pPr>
        <w:pStyle w:val="3"/>
      </w:pPr>
      <w:r>
        <w:rPr>
          <w:rFonts w:hint="eastAsia"/>
        </w:rPr>
        <w:t>第二章项目需求</w:t>
      </w:r>
    </w:p>
    <w:p>
      <w:pPr>
        <w:pStyle w:val="6"/>
        <w:spacing w:before="156" w:beforeLines="50" w:after="156" w:afterLines="50"/>
        <w:rPr>
          <w:rFonts w:cs="宋体"/>
          <w:szCs w:val="28"/>
        </w:rPr>
      </w:pPr>
      <w:bookmarkStart w:id="0" w:name="_Toc101074876"/>
      <w:bookmarkStart w:id="1" w:name="_Toc60560625"/>
      <w:bookmarkStart w:id="2" w:name="_Toc60631620"/>
      <w:bookmarkStart w:id="3" w:name="_Toc100052364"/>
      <w:bookmarkStart w:id="4" w:name="_Toc73518117"/>
      <w:bookmarkStart w:id="5" w:name="_Toc73521547"/>
      <w:bookmarkStart w:id="6" w:name="_Toc73521635"/>
      <w:bookmarkStart w:id="7" w:name="_Toc73517639"/>
      <w:r>
        <w:rPr>
          <w:rFonts w:hint="eastAsia" w:cs="宋体"/>
          <w:szCs w:val="28"/>
        </w:rPr>
        <w:t>一、项目概况</w:t>
      </w:r>
    </w:p>
    <w:bookmarkEnd w:id="0"/>
    <w:bookmarkEnd w:id="1"/>
    <w:bookmarkEnd w:id="2"/>
    <w:bookmarkEnd w:id="3"/>
    <w:bookmarkEnd w:id="4"/>
    <w:bookmarkEnd w:id="5"/>
    <w:bookmarkEnd w:id="6"/>
    <w:bookmarkEnd w:id="7"/>
    <w:p>
      <w:pPr>
        <w:pStyle w:val="6"/>
        <w:numPr>
          <w:ilvl w:val="0"/>
          <w:numId w:val="0"/>
        </w:numPr>
        <w:spacing w:before="156" w:beforeLines="50" w:after="156" w:afterLines="50"/>
        <w:jc w:val="both"/>
        <w:rPr>
          <w:rFonts w:hint="default" w:eastAsia="宋体" w:cs="宋体"/>
          <w:szCs w:val="28"/>
          <w:lang w:val="en-US" w:eastAsia="zh-CN"/>
        </w:rPr>
      </w:pPr>
      <w:r>
        <w:rPr>
          <w:rFonts w:hint="eastAsia" w:ascii="仿宋" w:hAnsi="仿宋" w:eastAsia="仿宋" w:cs="宋体"/>
          <w:b/>
          <w:bCs/>
          <w:kern w:val="0"/>
          <w:sz w:val="20"/>
          <w:szCs w:val="20"/>
          <w:lang w:eastAsia="zh-CN"/>
        </w:rPr>
        <w:t>网络建设与运维综合应用设备</w:t>
      </w:r>
      <w:r>
        <w:rPr>
          <w:rFonts w:hint="eastAsia" w:ascii="仿宋" w:hAnsi="仿宋" w:eastAsia="仿宋" w:cs="宋体"/>
          <w:b/>
          <w:bCs/>
          <w:kern w:val="0"/>
          <w:sz w:val="20"/>
          <w:szCs w:val="20"/>
          <w:lang w:val="en-US" w:eastAsia="zh-CN"/>
        </w:rPr>
        <w:t>购置</w:t>
      </w:r>
    </w:p>
    <w:p>
      <w:pPr>
        <w:pStyle w:val="6"/>
        <w:numPr>
          <w:ilvl w:val="0"/>
          <w:numId w:val="2"/>
        </w:numPr>
        <w:spacing w:before="156" w:beforeLines="50" w:after="156" w:afterLines="50"/>
        <w:rPr>
          <w:rFonts w:cs="宋体"/>
          <w:szCs w:val="28"/>
        </w:rPr>
      </w:pPr>
      <w:r>
        <w:rPr>
          <w:rFonts w:hint="eastAsia" w:cs="宋体"/>
          <w:szCs w:val="28"/>
        </w:rPr>
        <w:t>货物清单</w:t>
      </w:r>
    </w:p>
    <w:tbl>
      <w:tblPr>
        <w:tblStyle w:val="14"/>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126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单位</w:t>
            </w:r>
          </w:p>
        </w:tc>
        <w:tc>
          <w:tcPr>
            <w:tcW w:w="1290" w:type="dxa"/>
            <w:vAlign w:val="center"/>
          </w:tcPr>
          <w:p>
            <w:pPr>
              <w:jc w:val="center"/>
              <w:rPr>
                <w:rFonts w:ascii="宋体" w:hAnsi="宋体" w:cs="宋体"/>
                <w:bCs/>
                <w:szCs w:val="21"/>
              </w:rPr>
            </w:pPr>
            <w:r>
              <w:rPr>
                <w:rFonts w:hint="eastAsia" w:ascii="宋体" w:hAnsi="宋体" w:cs="宋体"/>
                <w:bCs/>
                <w:szCs w:val="21"/>
              </w:rPr>
              <w:t>数量</w:t>
            </w:r>
          </w:p>
        </w:tc>
        <w:tc>
          <w:tcPr>
            <w:tcW w:w="1269" w:type="dxa"/>
            <w:vAlign w:val="center"/>
          </w:tcPr>
          <w:p>
            <w:pPr>
              <w:jc w:val="center"/>
              <w:rPr>
                <w:rFonts w:ascii="宋体" w:hAnsi="宋体" w:cs="宋体"/>
                <w:bCs/>
                <w:szCs w:val="21"/>
              </w:rPr>
            </w:pPr>
            <w:r>
              <w:rPr>
                <w:rFonts w:hint="eastAsia" w:ascii="宋体" w:hAnsi="宋体" w:cs="宋体"/>
                <w:bCs/>
                <w:szCs w:val="21"/>
              </w:rPr>
              <w:t>允许采购</w:t>
            </w:r>
          </w:p>
          <w:p>
            <w:pPr>
              <w:jc w:val="center"/>
              <w:rPr>
                <w:rFonts w:ascii="宋体" w:hAnsi="宋体" w:cs="宋体"/>
                <w:szCs w:val="21"/>
              </w:rPr>
            </w:pPr>
            <w:r>
              <w:rPr>
                <w:rFonts w:hint="eastAsia" w:ascii="宋体" w:hAnsi="宋体" w:cs="宋体"/>
                <w:bCs/>
                <w:szCs w:val="21"/>
              </w:rPr>
              <w:t>进口产品</w:t>
            </w:r>
          </w:p>
        </w:tc>
        <w:tc>
          <w:tcPr>
            <w:tcW w:w="183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276" w:lineRule="auto"/>
              <w:jc w:val="center"/>
              <w:rPr>
                <w:rFonts w:ascii="宋体" w:hAnsi="宋体" w:cs="宋体"/>
                <w:bCs/>
                <w:szCs w:val="21"/>
              </w:rPr>
            </w:pPr>
            <w:r>
              <w:rPr>
                <w:rFonts w:hint="eastAsia" w:ascii="宋体" w:hAnsi="宋体"/>
                <w:b/>
                <w:bCs/>
                <w:sz w:val="22"/>
              </w:rPr>
              <w:t>1</w:t>
            </w:r>
          </w:p>
        </w:tc>
        <w:tc>
          <w:tcPr>
            <w:tcW w:w="2265" w:type="dxa"/>
            <w:vAlign w:val="center"/>
          </w:tcPr>
          <w:p>
            <w:pPr>
              <w:jc w:val="left"/>
              <w:rPr>
                <w:rFonts w:ascii="仿宋" w:hAnsi="仿宋" w:eastAsia="仿宋"/>
                <w:bCs/>
                <w:szCs w:val="21"/>
              </w:rPr>
            </w:pPr>
            <w:r>
              <w:rPr>
                <w:rFonts w:hint="eastAsia" w:ascii="仿宋" w:hAnsi="仿宋" w:eastAsia="仿宋"/>
                <w:color w:val="000000"/>
                <w:szCs w:val="21"/>
              </w:rPr>
              <w:t>信创云服务平台</w:t>
            </w:r>
          </w:p>
        </w:tc>
        <w:tc>
          <w:tcPr>
            <w:tcW w:w="1335" w:type="dxa"/>
            <w:vAlign w:val="center"/>
          </w:tcPr>
          <w:p>
            <w:pPr>
              <w:spacing w:line="276" w:lineRule="auto"/>
              <w:jc w:val="center"/>
              <w:rPr>
                <w:rFonts w:ascii="仿宋" w:hAnsi="仿宋" w:eastAsia="仿宋"/>
                <w:bCs/>
                <w:szCs w:val="21"/>
              </w:rPr>
            </w:pPr>
            <w:r>
              <w:rPr>
                <w:rFonts w:hint="eastAsia" w:ascii="宋体" w:hAnsi="宋体"/>
                <w:szCs w:val="21"/>
              </w:rPr>
              <w:t>套</w:t>
            </w:r>
          </w:p>
        </w:tc>
        <w:tc>
          <w:tcPr>
            <w:tcW w:w="1290" w:type="dxa"/>
            <w:vAlign w:val="center"/>
          </w:tcPr>
          <w:p>
            <w:pPr>
              <w:spacing w:line="276" w:lineRule="auto"/>
              <w:jc w:val="center"/>
              <w:rPr>
                <w:rFonts w:ascii="仿宋" w:hAnsi="仿宋" w:eastAsia="仿宋"/>
                <w:bCs/>
                <w:szCs w:val="21"/>
              </w:rPr>
            </w:pPr>
            <w:r>
              <w:rPr>
                <w:rFonts w:hint="eastAsia" w:ascii="宋体" w:hAnsi="宋体"/>
                <w:szCs w:val="21"/>
              </w:rPr>
              <w:t>1</w:t>
            </w:r>
          </w:p>
        </w:tc>
        <w:tc>
          <w:tcPr>
            <w:tcW w:w="1269" w:type="dxa"/>
            <w:vAlign w:val="center"/>
          </w:tcPr>
          <w:p>
            <w:pPr>
              <w:spacing w:line="276" w:lineRule="auto"/>
              <w:jc w:val="center"/>
              <w:rPr>
                <w:rFonts w:ascii="宋体" w:hAnsi="宋体"/>
                <w:sz w:val="22"/>
              </w:rPr>
            </w:pPr>
            <w:r>
              <w:rPr>
                <w:rFonts w:hint="eastAsia" w:ascii="宋体" w:hAnsi="宋体"/>
                <w:sz w:val="22"/>
              </w:rPr>
              <w:t>拒绝进口</w:t>
            </w:r>
          </w:p>
        </w:tc>
        <w:tc>
          <w:tcPr>
            <w:tcW w:w="1830" w:type="dxa"/>
            <w:vAlign w:val="center"/>
          </w:tcPr>
          <w:p>
            <w:pPr>
              <w:spacing w:line="276" w:lineRule="auto"/>
              <w:jc w:val="center"/>
              <w:rPr>
                <w:rFonts w:ascii="仿宋" w:hAnsi="仿宋" w:eastAsia="仿宋"/>
                <w:bCs/>
                <w:szCs w:val="21"/>
              </w:rPr>
            </w:pPr>
            <w:r>
              <w:rPr>
                <w:rFonts w:hint="eastAsia" w:ascii="宋体" w:hAnsi="宋体"/>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276" w:lineRule="auto"/>
              <w:jc w:val="center"/>
              <w:rPr>
                <w:rFonts w:ascii="宋体" w:hAnsi="宋体" w:cs="宋体"/>
                <w:bCs/>
                <w:szCs w:val="21"/>
              </w:rPr>
            </w:pPr>
            <w:r>
              <w:rPr>
                <w:rFonts w:hint="eastAsia" w:ascii="宋体" w:hAnsi="宋体"/>
                <w:b/>
                <w:bCs/>
                <w:sz w:val="22"/>
              </w:rPr>
              <w:t>2</w:t>
            </w:r>
          </w:p>
        </w:tc>
        <w:tc>
          <w:tcPr>
            <w:tcW w:w="2265" w:type="dxa"/>
            <w:vAlign w:val="center"/>
          </w:tcPr>
          <w:p>
            <w:pPr>
              <w:rPr>
                <w:rFonts w:ascii="仿宋" w:hAnsi="仿宋" w:eastAsia="仿宋"/>
                <w:bCs/>
                <w:szCs w:val="21"/>
              </w:rPr>
            </w:pPr>
            <w:r>
              <w:rPr>
                <w:rFonts w:hint="eastAsia" w:ascii="仿宋" w:hAnsi="仿宋" w:eastAsia="仿宋"/>
                <w:color w:val="000000"/>
                <w:szCs w:val="21"/>
              </w:rPr>
              <w:t>信创云终端</w:t>
            </w:r>
          </w:p>
        </w:tc>
        <w:tc>
          <w:tcPr>
            <w:tcW w:w="1335" w:type="dxa"/>
            <w:vAlign w:val="center"/>
          </w:tcPr>
          <w:p>
            <w:pPr>
              <w:spacing w:line="276" w:lineRule="auto"/>
              <w:jc w:val="center"/>
              <w:rPr>
                <w:rFonts w:hint="eastAsia" w:ascii="仿宋" w:hAnsi="仿宋" w:eastAsia="仿宋"/>
                <w:bCs/>
                <w:szCs w:val="21"/>
                <w:lang w:eastAsia="zh-CN"/>
              </w:rPr>
            </w:pPr>
            <w:r>
              <w:rPr>
                <w:rFonts w:hint="eastAsia" w:ascii="宋体" w:hAnsi="宋体" w:eastAsia="仿宋"/>
                <w:szCs w:val="21"/>
                <w:lang w:val="en-US" w:eastAsia="zh-CN"/>
              </w:rPr>
              <w:t>台</w:t>
            </w:r>
          </w:p>
        </w:tc>
        <w:tc>
          <w:tcPr>
            <w:tcW w:w="1290" w:type="dxa"/>
            <w:vAlign w:val="center"/>
          </w:tcPr>
          <w:p>
            <w:pPr>
              <w:spacing w:line="276" w:lineRule="auto"/>
              <w:jc w:val="center"/>
              <w:rPr>
                <w:rFonts w:hint="eastAsia" w:ascii="仿宋" w:hAnsi="仿宋" w:eastAsia="仿宋"/>
                <w:bCs/>
                <w:szCs w:val="21"/>
                <w:lang w:eastAsia="zh-CN"/>
              </w:rPr>
            </w:pPr>
            <w:r>
              <w:rPr>
                <w:rFonts w:hint="eastAsia" w:ascii="宋体" w:hAnsi="宋体" w:eastAsia="仿宋"/>
                <w:szCs w:val="21"/>
                <w:lang w:val="en-US" w:eastAsia="zh-CN"/>
              </w:rPr>
              <w:t>2</w:t>
            </w:r>
          </w:p>
        </w:tc>
        <w:tc>
          <w:tcPr>
            <w:tcW w:w="1269" w:type="dxa"/>
            <w:vAlign w:val="center"/>
          </w:tcPr>
          <w:p>
            <w:pPr>
              <w:spacing w:line="276" w:lineRule="auto"/>
              <w:jc w:val="center"/>
              <w:rPr>
                <w:rFonts w:ascii="宋体" w:hAnsi="宋体"/>
                <w:sz w:val="22"/>
              </w:rPr>
            </w:pPr>
            <w:r>
              <w:rPr>
                <w:rFonts w:hint="eastAsia" w:ascii="宋体" w:hAnsi="宋体"/>
                <w:sz w:val="22"/>
              </w:rPr>
              <w:t>拒绝进口</w:t>
            </w:r>
          </w:p>
        </w:tc>
        <w:tc>
          <w:tcPr>
            <w:tcW w:w="1830" w:type="dxa"/>
            <w:vAlign w:val="center"/>
          </w:tcPr>
          <w:p>
            <w:pPr>
              <w:spacing w:line="276" w:lineRule="auto"/>
              <w:jc w:val="center"/>
              <w:rPr>
                <w:rFonts w:ascii="宋体" w:hAnsi="宋体" w:cs="宋体"/>
                <w:color w:val="000000"/>
                <w:kern w:val="0"/>
                <w:sz w:val="24"/>
              </w:rPr>
            </w:pPr>
          </w:p>
        </w:tc>
      </w:tr>
    </w:tbl>
    <w:p>
      <w:pPr>
        <w:pStyle w:val="6"/>
        <w:spacing w:before="156" w:beforeLines="50" w:after="156" w:afterLines="50"/>
        <w:rPr>
          <w:rFonts w:cs="宋体"/>
          <w:szCs w:val="28"/>
        </w:rPr>
      </w:pPr>
      <w:r>
        <w:rPr>
          <w:rFonts w:hint="eastAsia" w:cs="宋体"/>
          <w:szCs w:val="28"/>
        </w:rPr>
        <w:t>三、具体技术要求</w:t>
      </w:r>
    </w:p>
    <w:p>
      <w:pPr>
        <w:rPr>
          <w:rFonts w:ascii="宋体" w:hAnsi="宋体" w:cs="宋体"/>
          <w:bCs/>
          <w:szCs w:val="21"/>
        </w:rPr>
      </w:pPr>
      <w:r>
        <w:rPr>
          <w:rFonts w:hint="eastAsia" w:ascii="宋体" w:hAnsi="宋体" w:cs="宋体"/>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Cs/>
                <w:szCs w:val="21"/>
              </w:rPr>
            </w:pPr>
            <w:r>
              <w:rPr>
                <w:rFonts w:hint="eastAsia" w:ascii="仿宋" w:hAnsi="仿宋" w:eastAsia="仿宋"/>
                <w:bCs/>
                <w:szCs w:val="21"/>
              </w:rPr>
              <w:t>序号</w:t>
            </w:r>
          </w:p>
        </w:tc>
        <w:tc>
          <w:tcPr>
            <w:tcW w:w="1476" w:type="dxa"/>
            <w:vAlign w:val="center"/>
          </w:tcPr>
          <w:p>
            <w:pPr>
              <w:widowControl/>
              <w:jc w:val="center"/>
              <w:rPr>
                <w:rFonts w:ascii="仿宋" w:hAnsi="仿宋" w:eastAsia="仿宋"/>
                <w:bCs/>
                <w:szCs w:val="21"/>
              </w:rPr>
            </w:pPr>
            <w:r>
              <w:rPr>
                <w:rFonts w:hint="eastAsia" w:ascii="仿宋" w:hAnsi="仿宋" w:eastAsia="仿宋"/>
                <w:bCs/>
                <w:szCs w:val="21"/>
              </w:rPr>
              <w:t>货物名称</w:t>
            </w:r>
          </w:p>
        </w:tc>
        <w:tc>
          <w:tcPr>
            <w:tcW w:w="5986" w:type="dxa"/>
            <w:vAlign w:val="center"/>
          </w:tcPr>
          <w:p>
            <w:pPr>
              <w:jc w:val="center"/>
              <w:rPr>
                <w:rFonts w:ascii="仿宋" w:hAnsi="仿宋" w:eastAsia="仿宋"/>
                <w:bCs/>
                <w:szCs w:val="21"/>
              </w:rPr>
            </w:pPr>
            <w:r>
              <w:rPr>
                <w:rFonts w:hint="eastAsia" w:ascii="仿宋" w:hAnsi="仿宋" w:eastAsia="仿宋"/>
                <w:bCs/>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widowControl/>
              <w:jc w:val="center"/>
              <w:rPr>
                <w:rFonts w:hint="eastAsia" w:ascii="宋体" w:hAnsi="宋体" w:eastAsia="宋体" w:cs="宋体"/>
                <w:bCs/>
                <w:szCs w:val="21"/>
                <w:lang w:val="en-US" w:eastAsia="zh-CN"/>
              </w:rPr>
            </w:pPr>
            <w:r>
              <w:rPr>
                <w:rFonts w:hint="eastAsia" w:ascii="宋体" w:hAnsi="宋体" w:cs="宋体"/>
                <w:color w:val="000000"/>
                <w:kern w:val="0"/>
                <w:szCs w:val="21"/>
                <w:lang w:val="en-US" w:eastAsia="zh-CN"/>
              </w:rPr>
              <w:t>1</w:t>
            </w:r>
          </w:p>
        </w:tc>
        <w:tc>
          <w:tcPr>
            <w:tcW w:w="1476" w:type="dxa"/>
            <w:vMerge w:val="restart"/>
            <w:vAlign w:val="center"/>
          </w:tcPr>
          <w:p>
            <w:pPr>
              <w:widowControl w:val="0"/>
              <w:jc w:val="both"/>
              <w:rPr>
                <w:rFonts w:ascii="仿宋" w:hAnsi="仿宋" w:eastAsia="仿宋" w:cs="Times New Roman"/>
                <w:b/>
                <w:kern w:val="2"/>
                <w:sz w:val="21"/>
                <w:szCs w:val="21"/>
                <w:lang w:val="en-US" w:eastAsia="zh-CN" w:bidi="ar-SA"/>
              </w:rPr>
            </w:pPr>
            <w:r>
              <w:rPr>
                <w:rFonts w:hint="eastAsia" w:ascii="Times New Roman" w:hAnsi="Times New Roman" w:eastAsia="宋体" w:cs="Times New Roman"/>
                <w:b w:val="0"/>
                <w:bCs w:val="0"/>
                <w:color w:val="auto"/>
                <w:kern w:val="2"/>
                <w:szCs w:val="24"/>
              </w:rPr>
              <w:t>信创云服务平台</w:t>
            </w:r>
          </w:p>
        </w:tc>
        <w:tc>
          <w:tcPr>
            <w:tcW w:w="5986" w:type="dxa"/>
            <w:vAlign w:val="center"/>
          </w:tcPr>
          <w:p>
            <w:pPr>
              <w:widowControl w:val="0"/>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1、平台主要功能有：云主机管理、镜像管理、网络管理、存储卷功能、计算资源管理、用户配额管理，实训环境管理，资源包管理。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widowControl/>
              <w:jc w:val="left"/>
              <w:rPr>
                <w:rFonts w:hint="eastAsia" w:ascii="宋体" w:hAnsi="宋体" w:eastAsia="宋体" w:cs="宋体"/>
                <w:bCs/>
                <w:szCs w:val="21"/>
                <w:lang w:val="en-US" w:eastAsia="zh-CN"/>
              </w:rPr>
            </w:pPr>
          </w:p>
        </w:tc>
        <w:tc>
          <w:tcPr>
            <w:tcW w:w="1476" w:type="dxa"/>
            <w:vMerge w:val="continue"/>
            <w:vAlign w:val="center"/>
          </w:tcPr>
          <w:p>
            <w:pPr>
              <w:rPr>
                <w:rFonts w:ascii="仿宋" w:hAnsi="仿宋" w:eastAsia="仿宋" w:cs="Times New Roman"/>
                <w:b/>
                <w:kern w:val="2"/>
                <w:sz w:val="21"/>
                <w:szCs w:val="21"/>
                <w:lang w:val="en-US" w:eastAsia="zh-CN" w:bidi="ar-SA"/>
              </w:rPr>
            </w:pPr>
          </w:p>
        </w:tc>
        <w:tc>
          <w:tcPr>
            <w:tcW w:w="5986" w:type="dxa"/>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2、云主机管理功能支持用户查看实训环境详情、所属用户及节点信息，实时展示环境状态，确保随时掌握环境动态，用户可直接通过云主机管理功能打开环境控制台进行远程管理与操作。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3、提供了用户在云主机环境区以下功能：存储卷的配置与管理、端口映射的设置以及网络接口的配置。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4、存储卷信息功能支持用户创建自定义大小的存储卷，实时显示创建状态并提供驱动器号，同时允许用户进行脱机或扩展操作。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5、▲端口映射功能支持用户创建TCP和UDP两种端口协议的映射，内置常用协议选项如SSH、Telnet、RDP、HTTP等，以满足常见应用需求，同时允许用户自定义端口号，此外，该功能还支持同时多端口号映射，提供产品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6、网络接口功能支持在云主机使用状态下创建自定义IP地址，并提供接口信息、MAC地址及端口状态等详细参数，同时用户还可以对网络接口进行移除操作。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7、▲镜像管理系统支持qcow、qcow2、raw等多种格式文件，兼容x86和arm架构，支持镜像克隆和高级属性设置。系统兼容多种磁盘、光驱、网卡和显卡类型，同时支持Windows、Linux等操作系统及BIOS、UEFI等固件类型，提供产品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8、▲支持对单个镜像文件系统进行密码随机化处理，增强系统的安全性，同时允许用户添加网络规则，以便定制网络访问权限；还提供维护指令集，方便对系统进行日常维护，提供产品功能截图并盖章。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9、提供了实训环境配置功能，用户可以灵活地进行IP地址分配，并自定义地址池方位，该功能还支持网络名称、物理网络、VLAN号、外部网络、子网网段、网关等详细网络参数的设置，网络需求设置不仅支持IPv4协议，还兼容IPv6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10、计算资源管理可对实训环境的CPU核心数，内存大小，磁盘大小进行自定义设置，能够对资源名称、编辑、添加、删除操作。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11、▲用户配额管理可对云主机数量、存储卷数量、存储卷使用空间、环境过期时长、环境续期时限进行限制管理，提供产品功能截图并盖章。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12、支持云主机的批量创建与删除，并且云主机的启动时间达到秒级。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13、实训环境管理工具能够实现对镜像文件、计算资源及网络管理等要素的自定义关联配置，支持用户实训环境的快速克隆操作。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14、▲资源包管理支持上传zip，tar，iso格式文件,支持多种文件系统，包含fat32、exfat、ext2、ext3、ext4，提供产品功能截图并盖章。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15、提供查看系统负载的情况，能够查看到最近1分钟、10分钟、15分钟三个时间节点的平均负载情况。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16、提供查看后台任务情况，精确到待处理任务数、当前处理任务数、完成任务数出错任务数量。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17、提供查看I/O状况，能够查看到当前系统十分钟内磁盘读取、磁盘写入、网络接收、网络发送四种类型的收发情况，并以折线统计图结合时间和速度（KB/s为单位）动态展示。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18、硬件平台高度为2U，CPU核心主频≥2.4GHz，CPU数量≥2颗CPU，每颗处理器≥32核，配置内存容量≥64GB DDR4 RDIMM内存，单根内存容量≥32GB;硬盘容量及数目：配置≥480GB SATA/SAS SSD 企业级。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2</w:t>
            </w:r>
          </w:p>
        </w:tc>
        <w:tc>
          <w:tcPr>
            <w:tcW w:w="1476" w:type="dxa"/>
            <w:vMerge w:val="restart"/>
            <w:vAlign w:val="center"/>
          </w:tcPr>
          <w:p>
            <w:pPr>
              <w:widowControl/>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信创云终端</w:t>
            </w: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1、提供类似Windows桌面操作系统的图形化人机操作UI界面，具有良好的用户操作体验，窗口包括标题栏、菜单栏、状态栏等，支持桌面右键刷新，提供夜间模式主题等。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2、支持火狐或奇安信或360浏览器;提供自研软件，包括视频播放器、文件保护箱、截图软件、刻录软件、语音助手和系统助手，具有图形化粉碎工具。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3、系统默认提供备份还原工具，支持数据备份、数据还原，支持系统全量备份、系统增量备份、网络同传，提供一键还原、一键Ghost功能。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4、提供安全中心管控工具，提供图形化应用执行控制工具，具有检查应用程序完整性、来源等功能；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5、▲内置GIMP、minicom等技术软件，提供包含以上参数内容的产品功能截图。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6、系统提供图形化账号安全配置工具，可支持图形化配置密码复杂度，包括用户名校验、长度、字符、账号锁定配置等。并提供相关功能截图。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7、系统可提供安全增强组件，支持增加三权分立、白名单控制等安全功能。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8、多环境多镜像管理：客户端支持国产麒麟、中兴新支点、深度、UOS等国产Linux操作系统，可同时获得多种教学实验环境。支持在已有镜像文件的基础上进行容量扩充，并且不会损坏原有镜像文件的内容。客户端可按管理策略启动并运行某几个或所有虚拟桌面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9、 多网络与多系统：支持WIFI/4G网络的部署与更新桌面。满足学校使用WIFI进行部署的使用场景，简化网络结构。系统支持一键打包windows\Linux系统镜像。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10、脱机恢复：支持使用U盘/移动硬盘在脱机的情况下（完全没有网络）脱机恢复桌面。支持打印机管理功能，客户端可上传多种打印机驱动并支持多种打印机操作，客户端最后一次上传的打印机作为计算机默认打印机。缓存采用稀疏缓存方式，缓存占用空间与镜像大小一致，剩余磁盘空间为实际剩余空间大小。支持全局trim, 极大减少写入负担，同时允许SSD更好地在后台预删除闲置的数据块，以便让这些数据块可以更快地预备新的写入。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11、支持多媒体教学管理软件，可以将教师计算机的屏幕广播给学生机,教师麦克风声音也可以同步被广播到客户机.学生演示：教师可以选择某个学生，令其广播计算机屏幕做演示。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szCs w:val="21"/>
                <w:lang w:val="en-US" w:eastAsia="zh-CN"/>
              </w:rPr>
            </w:pPr>
          </w:p>
        </w:tc>
        <w:tc>
          <w:tcPr>
            <w:tcW w:w="1476" w:type="dxa"/>
            <w:vMerge w:val="continue"/>
          </w:tcPr>
          <w:p>
            <w:pPr>
              <w:rPr>
                <w:rFonts w:ascii="仿宋" w:hAnsi="仿宋" w:eastAsia="仿宋" w:cs="Times New Roman"/>
                <w:b/>
                <w:kern w:val="2"/>
                <w:sz w:val="21"/>
                <w:szCs w:val="21"/>
                <w:lang w:val="en-US" w:eastAsia="zh-CN" w:bidi="ar-SA"/>
              </w:rPr>
            </w:pPr>
          </w:p>
        </w:tc>
        <w:tc>
          <w:tcPr>
            <w:tcW w:w="0" w:type="auto"/>
            <w:vAlign w:val="center"/>
          </w:tcPr>
          <w:p>
            <w:pPr>
              <w:widowControl w:val="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rPr>
              <w:t>12、主频≥2.3GHz，核心数≥8核,内存≥16GB DDR4,硬盘≥256G SSD,插槽≥2个PCIE X8，1个PCIE X1插槽</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numPr>
                <w:ilvl w:val="0"/>
                <w:numId w:val="3"/>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免费保修期</w:t>
            </w:r>
          </w:p>
        </w:tc>
        <w:tc>
          <w:tcPr>
            <w:tcW w:w="6158" w:type="dxa"/>
          </w:tcPr>
          <w:p>
            <w:pPr>
              <w:rPr>
                <w:rFonts w:ascii="宋体" w:hAnsi="宋体" w:cs="宋体"/>
              </w:rPr>
            </w:pPr>
            <w:r>
              <w:rPr>
                <w:rFonts w:hint="eastAsia" w:ascii="宋体" w:hAnsi="宋体" w:cs="宋体"/>
              </w:rPr>
              <w:t>货物免费保修期三年，时间自最终验收合格并交付使用之日起计算。在质保期内，免费维修与更换所有零配件。中标人需每年定期免费提供软件升级及硬件维护等服务。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维修响应及故障解决时间</w:t>
            </w:r>
          </w:p>
        </w:tc>
        <w:tc>
          <w:tcPr>
            <w:tcW w:w="6158" w:type="dxa"/>
          </w:tcPr>
          <w:p>
            <w:pPr>
              <w:rPr>
                <w:rFonts w:ascii="宋体" w:hAnsi="宋体" w:cs="宋体"/>
              </w:rPr>
            </w:pPr>
            <w:r>
              <w:rPr>
                <w:rFonts w:hint="eastAsia" w:ascii="宋体" w:hAnsi="宋体" w:cs="宋体"/>
              </w:rPr>
              <w:t>在保修期内，一旦发生质量问题，投标人保证在接到通知24小时内赶到现场进行修理或更换。因维修不及时，而导致设备无法正常使用时，其保修时间随停机时间的长短而相应延长。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一般故障：到达现场时间：&lt;=8小时。</w:t>
            </w:r>
          </w:p>
          <w:p>
            <w:pPr>
              <w:rPr>
                <w:rFonts w:ascii="宋体" w:hAnsi="宋体" w:cs="宋体"/>
              </w:rPr>
            </w:pPr>
            <w:r>
              <w:rPr>
                <w:rFonts w:hint="eastAsia" w:ascii="宋体" w:hAnsi="宋体" w:cs="宋体"/>
              </w:rPr>
              <w:t>重大故障：到达现场时间：&lt;=4小时。</w:t>
            </w:r>
          </w:p>
          <w:p>
            <w:pPr>
              <w:rPr>
                <w:rFonts w:ascii="宋体" w:hAnsi="宋体" w:cs="宋体"/>
              </w:rPr>
            </w:pPr>
            <w:r>
              <w:rPr>
                <w:rFonts w:hint="eastAsia" w:ascii="宋体" w:hAnsi="宋体" w:cs="宋体"/>
              </w:rPr>
              <w:t>系统故障：到达现场时间：&lt;=2小时。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★关于交货</w:t>
            </w:r>
          </w:p>
        </w:tc>
        <w:tc>
          <w:tcPr>
            <w:tcW w:w="6158" w:type="dxa"/>
          </w:tcPr>
          <w:p>
            <w:pPr>
              <w:rPr>
                <w:rFonts w:ascii="宋体" w:hAnsi="宋体" w:cs="宋体"/>
              </w:rPr>
            </w:pPr>
            <w:r>
              <w:rPr>
                <w:rFonts w:hint="eastAsia" w:ascii="宋体" w:hAnsi="宋体" w:cs="宋体"/>
              </w:rPr>
              <w:t>1.签订合同之日起</w:t>
            </w:r>
            <w:r>
              <w:rPr>
                <w:rFonts w:hint="eastAsia" w:ascii="宋体" w:hAnsi="宋体" w:cs="宋体"/>
                <w:lang w:val="en-US" w:eastAsia="zh-CN"/>
              </w:rPr>
              <w:t>30</w:t>
            </w:r>
            <w:r>
              <w:rPr>
                <w:rFonts w:hint="eastAsia" w:ascii="宋体" w:hAnsi="宋体" w:cs="宋体"/>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关于验收</w:t>
            </w:r>
          </w:p>
        </w:tc>
        <w:tc>
          <w:tcPr>
            <w:tcW w:w="6158" w:type="dxa"/>
          </w:tcPr>
          <w:p>
            <w:pPr>
              <w:rPr>
                <w:rFonts w:ascii="宋体" w:hAnsi="宋体" w:cs="宋体"/>
              </w:rPr>
            </w:pPr>
            <w:r>
              <w:rPr>
                <w:rFonts w:hint="eastAsia" w:ascii="宋体" w:hAnsi="宋体" w:cs="宋体"/>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tcPr>
          <w:p>
            <w:pPr>
              <w:rPr>
                <w:rFonts w:ascii="宋体" w:hAnsi="宋体" w:cs="宋体"/>
              </w:rPr>
            </w:pPr>
          </w:p>
        </w:tc>
        <w:tc>
          <w:tcPr>
            <w:tcW w:w="6158" w:type="dxa"/>
          </w:tcPr>
          <w:p>
            <w:pPr>
              <w:rPr>
                <w:rFonts w:ascii="宋体" w:hAnsi="宋体" w:cs="宋体"/>
              </w:rPr>
            </w:pPr>
            <w:r>
              <w:rPr>
                <w:rFonts w:hint="eastAsia" w:ascii="宋体" w:hAnsi="宋体" w:cs="宋体"/>
              </w:rPr>
              <w:t>2.当满足以下条件时，采购人才向中标人签发货物验收报告：</w:t>
            </w:r>
          </w:p>
          <w:p>
            <w:pPr>
              <w:rPr>
                <w:rFonts w:ascii="宋体" w:hAnsi="宋体" w:cs="宋体"/>
              </w:rPr>
            </w:pPr>
            <w:r>
              <w:rPr>
                <w:rFonts w:hint="eastAsia" w:ascii="宋体" w:hAnsi="宋体" w:cs="宋体"/>
              </w:rPr>
              <w:t>a、中标人已按照合同规定提供了全部产品及完整的技术资料。</w:t>
            </w:r>
          </w:p>
          <w:p>
            <w:pPr>
              <w:rPr>
                <w:rFonts w:ascii="宋体" w:hAnsi="宋体" w:cs="宋体"/>
              </w:rPr>
            </w:pPr>
            <w:r>
              <w:rPr>
                <w:rFonts w:hint="eastAsia" w:ascii="宋体" w:hAnsi="宋体" w:cs="宋体"/>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numPr>
                <w:ilvl w:val="0"/>
                <w:numId w:val="3"/>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关于付款</w:t>
            </w:r>
          </w:p>
        </w:tc>
        <w:tc>
          <w:tcPr>
            <w:tcW w:w="6158" w:type="dxa"/>
            <w:vAlign w:val="center"/>
          </w:tcPr>
          <w:p>
            <w:pPr>
              <w:rPr>
                <w:rFonts w:ascii="宋体" w:hAnsi="宋体" w:cs="宋体"/>
              </w:rPr>
            </w:pPr>
            <w:r>
              <w:rPr>
                <w:rFonts w:hint="eastAsia" w:ascii="宋体" w:hAnsi="宋体" w:cs="宋体"/>
              </w:rPr>
              <w:t>按合同约定交货、安装、调试及试运行，并经甲方组织的验收合格后，甲方在收到乙方付款申请及付款所需要的材料后15日内，甲方向乙方一次性付清合同款项。</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第三章投标文件格式</w:t>
      </w:r>
    </w:p>
    <w:p>
      <w:pPr>
        <w:rPr>
          <w:rStyle w:val="23"/>
          <w:rFonts w:ascii="宋体" w:hAnsi="宋体" w:eastAsia="宋体" w:cs="宋体"/>
          <w:sz w:val="28"/>
          <w:szCs w:val="28"/>
        </w:rPr>
      </w:pPr>
      <w:r>
        <w:rPr>
          <w:rStyle w:val="23"/>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ascii="宋体" w:hAnsi="宋体" w:cs="宋体"/>
          <w:sz w:val="24"/>
        </w:rPr>
      </w:pPr>
      <w:r>
        <w:rPr>
          <w:rFonts w:hint="eastAsia" w:ascii="宋体" w:hAnsi="宋体" w:cs="宋体"/>
          <w:sz w:val="24"/>
        </w:rPr>
        <w:t>10、技术保障措施</w:t>
      </w:r>
    </w:p>
    <w:p>
      <w:pPr>
        <w:rPr>
          <w:rFonts w:ascii="宋体" w:hAnsi="宋体" w:cs="宋体"/>
          <w:sz w:val="24"/>
        </w:rPr>
      </w:pPr>
      <w:r>
        <w:rPr>
          <w:rFonts w:hint="eastAsia" w:ascii="宋体" w:hAnsi="宋体" w:cs="宋体"/>
          <w:sz w:val="24"/>
        </w:rPr>
        <w:t>11、售后服务方案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投标单位公章：</w:t>
      </w:r>
    </w:p>
    <w:p>
      <w:pPr>
        <w:pStyle w:val="10"/>
      </w:pPr>
    </w:p>
    <w:p>
      <w:pPr>
        <w:pStyle w:val="4"/>
        <w:numPr>
          <w:ilvl w:val="0"/>
          <w:numId w:val="4"/>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有效日期：签发日期：单位：</w:t>
      </w:r>
    </w:p>
    <w:p>
      <w:pPr>
        <w:spacing w:line="360" w:lineRule="auto"/>
        <w:rPr>
          <w:rFonts w:ascii="宋体" w:hAnsi="宋体" w:cs="宋体"/>
          <w:szCs w:val="21"/>
        </w:rPr>
      </w:pPr>
      <w:r>
        <w:rPr>
          <w:rFonts w:hint="eastAsia" w:ascii="宋体" w:hAnsi="宋体" w:cs="宋体"/>
          <w:szCs w:val="21"/>
        </w:rPr>
        <w:t>附：代表人性别：年龄：身份证号码：</w:t>
      </w:r>
    </w:p>
    <w:p>
      <w:pPr>
        <w:spacing w:line="360" w:lineRule="auto"/>
        <w:rPr>
          <w:rFonts w:ascii="宋体" w:hAnsi="宋体" w:cs="宋体"/>
          <w:szCs w:val="21"/>
        </w:rPr>
      </w:pPr>
      <w:r>
        <w:rPr>
          <w:rFonts w:hint="eastAsia" w:ascii="宋体" w:hAnsi="宋体" w:cs="宋体"/>
          <w:szCs w:val="21"/>
        </w:rPr>
        <w:t>营业执照号码：经济性质：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2、内容必须填写真实、清楚，涂改无效，不得转让、买卖。</w:t>
      </w:r>
    </w:p>
    <w:p>
      <w:pPr>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深圳市第一职业技术学校</w:t>
      </w:r>
    </w:p>
    <w:p>
      <w:pPr>
        <w:numPr>
          <w:ilvl w:val="0"/>
          <w:numId w:val="5"/>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投标人：单位地址：</w:t>
      </w:r>
    </w:p>
    <w:p>
      <w:pPr>
        <w:spacing w:after="156" w:afterLines="50"/>
        <w:ind w:firstLine="440" w:firstLineChars="200"/>
        <w:rPr>
          <w:rFonts w:ascii="宋体" w:hAnsi="宋体" w:cs="宋体"/>
          <w:sz w:val="22"/>
          <w:szCs w:val="22"/>
        </w:rPr>
      </w:pPr>
      <w:r>
        <w:rPr>
          <w:rFonts w:hint="eastAsia" w:ascii="宋体" w:hAnsi="宋体" w:cs="宋体"/>
          <w:sz w:val="22"/>
          <w:szCs w:val="22"/>
        </w:rPr>
        <w:t>法定代表人或其委托代理人：</w:t>
      </w:r>
    </w:p>
    <w:p>
      <w:pPr>
        <w:spacing w:after="156" w:afterLines="50"/>
        <w:ind w:firstLine="440" w:firstLineChars="200"/>
        <w:rPr>
          <w:rFonts w:ascii="宋体" w:hAnsi="宋体" w:cs="宋体"/>
          <w:sz w:val="22"/>
          <w:szCs w:val="22"/>
        </w:rPr>
      </w:pPr>
      <w:r>
        <w:rPr>
          <w:rFonts w:hint="eastAsia" w:ascii="宋体" w:hAnsi="宋体" w:cs="宋体"/>
          <w:sz w:val="22"/>
          <w:szCs w:val="22"/>
        </w:rPr>
        <w:t>邮政编码：电话：传真：</w:t>
      </w:r>
    </w:p>
    <w:p>
      <w:pPr>
        <w:spacing w:after="156" w:afterLines="50"/>
        <w:ind w:firstLine="440" w:firstLineChars="200"/>
        <w:rPr>
          <w:rFonts w:ascii="宋体" w:hAnsi="宋体" w:cs="宋体"/>
          <w:sz w:val="22"/>
          <w:szCs w:val="22"/>
        </w:rPr>
      </w:pPr>
      <w:r>
        <w:rPr>
          <w:rFonts w:hint="eastAsia" w:ascii="宋体" w:hAnsi="宋体" w:cs="宋体"/>
          <w:sz w:val="22"/>
          <w:szCs w:val="22"/>
        </w:rPr>
        <w:t>日期：年月日</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8"/>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p>
    <w:p>
      <w:pPr>
        <w:rPr>
          <w:rFonts w:ascii="宋体" w:hAnsi="宋体" w:cs="宋体"/>
        </w:rPr>
      </w:pPr>
    </w:p>
    <w:p>
      <w:pPr>
        <w:pStyle w:val="4"/>
        <w:jc w:val="center"/>
        <w:rPr>
          <w:rFonts w:cs="宋体"/>
          <w:kern w:val="0"/>
          <w:szCs w:val="28"/>
        </w:rPr>
      </w:pPr>
      <w:r>
        <w:rPr>
          <w:rFonts w:hint="eastAsia" w:cs="宋体"/>
          <w:kern w:val="0"/>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cs="宋体"/>
          <w:kern w:val="0"/>
          <w:szCs w:val="28"/>
        </w:rPr>
      </w:pPr>
      <w:r>
        <w:rPr>
          <w:rFonts w:hint="eastAsia" w:cs="宋体"/>
          <w:kern w:val="0"/>
          <w:szCs w:val="28"/>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keepNext w:val="0"/>
        <w:keepLines w:val="0"/>
        <w:widowControl w:val="0"/>
        <w:suppressLineNumbers w:val="0"/>
        <w:spacing w:before="0" w:beforeAutospacing="0" w:after="0" w:afterAutospacing="0"/>
        <w:ind w:left="-78" w:leftChars="-37" w:right="-73" w:rightChars="-35"/>
        <w:jc w:val="left"/>
        <w:rPr>
          <w:rFonts w:hint="eastAsia" w:ascii="宋体" w:hAnsi="宋体" w:eastAsia="宋体" w:cs="宋体"/>
          <w:kern w:val="2"/>
          <w:sz w:val="24"/>
          <w:szCs w:val="24"/>
        </w:rPr>
      </w:pPr>
      <w:r>
        <w:rPr>
          <w:rFonts w:hint="eastAsia" w:ascii="宋体" w:hAnsi="宋体" w:eastAsia="宋体" w:cs="宋体"/>
          <w:szCs w:val="21"/>
          <w:lang w:val="en-US" w:eastAsia="zh-CN"/>
        </w:rPr>
        <w:t>1.</w:t>
      </w:r>
      <w:r>
        <w:rPr>
          <w:rFonts w:hint="eastAsia" w:ascii="宋体" w:hAnsi="宋体" w:eastAsia="宋体" w:cs="宋体"/>
          <w:kern w:val="2"/>
          <w:sz w:val="24"/>
          <w:szCs w:val="24"/>
          <w:lang w:val="en-US" w:eastAsia="zh-CN" w:bidi="ar"/>
        </w:rPr>
        <w:t>交货计划；</w:t>
      </w:r>
    </w:p>
    <w:p>
      <w:pPr>
        <w:keepNext w:val="0"/>
        <w:keepLines w:val="0"/>
        <w:widowControl w:val="0"/>
        <w:suppressLineNumbers w:val="0"/>
        <w:spacing w:before="0" w:beforeAutospacing="0" w:after="0" w:afterAutospacing="0"/>
        <w:ind w:left="-78" w:leftChars="-37" w:right="-73" w:rightChars="-3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 应急维修时间安排；</w:t>
      </w:r>
    </w:p>
    <w:p>
      <w:pPr>
        <w:keepNext w:val="0"/>
        <w:keepLines w:val="0"/>
        <w:widowControl w:val="0"/>
        <w:suppressLineNumbers w:val="0"/>
        <w:spacing w:before="0" w:beforeAutospacing="0" w:after="0" w:afterAutospacing="0"/>
        <w:ind w:left="-78" w:leftChars="-37" w:right="-73" w:rightChars="-35"/>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 质保期外的维修服务收费标准</w:t>
      </w:r>
    </w:p>
    <w:p>
      <w:pPr>
        <w:rPr>
          <w:rFonts w:ascii="宋体" w:hAnsi="宋体" w:cs="宋体"/>
          <w:szCs w:val="21"/>
        </w:rPr>
      </w:pPr>
    </w:p>
    <w:p>
      <w:pPr>
        <w:rPr>
          <w:rFonts w:ascii="宋体" w:hAnsi="宋体" w:cs="宋体"/>
          <w:b/>
          <w:szCs w:val="21"/>
        </w:rPr>
      </w:pPr>
      <w:r>
        <w:rPr>
          <w:rFonts w:hint="eastAsia" w:ascii="宋体" w:hAnsi="宋体" w:cs="宋体"/>
          <w:b/>
          <w:szCs w:val="21"/>
        </w:rPr>
        <w:t>（备注：该部分须与“</w:t>
      </w:r>
      <w:r>
        <w:rPr>
          <w:rFonts w:hint="eastAsia" w:ascii="宋体" w:hAnsi="宋体" w:cs="宋体"/>
          <w:b/>
          <w:szCs w:val="21"/>
          <w:lang w:val="en-US" w:eastAsia="zh-CN"/>
        </w:rPr>
        <w:t>技术部分</w:t>
      </w:r>
      <w:r>
        <w:rPr>
          <w:rFonts w:hint="eastAsia" w:ascii="宋体" w:hAnsi="宋体" w:cs="宋体"/>
          <w:b/>
          <w:szCs w:val="21"/>
        </w:rPr>
        <w:t>”承诺的内容相呼应，不得前后矛盾。）</w:t>
      </w:r>
    </w:p>
    <w:p>
      <w:pPr>
        <w:pStyle w:val="10"/>
        <w:ind w:firstLine="422"/>
        <w:rPr>
          <w:rFonts w:ascii="宋体" w:hAnsi="宋体" w:cs="宋体"/>
          <w:b/>
        </w:rPr>
      </w:pPr>
    </w:p>
    <w:p>
      <w:pPr>
        <w:pStyle w:val="5"/>
      </w:pPr>
    </w:p>
    <w:p>
      <w:pPr>
        <w:pStyle w:val="1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18C321E5"/>
    <w:multiLevelType w:val="singleLevel"/>
    <w:tmpl w:val="18C321E5"/>
    <w:lvl w:ilvl="0" w:tentative="0">
      <w:start w:val="1"/>
      <w:numFmt w:val="decimal"/>
      <w:lvlText w:val="%1."/>
      <w:lvlJc w:val="left"/>
      <w:pPr>
        <w:ind w:left="635" w:hanging="425"/>
      </w:pPr>
      <w:rPr>
        <w:rFonts w:hint="default"/>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54EE7431"/>
    <w:multiLevelType w:val="singleLevel"/>
    <w:tmpl w:val="54EE7431"/>
    <w:lvl w:ilvl="0" w:tentative="0">
      <w:start w:val="1"/>
      <w:numFmt w:val="chineseCounting"/>
      <w:suff w:val="nothing"/>
      <w:lvlText w:val="（%1）"/>
      <w:lvlJc w:val="left"/>
      <w:rPr>
        <w:rFonts w:hint="eastAsia"/>
      </w:rPr>
    </w:lvl>
  </w:abstractNum>
  <w:abstractNum w:abstractNumId="4">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756e16de-e7df-4634-93e2-c7ce6f72b5f4"/>
  </w:docVars>
  <w:rsids>
    <w:rsidRoot w:val="008E06EA"/>
    <w:rsid w:val="000958E5"/>
    <w:rsid w:val="001338D7"/>
    <w:rsid w:val="001543A8"/>
    <w:rsid w:val="002B1235"/>
    <w:rsid w:val="002D1886"/>
    <w:rsid w:val="00390C90"/>
    <w:rsid w:val="003C1F11"/>
    <w:rsid w:val="003C75D3"/>
    <w:rsid w:val="00414C11"/>
    <w:rsid w:val="005821A2"/>
    <w:rsid w:val="006E43F1"/>
    <w:rsid w:val="0079565D"/>
    <w:rsid w:val="007F151F"/>
    <w:rsid w:val="008E06EA"/>
    <w:rsid w:val="008E5767"/>
    <w:rsid w:val="00960C58"/>
    <w:rsid w:val="009C137A"/>
    <w:rsid w:val="00A151C1"/>
    <w:rsid w:val="00A2554D"/>
    <w:rsid w:val="00A72C32"/>
    <w:rsid w:val="00AF491E"/>
    <w:rsid w:val="00B626E5"/>
    <w:rsid w:val="00BD34F2"/>
    <w:rsid w:val="00C815FC"/>
    <w:rsid w:val="00CC7DC0"/>
    <w:rsid w:val="00CF7933"/>
    <w:rsid w:val="00D02822"/>
    <w:rsid w:val="00D22651"/>
    <w:rsid w:val="00D415BF"/>
    <w:rsid w:val="00D7132D"/>
    <w:rsid w:val="00DF0DCB"/>
    <w:rsid w:val="00E645A8"/>
    <w:rsid w:val="00F553C3"/>
    <w:rsid w:val="00F820B8"/>
    <w:rsid w:val="03BE6FC6"/>
    <w:rsid w:val="04224B47"/>
    <w:rsid w:val="0A124452"/>
    <w:rsid w:val="0AF17FEF"/>
    <w:rsid w:val="14A050D5"/>
    <w:rsid w:val="204C0AB0"/>
    <w:rsid w:val="231F3C6E"/>
    <w:rsid w:val="26B82091"/>
    <w:rsid w:val="29D55F6E"/>
    <w:rsid w:val="29E1282E"/>
    <w:rsid w:val="303B1EF9"/>
    <w:rsid w:val="3C602787"/>
    <w:rsid w:val="3DD61CDB"/>
    <w:rsid w:val="3EA4277B"/>
    <w:rsid w:val="411F02FE"/>
    <w:rsid w:val="4E273257"/>
    <w:rsid w:val="508A5624"/>
    <w:rsid w:val="52B37A56"/>
    <w:rsid w:val="52F106D1"/>
    <w:rsid w:val="565A0366"/>
    <w:rsid w:val="56D92D97"/>
    <w:rsid w:val="65166159"/>
    <w:rsid w:val="660F7458"/>
    <w:rsid w:val="665004E8"/>
    <w:rsid w:val="685130EA"/>
    <w:rsid w:val="6BBD7F7B"/>
    <w:rsid w:val="6D5C69C9"/>
    <w:rsid w:val="6EE92007"/>
    <w:rsid w:val="6F6B4296"/>
    <w:rsid w:val="772174F0"/>
    <w:rsid w:val="7A450189"/>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szCs w:val="28"/>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unhideWhenUsed/>
    <w:qFormat/>
    <w:uiPriority w:val="99"/>
    <w:pPr>
      <w:spacing w:after="120"/>
      <w:ind w:left="420" w:leftChars="200"/>
    </w:pPr>
    <w:rPr>
      <w:rFonts w:ascii="Calibri" w:hAnsi="Calibri"/>
      <w:szCs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styleId="18">
    <w:name w:val="FollowedHyperlink"/>
    <w:basedOn w:val="16"/>
    <w:qFormat/>
    <w:uiPriority w:val="0"/>
    <w:rPr>
      <w:color w:val="954F72"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styleId="20">
    <w:name w:val="annotation reference"/>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表格文字"/>
    <w:basedOn w:val="1"/>
    <w:qFormat/>
    <w:uiPriority w:val="99"/>
    <w:pPr>
      <w:spacing w:before="25" w:after="25"/>
    </w:pPr>
    <w:rPr>
      <w:spacing w:val="10"/>
      <w:sz w:val="24"/>
    </w:rPr>
  </w:style>
  <w:style w:type="character" w:customStyle="1" w:styleId="23">
    <w:name w:val="标题 3 Char"/>
    <w:qFormat/>
    <w:uiPriority w:val="0"/>
    <w:rPr>
      <w:rFonts w:ascii="黑体" w:eastAsia="黑体"/>
      <w:bCs/>
      <w:sz w:val="30"/>
    </w:rPr>
  </w:style>
  <w:style w:type="character" w:customStyle="1" w:styleId="24">
    <w:name w:val="未处理的提及1"/>
    <w:basedOn w:val="16"/>
    <w:semiHidden/>
    <w:unhideWhenUsed/>
    <w:qFormat/>
    <w:uiPriority w:val="99"/>
    <w:rPr>
      <w:color w:val="605E5C"/>
      <w:shd w:val="clear" w:color="auto" w:fill="E1DFDD"/>
    </w:rPr>
  </w:style>
  <w:style w:type="paragraph" w:styleId="2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9672</Words>
  <Characters>10040</Characters>
  <Lines>1</Lines>
  <Paragraphs>1</Paragraphs>
  <TotalTime>1</TotalTime>
  <ScaleCrop>false</ScaleCrop>
  <LinksUpToDate>false</LinksUpToDate>
  <CharactersWithSpaces>10087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2024-04-12T02:34:00Z</dcterms:created>
  <dc:creator>Administrator</dc:creator>
  <cp:lastModifiedBy>010</cp:lastModifiedBy>
  <dcterms:modified xsi:type="dcterms:W3CDTF">2024-11-21T09:30:24Z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FC70DC795F334600BF8830927943398A_13</vt:lpwstr>
  </property>
</Properties>
</file>