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lang w:eastAsia="zh-CN"/>
        </w:rPr>
        <w:t>无人机操控与维护实训平台</w:t>
      </w:r>
      <w:r>
        <w:rPr>
          <w:rFonts w:hint="eastAsia" w:ascii="华文中宋" w:hAnsi="华文中宋" w:eastAsia="华文中宋"/>
          <w:b/>
          <w:bCs/>
          <w:sz w:val="48"/>
          <w:szCs w:val="40"/>
        </w:rPr>
        <w:t>采购项目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lang w:val="en-US" w:eastAsia="zh-CN"/>
        </w:rPr>
        <w:t>2024</w:t>
      </w:r>
      <w:r>
        <w:rPr>
          <w:rFonts w:hint="eastAsia" w:ascii="黑体" w:hAnsi="华文中宋" w:eastAsia="黑体" w:cs="Arial"/>
          <w:sz w:val="32"/>
          <w:szCs w:val="32"/>
        </w:rPr>
        <w:t>年</w:t>
      </w:r>
      <w:r>
        <w:rPr>
          <w:rFonts w:hint="eastAsia" w:ascii="黑体" w:hAnsi="华文中宋" w:eastAsia="黑体" w:cs="Arial"/>
          <w:sz w:val="32"/>
          <w:szCs w:val="32"/>
          <w:lang w:val="en-US" w:eastAsia="zh-CN"/>
        </w:rPr>
        <w:t>11</w:t>
      </w:r>
      <w:r>
        <w:rPr>
          <w:rFonts w:hint="eastAsia" w:ascii="黑体" w:hAnsi="华文中宋" w:eastAsia="黑体" w:cs="Arial"/>
          <w:sz w:val="32"/>
          <w:szCs w:val="32"/>
        </w:rPr>
        <w:t>月</w:t>
      </w:r>
      <w:r>
        <w:rPr>
          <w:rFonts w:hint="eastAsia" w:ascii="宋体" w:hAnsi="宋体" w:cs="宋体"/>
          <w:sz w:val="32"/>
          <w:szCs w:val="32"/>
        </w:rPr>
        <w:br w:type="page"/>
      </w:r>
    </w:p>
    <w:p>
      <w:pPr>
        <w:pStyle w:val="3"/>
      </w:pPr>
      <w:r>
        <w:rPr>
          <w:rFonts w:hint="eastAsia"/>
        </w:rPr>
        <w:t>第一章项目评审信息</w:t>
      </w:r>
    </w:p>
    <w:p>
      <w:pPr>
        <w:adjustRightInd w:val="0"/>
        <w:snapToGrid w:val="0"/>
        <w:spacing w:line="360" w:lineRule="auto"/>
        <w:rPr>
          <w:rFonts w:ascii="宋体" w:hAnsi="宋体" w:cs="宋体"/>
          <w:szCs w:val="21"/>
        </w:rPr>
      </w:pPr>
      <w:r>
        <w:rPr>
          <w:rFonts w:hint="eastAsia" w:ascii="宋体" w:hAnsi="宋体" w:cs="宋体"/>
          <w:szCs w:val="21"/>
        </w:rPr>
        <w:t>项目名称：深圳市第一职业技术学校</w:t>
      </w:r>
      <w:r>
        <w:rPr>
          <w:rFonts w:hint="eastAsia" w:ascii="宋体" w:hAnsi="宋体" w:cs="宋体"/>
          <w:szCs w:val="21"/>
          <w:lang w:eastAsia="zh-CN"/>
        </w:rPr>
        <w:t>无人机操控与维护实训平台</w:t>
      </w:r>
      <w:r>
        <w:rPr>
          <w:rFonts w:hint="eastAsia" w:ascii="宋体" w:hAnsi="宋体" w:cs="宋体"/>
          <w:szCs w:val="21"/>
        </w:rPr>
        <w:t>采购项目</w:t>
      </w:r>
    </w:p>
    <w:p>
      <w:pPr>
        <w:adjustRightInd w:val="0"/>
        <w:snapToGrid w:val="0"/>
        <w:spacing w:line="360" w:lineRule="auto"/>
        <w:rPr>
          <w:rFonts w:ascii="宋体" w:hAnsi="宋体" w:cs="宋体"/>
          <w:szCs w:val="21"/>
        </w:rPr>
      </w:pPr>
      <w:r>
        <w:rPr>
          <w:rFonts w:hint="eastAsia" w:ascii="宋体" w:hAnsi="宋体" w:cs="宋体"/>
          <w:szCs w:val="21"/>
        </w:rPr>
        <w:t>项目类型：货物类</w:t>
      </w:r>
    </w:p>
    <w:p>
      <w:pPr>
        <w:adjustRightInd w:val="0"/>
        <w:snapToGrid w:val="0"/>
        <w:spacing w:line="360" w:lineRule="auto"/>
        <w:rPr>
          <w:rFonts w:ascii="宋体" w:hAnsi="宋体" w:cs="宋体"/>
          <w:szCs w:val="21"/>
        </w:rPr>
      </w:pPr>
      <w:r>
        <w:rPr>
          <w:rFonts w:hint="eastAsia" w:ascii="宋体" w:hAnsi="宋体" w:cs="宋体"/>
          <w:szCs w:val="21"/>
        </w:rPr>
        <w:t>采购方式：公开招标</w:t>
      </w:r>
    </w:p>
    <w:p>
      <w:pPr>
        <w:adjustRightInd w:val="0"/>
        <w:snapToGrid w:val="0"/>
        <w:spacing w:line="360" w:lineRule="auto"/>
        <w:rPr>
          <w:rFonts w:hint="eastAsia" w:ascii="宋体" w:hAnsi="宋体" w:cs="宋体"/>
          <w:szCs w:val="21"/>
        </w:rPr>
      </w:pPr>
      <w:r>
        <w:rPr>
          <w:rFonts w:hint="eastAsia" w:ascii="宋体" w:hAnsi="宋体" w:cs="宋体"/>
          <w:szCs w:val="21"/>
        </w:rPr>
        <w:t>货币类型：人民币</w:t>
      </w:r>
    </w:p>
    <w:p>
      <w:pPr>
        <w:pStyle w:val="21"/>
        <w:rPr>
          <w:rFonts w:hint="default" w:eastAsia="宋体"/>
          <w:lang w:val="en-US" w:eastAsia="zh-CN"/>
        </w:rPr>
      </w:pPr>
      <w:r>
        <w:rPr>
          <w:rFonts w:hint="eastAsia" w:ascii="宋体" w:hAnsi="宋体" w:cs="宋体"/>
          <w:szCs w:val="21"/>
          <w:lang w:val="en-US" w:eastAsia="zh-CN"/>
        </w:rPr>
        <w:t>预算金额：19.2万</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综合评分法</w:t>
      </w:r>
      <w:r>
        <w:rPr>
          <w:rFonts w:hint="eastAsia" w:ascii="宋体" w:hAnsi="宋体" w:cs="宋体"/>
          <w:szCs w:val="21"/>
        </w:rPr>
        <w:t>。</w:t>
      </w:r>
    </w:p>
    <w:p>
      <w:pPr>
        <w:pStyle w:val="6"/>
        <w:jc w:val="both"/>
        <w:rPr>
          <w:rFonts w:cs="宋体"/>
        </w:rPr>
      </w:pPr>
      <w:r>
        <w:rPr>
          <w:rFonts w:hint="eastAsia" w:cs="宋体"/>
        </w:rPr>
        <w:t>评标方法</w:t>
      </w:r>
    </w:p>
    <w:tbl>
      <w:tblPr>
        <w:tblStyle w:val="13"/>
        <w:tblW w:w="9078" w:type="dxa"/>
        <w:jc w:val="center"/>
        <w:tblCellSpacing w:w="0" w:type="dxa"/>
        <w:tblLayout w:type="autofit"/>
        <w:tblCellMar>
          <w:top w:w="45" w:type="dxa"/>
          <w:left w:w="45" w:type="dxa"/>
          <w:bottom w:w="45" w:type="dxa"/>
          <w:right w:w="45" w:type="dxa"/>
        </w:tblCellMar>
      </w:tblPr>
      <w:tblGrid>
        <w:gridCol w:w="8685"/>
        <w:gridCol w:w="393"/>
      </w:tblGrid>
      <w:tr>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w:t>
            </w:r>
          </w:p>
          <w:p>
            <w:pPr>
              <w:ind w:firstLine="420"/>
              <w:rPr>
                <w:szCs w:val="21"/>
              </w:rPr>
            </w:pPr>
            <w:r>
              <w:rPr>
                <w:szCs w:val="21"/>
              </w:rPr>
              <w:t>价格分计算方法：</w:t>
            </w:r>
          </w:p>
          <w:p>
            <w:pPr>
              <w:pStyle w:val="12"/>
              <w:widowControl/>
              <w:spacing w:line="324" w:lineRule="auto"/>
              <w:ind w:left="420"/>
              <w:rPr>
                <w:sz w:val="21"/>
                <w:szCs w:val="21"/>
              </w:rPr>
            </w:pPr>
            <w:r>
              <w:rPr>
                <w:sz w:val="21"/>
                <w:szCs w:val="21"/>
              </w:rPr>
              <w:t>采用低价优先法计算，即满足招标文件要求且投标价格最低的投标报价为评标基准价，其价格分为满分。其他投标人的价格分统一按照下列公式计算：</w:t>
            </w:r>
          </w:p>
          <w:p>
            <w:pPr>
              <w:pStyle w:val="12"/>
              <w:widowControl/>
              <w:spacing w:line="324" w:lineRule="auto"/>
              <w:ind w:left="420"/>
              <w:rPr>
                <w:sz w:val="21"/>
                <w:szCs w:val="21"/>
              </w:rPr>
            </w:pPr>
            <w:r>
              <w:rPr>
                <w:sz w:val="21"/>
                <w:szCs w:val="21"/>
              </w:rPr>
              <w:t>投标报价得分=(评标基准价／投标报价)×100</w:t>
            </w:r>
          </w:p>
          <w:p>
            <w:pPr>
              <w:pStyle w:val="12"/>
              <w:widowControl/>
              <w:spacing w:line="324" w:lineRule="auto"/>
              <w:ind w:left="420"/>
              <w:rPr>
                <w:sz w:val="21"/>
                <w:szCs w:val="21"/>
              </w:rPr>
            </w:pPr>
            <w:r>
              <w:rPr>
                <w:sz w:val="21"/>
                <w:szCs w:val="21"/>
              </w:rPr>
              <w:t>评标总得分＝F1×A1＋F2×A2＋……＋Fn×An</w:t>
            </w:r>
          </w:p>
          <w:p>
            <w:pPr>
              <w:pStyle w:val="12"/>
              <w:widowControl/>
              <w:spacing w:line="324" w:lineRule="auto"/>
              <w:ind w:left="420"/>
              <w:rPr>
                <w:sz w:val="21"/>
                <w:szCs w:val="21"/>
              </w:rPr>
            </w:pPr>
            <w:r>
              <w:rPr>
                <w:sz w:val="21"/>
                <w:szCs w:val="21"/>
              </w:rPr>
              <w:t>F1、F2……Fn分别为各项评审因素的得分；</w:t>
            </w:r>
          </w:p>
          <w:p>
            <w:pPr>
              <w:pStyle w:val="12"/>
              <w:widowControl/>
              <w:spacing w:line="324" w:lineRule="auto"/>
              <w:ind w:left="420"/>
              <w:rPr>
                <w:sz w:val="21"/>
                <w:szCs w:val="21"/>
              </w:rPr>
            </w:pPr>
            <w:r>
              <w:rPr>
                <w:sz w:val="21"/>
                <w:szCs w:val="21"/>
              </w:rPr>
              <w:t>A1、A2、……An分别为各项评审因素所占的权重(A1＋A2＋……＋An＝1)。</w:t>
            </w:r>
          </w:p>
          <w:p>
            <w:pPr>
              <w:pStyle w:val="12"/>
              <w:widowControl/>
              <w:spacing w:line="324" w:lineRule="auto"/>
              <w:ind w:left="420"/>
              <w:rPr>
                <w:sz w:val="21"/>
                <w:szCs w:val="21"/>
              </w:rPr>
            </w:pPr>
            <w:r>
              <w:rPr>
                <w:sz w:val="21"/>
                <w:szCs w:val="21"/>
              </w:rPr>
              <w:t>评标过程中，不得去掉报价中的最高报价和最低报价。</w:t>
            </w:r>
          </w:p>
          <w:p>
            <w:pPr>
              <w:pStyle w:val="12"/>
              <w:widowControl/>
              <w:spacing w:line="324" w:lineRule="auto"/>
              <w:ind w:left="420"/>
              <w:rPr>
                <w:sz w:val="21"/>
                <w:szCs w:val="21"/>
              </w:rPr>
            </w:pPr>
            <w:r>
              <w:rPr>
                <w:sz w:val="21"/>
                <w:szCs w:val="21"/>
              </w:rPr>
              <w:t>此方法适用于货物类、服务类、工程类项目。</w:t>
            </w:r>
          </w:p>
        </w:tc>
      </w:tr>
    </w:tbl>
    <w:p/>
    <w:p>
      <w:pPr>
        <w:pStyle w:val="9"/>
      </w:pPr>
    </w:p>
    <w:tbl>
      <w:tblPr>
        <w:tblStyle w:val="13"/>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422"/>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序号</w:t>
            </w:r>
          </w:p>
        </w:tc>
        <w:tc>
          <w:tcPr>
            <w:tcW w:w="3552" w:type="dxa"/>
            <w:gridSpan w:val="4"/>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评分项</w:t>
            </w:r>
          </w:p>
        </w:tc>
        <w:tc>
          <w:tcPr>
            <w:tcW w:w="4678" w:type="dxa"/>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1</w:t>
            </w:r>
          </w:p>
        </w:tc>
        <w:tc>
          <w:tcPr>
            <w:tcW w:w="3552" w:type="dxa"/>
            <w:gridSpan w:val="4"/>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价格部分</w:t>
            </w:r>
          </w:p>
        </w:tc>
        <w:tc>
          <w:tcPr>
            <w:tcW w:w="4678" w:type="dxa"/>
            <w:vAlign w:val="center"/>
          </w:tcPr>
          <w:p>
            <w:pPr>
              <w:spacing w:line="240" w:lineRule="exact"/>
              <w:jc w:val="center"/>
              <w:rPr>
                <w:rFonts w:ascii="宋体" w:hAnsi="宋体" w:cs="宋体"/>
                <w:b/>
                <w:color w:val="FF0000"/>
                <w:szCs w:val="21"/>
                <w:highlight w:val="none"/>
              </w:rPr>
            </w:pPr>
            <w:r>
              <w:rPr>
                <w:rFonts w:hint="eastAsia" w:ascii="宋体" w:hAnsi="宋体" w:cs="宋体"/>
                <w:b/>
                <w:color w:val="FF000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2</w:t>
            </w:r>
          </w:p>
        </w:tc>
        <w:tc>
          <w:tcPr>
            <w:tcW w:w="3552" w:type="dxa"/>
            <w:gridSpan w:val="4"/>
            <w:vAlign w:val="center"/>
          </w:tcPr>
          <w:p>
            <w:pPr>
              <w:spacing w:line="240" w:lineRule="exact"/>
              <w:jc w:val="center"/>
              <w:rPr>
                <w:rFonts w:ascii="宋体" w:hAnsi="宋体" w:cs="宋体"/>
                <w:b/>
                <w:szCs w:val="21"/>
                <w:highlight w:val="none"/>
              </w:rPr>
            </w:pPr>
            <w:r>
              <w:rPr>
                <w:rFonts w:hint="eastAsia" w:ascii="宋体" w:hAnsi="宋体" w:cs="宋体"/>
                <w:b/>
                <w:szCs w:val="21"/>
                <w:highlight w:val="none"/>
              </w:rPr>
              <w:t>技术部分</w:t>
            </w:r>
          </w:p>
        </w:tc>
        <w:tc>
          <w:tcPr>
            <w:tcW w:w="4678" w:type="dxa"/>
            <w:vAlign w:val="center"/>
          </w:tcPr>
          <w:p>
            <w:pPr>
              <w:spacing w:line="240" w:lineRule="exact"/>
              <w:jc w:val="center"/>
              <w:rPr>
                <w:rFonts w:hint="default" w:ascii="宋体" w:hAnsi="宋体" w:eastAsia="宋体" w:cs="宋体"/>
                <w:b/>
                <w:color w:val="FF0000"/>
                <w:szCs w:val="21"/>
                <w:highlight w:val="none"/>
                <w:lang w:val="en-US" w:eastAsia="zh-CN"/>
              </w:rPr>
            </w:pPr>
            <w:r>
              <w:rPr>
                <w:rFonts w:hint="eastAsia" w:ascii="宋体" w:hAnsi="宋体" w:cs="宋体"/>
                <w:b/>
                <w:color w:val="FF0000"/>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highlight w:val="none"/>
              </w:rPr>
            </w:pPr>
          </w:p>
        </w:tc>
        <w:tc>
          <w:tcPr>
            <w:tcW w:w="699" w:type="dxa"/>
            <w:vAlign w:val="center"/>
          </w:tcPr>
          <w:p>
            <w:pPr>
              <w:jc w:val="center"/>
              <w:rPr>
                <w:rFonts w:ascii="宋体" w:hAnsi="宋体" w:cs="宋体"/>
                <w:b/>
                <w:bCs/>
                <w:szCs w:val="21"/>
                <w:highlight w:val="none"/>
              </w:rPr>
            </w:pPr>
            <w:r>
              <w:rPr>
                <w:rFonts w:hint="eastAsia" w:ascii="宋体" w:hAnsi="宋体" w:cs="宋体"/>
                <w:b/>
                <w:bCs/>
                <w:szCs w:val="21"/>
                <w:highlight w:val="none"/>
              </w:rPr>
              <w:t>序号</w:t>
            </w:r>
          </w:p>
        </w:tc>
        <w:tc>
          <w:tcPr>
            <w:tcW w:w="1433" w:type="dxa"/>
            <w:gridSpan w:val="2"/>
            <w:vAlign w:val="center"/>
          </w:tcPr>
          <w:p>
            <w:pPr>
              <w:jc w:val="center"/>
              <w:rPr>
                <w:rFonts w:ascii="宋体" w:hAnsi="宋体" w:cs="宋体"/>
                <w:b/>
                <w:bCs/>
                <w:szCs w:val="21"/>
                <w:highlight w:val="none"/>
              </w:rPr>
            </w:pPr>
            <w:r>
              <w:rPr>
                <w:rFonts w:hint="eastAsia" w:ascii="宋体" w:hAnsi="宋体" w:cs="宋体"/>
                <w:b/>
                <w:bCs/>
                <w:szCs w:val="21"/>
                <w:highlight w:val="none"/>
              </w:rPr>
              <w:t>评分因素</w:t>
            </w:r>
          </w:p>
        </w:tc>
        <w:tc>
          <w:tcPr>
            <w:tcW w:w="1420" w:type="dxa"/>
            <w:vAlign w:val="center"/>
          </w:tcPr>
          <w:p>
            <w:pPr>
              <w:jc w:val="center"/>
              <w:rPr>
                <w:rFonts w:ascii="宋体" w:hAnsi="宋体" w:cs="宋体"/>
                <w:b/>
                <w:bCs/>
                <w:szCs w:val="21"/>
                <w:highlight w:val="none"/>
              </w:rPr>
            </w:pPr>
            <w:r>
              <w:rPr>
                <w:rFonts w:hint="eastAsia" w:ascii="宋体" w:hAnsi="宋体" w:cs="宋体"/>
                <w:b/>
                <w:bCs/>
                <w:szCs w:val="21"/>
                <w:highlight w:val="none"/>
              </w:rPr>
              <w:t>权重</w:t>
            </w:r>
          </w:p>
        </w:tc>
        <w:tc>
          <w:tcPr>
            <w:tcW w:w="4678" w:type="dxa"/>
            <w:vAlign w:val="center"/>
          </w:tcPr>
          <w:p>
            <w:pPr>
              <w:jc w:val="center"/>
              <w:rPr>
                <w:rFonts w:ascii="宋体" w:hAnsi="宋体" w:cs="宋体"/>
                <w:b/>
                <w:bCs/>
                <w:szCs w:val="21"/>
                <w:highlight w:val="none"/>
              </w:rPr>
            </w:pPr>
            <w:r>
              <w:rPr>
                <w:rFonts w:hint="eastAsia" w:ascii="宋体" w:hAnsi="宋体" w:cs="宋体"/>
                <w:b/>
                <w:bCs/>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433" w:type="dxa"/>
            <w:gridSpan w:val="2"/>
            <w:vAlign w:val="center"/>
          </w:tcPr>
          <w:p>
            <w:pPr>
              <w:jc w:val="center"/>
              <w:rPr>
                <w:rFonts w:ascii="宋体" w:hAnsi="宋体" w:cs="宋体"/>
                <w:szCs w:val="21"/>
                <w:highlight w:val="none"/>
              </w:rPr>
            </w:pPr>
            <w:r>
              <w:rPr>
                <w:rFonts w:hint="eastAsia" w:ascii="宋体" w:hAnsi="宋体" w:cs="宋体"/>
                <w:kern w:val="0"/>
                <w:szCs w:val="21"/>
                <w:highlight w:val="none"/>
              </w:rPr>
              <w:t>技术规格偏离情况</w:t>
            </w:r>
          </w:p>
        </w:tc>
        <w:tc>
          <w:tcPr>
            <w:tcW w:w="1420" w:type="dxa"/>
            <w:vAlign w:val="center"/>
          </w:tcPr>
          <w:p>
            <w:pPr>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4678" w:type="dxa"/>
            <w:vAlign w:val="center"/>
          </w:tcPr>
          <w:p>
            <w:pPr>
              <w:tabs>
                <w:tab w:val="left" w:pos="2869"/>
                <w:tab w:val="left" w:pos="3010"/>
              </w:tabs>
              <w:rPr>
                <w:rFonts w:ascii="宋体" w:hAnsi="宋体" w:cs="宋体"/>
                <w:b/>
                <w:szCs w:val="21"/>
                <w:highlight w:val="none"/>
              </w:rPr>
            </w:pPr>
            <w:r>
              <w:rPr>
                <w:rFonts w:hint="eastAsia" w:ascii="宋体" w:hAnsi="宋体" w:cs="宋体"/>
                <w:b/>
                <w:szCs w:val="21"/>
                <w:highlight w:val="none"/>
              </w:rPr>
              <w:t>（一）评审内容：</w:t>
            </w:r>
          </w:p>
          <w:p>
            <w:pPr>
              <w:tabs>
                <w:tab w:val="left" w:pos="2869"/>
                <w:tab w:val="left" w:pos="3010"/>
              </w:tabs>
              <w:jc w:val="left"/>
              <w:rPr>
                <w:rFonts w:ascii="宋体" w:hAnsi="宋体" w:cs="宋体"/>
                <w:szCs w:val="21"/>
                <w:highlight w:val="none"/>
              </w:rPr>
            </w:pPr>
            <w:r>
              <w:rPr>
                <w:rFonts w:hint="eastAsia" w:ascii="宋体" w:hAnsi="宋体" w:cs="宋体"/>
                <w:szCs w:val="21"/>
                <w:highlight w:val="none"/>
              </w:rPr>
              <w:t>投标人应如实填写《技术规格偏离表》，评审专家根据技术需求参数响应情况进行评审。</w:t>
            </w:r>
          </w:p>
          <w:p>
            <w:pPr>
              <w:tabs>
                <w:tab w:val="left" w:pos="2869"/>
                <w:tab w:val="left" w:pos="3010"/>
              </w:tabs>
              <w:jc w:val="left"/>
              <w:rPr>
                <w:rFonts w:ascii="宋体" w:hAnsi="宋体" w:cs="宋体"/>
                <w:b/>
                <w:szCs w:val="21"/>
                <w:highlight w:val="none"/>
              </w:rPr>
            </w:pPr>
            <w:r>
              <w:rPr>
                <w:rFonts w:hint="eastAsia" w:ascii="宋体" w:hAnsi="宋体" w:cs="宋体"/>
                <w:b/>
                <w:szCs w:val="21"/>
                <w:highlight w:val="none"/>
              </w:rPr>
              <w:t>（二）评分标准与依据：</w:t>
            </w:r>
          </w:p>
          <w:p>
            <w:pPr>
              <w:rPr>
                <w:rFonts w:ascii="宋体" w:hAnsi="宋体" w:cs="宋体"/>
                <w:szCs w:val="21"/>
                <w:highlight w:val="none"/>
              </w:rPr>
            </w:pPr>
            <w:r>
              <w:rPr>
                <w:rFonts w:hint="eastAsia" w:ascii="宋体" w:hAnsi="宋体" w:cs="宋体"/>
                <w:szCs w:val="21"/>
                <w:highlight w:val="none"/>
              </w:rPr>
              <w:t>完全满足招标文件要求的得</w:t>
            </w:r>
            <w:r>
              <w:rPr>
                <w:rFonts w:hint="eastAsia" w:ascii="宋体" w:hAnsi="宋体" w:cs="宋体"/>
                <w:szCs w:val="21"/>
                <w:highlight w:val="none"/>
                <w:lang w:val="en-US" w:eastAsia="zh-CN"/>
              </w:rPr>
              <w:t>30</w:t>
            </w:r>
            <w:r>
              <w:rPr>
                <w:rFonts w:hint="eastAsia" w:ascii="宋体" w:hAnsi="宋体" w:cs="宋体"/>
                <w:szCs w:val="21"/>
                <w:highlight w:val="none"/>
              </w:rPr>
              <w:t>分，标注“▲”条款，每负偏离一项扣</w:t>
            </w:r>
            <w:r>
              <w:rPr>
                <w:rFonts w:hint="eastAsia" w:ascii="宋体" w:hAnsi="宋体" w:cs="宋体"/>
                <w:szCs w:val="21"/>
                <w:highlight w:val="none"/>
                <w:lang w:val="en-US" w:eastAsia="zh-CN"/>
              </w:rPr>
              <w:t>3</w:t>
            </w:r>
            <w:r>
              <w:rPr>
                <w:rFonts w:hint="eastAsia" w:ascii="宋体" w:hAnsi="宋体" w:cs="宋体"/>
                <w:szCs w:val="21"/>
                <w:highlight w:val="none"/>
              </w:rPr>
              <w:t>分；未标注“▲”为一般条款，每负偏离一项扣1分。扣完为止。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433" w:type="dxa"/>
            <w:gridSpan w:val="2"/>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技术保障措施</w:t>
            </w:r>
          </w:p>
        </w:tc>
        <w:tc>
          <w:tcPr>
            <w:tcW w:w="142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4678" w:type="dxa"/>
            <w:vAlign w:val="center"/>
          </w:tcPr>
          <w:p>
            <w:pPr>
              <w:numPr>
                <w:ilvl w:val="0"/>
                <w:numId w:val="1"/>
              </w:numPr>
              <w:spacing w:line="340" w:lineRule="exact"/>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 xml:space="preserve">评审内容： </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投标人据招标文件的需求，制定相应的工作方案，包含以下内容：</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sz w:val="21"/>
                <w:szCs w:val="21"/>
                <w:highlight w:val="none"/>
              </w:rPr>
              <w:t>技术实力</w:t>
            </w:r>
            <w:r>
              <w:rPr>
                <w:rFonts w:hint="eastAsia" w:ascii="宋体" w:hAnsi="宋体" w:cs="宋体"/>
                <w:sz w:val="21"/>
                <w:szCs w:val="21"/>
                <w:highlight w:val="none"/>
                <w:lang w:val="en-US" w:eastAsia="zh-CN"/>
              </w:rPr>
              <w:t>保障</w:t>
            </w:r>
          </w:p>
          <w:p>
            <w:pPr>
              <w:widowControl/>
              <w:jc w:val="left"/>
              <w:rPr>
                <w:rFonts w:hint="default" w:ascii="宋体" w:hAnsi="宋体" w:eastAsia="宋体" w:cs="宋体"/>
                <w:kern w:val="0"/>
                <w:sz w:val="21"/>
                <w:szCs w:val="21"/>
                <w:highlight w:val="none"/>
                <w:lang w:val="en-US"/>
              </w:rPr>
            </w:pPr>
            <w:r>
              <w:rPr>
                <w:rFonts w:hint="eastAsia" w:ascii="宋体" w:hAnsi="宋体" w:eastAsia="宋体" w:cs="宋体"/>
                <w:kern w:val="0"/>
                <w:sz w:val="21"/>
                <w:szCs w:val="21"/>
                <w:highlight w:val="none"/>
                <w:lang w:val="en-US" w:eastAsia="zh-CN"/>
              </w:rPr>
              <w:t>2、</w:t>
            </w:r>
            <w:r>
              <w:rPr>
                <w:rFonts w:hint="eastAsia" w:ascii="宋体" w:hAnsi="宋体" w:cs="宋体"/>
                <w:kern w:val="0"/>
                <w:sz w:val="21"/>
                <w:szCs w:val="21"/>
                <w:highlight w:val="none"/>
                <w:lang w:val="en-US" w:eastAsia="zh-CN"/>
              </w:rPr>
              <w:t>技术服务能力保障</w:t>
            </w:r>
          </w:p>
          <w:p>
            <w:pPr>
              <w:widowControl/>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（二）评</w:t>
            </w:r>
            <w:r>
              <w:rPr>
                <w:rFonts w:hint="eastAsia" w:ascii="宋体" w:hAnsi="宋体" w:eastAsia="宋体" w:cs="宋体"/>
                <w:b/>
                <w:bCs/>
                <w:color w:val="auto"/>
                <w:kern w:val="0"/>
                <w:sz w:val="21"/>
                <w:szCs w:val="21"/>
                <w:highlight w:val="none"/>
                <w:lang w:val="en-US" w:eastAsia="zh-CN" w:bidi="ar"/>
              </w:rPr>
              <w:t>分标准</w:t>
            </w:r>
            <w:r>
              <w:rPr>
                <w:rFonts w:hint="eastAsia" w:ascii="宋体" w:hAnsi="宋体" w:eastAsia="宋体" w:cs="宋体"/>
                <w:b/>
                <w:bCs/>
                <w:color w:val="auto"/>
                <w:kern w:val="0"/>
                <w:sz w:val="21"/>
                <w:szCs w:val="21"/>
                <w:highlight w:val="none"/>
                <w:lang w:bidi="ar"/>
              </w:rPr>
              <w:t xml:space="preserve">： </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1.评审委员会考察以上评审内容的 1-2点。以上两点内容均满足得 </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lang w:val="en-US" w:eastAsia="zh-CN"/>
              </w:rPr>
              <w:t>分，满足任意一点得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 xml:space="preserve"> 分，未满足不得分。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sz w:val="21"/>
                <w:szCs w:val="21"/>
                <w:highlight w:val="none"/>
                <w:lang w:val="zh-CN"/>
              </w:rPr>
              <w:t>在此基础上，</w:t>
            </w:r>
            <w:r>
              <w:rPr>
                <w:rFonts w:hint="eastAsia" w:ascii="宋体" w:hAnsi="宋体" w:eastAsia="宋体" w:cs="宋体"/>
                <w:kern w:val="0"/>
                <w:sz w:val="21"/>
                <w:szCs w:val="21"/>
                <w:highlight w:val="none"/>
                <w:lang w:val="en-US" w:eastAsia="zh-CN"/>
              </w:rPr>
              <w:t>根据投标人实施方案具体响应内容进一步评审。</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优：以上实施方案的两点内容全面具体、针对性</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强、可操作性强，加 </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良：以上实施方案的两点内容较全面、针对性较</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强、可操作性较强，加 </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中：以上实施方案的两点内容完整性、针对性、可</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操作性均一般，</w:t>
            </w:r>
            <w:r>
              <w:rPr>
                <w:rFonts w:hint="eastAsia" w:ascii="宋体" w:hAnsi="宋体" w:cs="宋体"/>
                <w:kern w:val="0"/>
                <w:sz w:val="21"/>
                <w:szCs w:val="21"/>
                <w:highlight w:val="none"/>
                <w:lang w:val="en-US" w:eastAsia="zh-CN"/>
              </w:rPr>
              <w:t>不加</w:t>
            </w:r>
            <w:r>
              <w:rPr>
                <w:rFonts w:hint="eastAsia" w:ascii="宋体" w:hAnsi="宋体" w:eastAsia="宋体" w:cs="宋体"/>
                <w:kern w:val="0"/>
                <w:sz w:val="21"/>
                <w:szCs w:val="21"/>
                <w:highlight w:val="none"/>
                <w:lang w:val="en-US" w:eastAsia="zh-CN"/>
              </w:rPr>
              <w:t>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差：实施方案内容不科学、不完整、针对性较弱，加 0 分；如果评审为差，请书面说明理由，并记录存档。</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备注：投标人未提供相应方案的，得0分。</w:t>
            </w:r>
          </w:p>
          <w:p>
            <w:pPr>
              <w:adjustRightInd/>
              <w:snapToGrid/>
              <w:jc w:val="left"/>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hint="eastAsia" w:ascii="宋体" w:hAnsi="宋体" w:cs="宋体"/>
                <w:szCs w:val="21"/>
                <w:highlight w:val="none"/>
              </w:rPr>
            </w:pPr>
            <w:r>
              <w:rPr>
                <w:rFonts w:hint="eastAsia" w:ascii="宋体" w:hAnsi="宋体" w:cs="宋体"/>
                <w:szCs w:val="21"/>
                <w:highlight w:val="none"/>
              </w:rPr>
              <w:t>3</w:t>
            </w:r>
          </w:p>
        </w:tc>
        <w:tc>
          <w:tcPr>
            <w:tcW w:w="1433" w:type="dxa"/>
            <w:gridSpan w:val="2"/>
            <w:vAlign w:val="center"/>
          </w:tcPr>
          <w:p>
            <w:pPr>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售后服务方案</w:t>
            </w:r>
          </w:p>
        </w:tc>
        <w:tc>
          <w:tcPr>
            <w:tcW w:w="1420" w:type="dxa"/>
            <w:vAlign w:val="center"/>
          </w:tcPr>
          <w:p>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p>
        </w:tc>
        <w:tc>
          <w:tcPr>
            <w:tcW w:w="4678" w:type="dxa"/>
            <w:vAlign w:val="center"/>
          </w:tcPr>
          <w:p>
            <w:pPr>
              <w:numPr>
                <w:ilvl w:val="0"/>
                <w:numId w:val="1"/>
              </w:numPr>
              <w:spacing w:line="340" w:lineRule="exact"/>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 xml:space="preserve">评审内容： </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投标人据招标文件的需求，制定相应的工作方案，包含以下内容：</w:t>
            </w:r>
          </w:p>
          <w:p>
            <w:pPr>
              <w:ind w:left="-78" w:leftChars="-37" w:right="-73" w:rightChars="-35"/>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 交货计划；</w:t>
            </w:r>
          </w:p>
          <w:p>
            <w:pPr>
              <w:ind w:left="-78" w:leftChars="-37" w:right="-73" w:rightChars="-35"/>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应急维修时间安排；</w:t>
            </w:r>
          </w:p>
          <w:p>
            <w:pPr>
              <w:ind w:left="-78" w:leftChars="-37" w:right="-73" w:rightChars="-35"/>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质保期外的维修服务收费标准</w:t>
            </w:r>
          </w:p>
          <w:p>
            <w:pPr>
              <w:widowControl/>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（二）评</w:t>
            </w:r>
            <w:r>
              <w:rPr>
                <w:rFonts w:hint="eastAsia" w:ascii="宋体" w:hAnsi="宋体" w:eastAsia="宋体" w:cs="宋体"/>
                <w:b/>
                <w:bCs/>
                <w:color w:val="auto"/>
                <w:kern w:val="0"/>
                <w:sz w:val="21"/>
                <w:szCs w:val="21"/>
                <w:highlight w:val="none"/>
                <w:lang w:val="en-US" w:eastAsia="zh-CN" w:bidi="ar"/>
              </w:rPr>
              <w:t>分标准</w:t>
            </w:r>
            <w:r>
              <w:rPr>
                <w:rFonts w:hint="eastAsia" w:ascii="宋体" w:hAnsi="宋体" w:eastAsia="宋体" w:cs="宋体"/>
                <w:b/>
                <w:bCs/>
                <w:color w:val="auto"/>
                <w:kern w:val="0"/>
                <w:sz w:val="21"/>
                <w:szCs w:val="21"/>
                <w:highlight w:val="none"/>
                <w:lang w:bidi="ar"/>
              </w:rPr>
              <w:t xml:space="preserve">： </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1.评审委员会考察以上评审内容的 1-3点。以上三点内容均满足得3分，满足任意二点得2分满足任意一点得1 分，未满足不得分。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sz w:val="21"/>
                <w:szCs w:val="21"/>
                <w:highlight w:val="none"/>
                <w:lang w:val="zh-CN"/>
              </w:rPr>
              <w:t>在此基础上，</w:t>
            </w:r>
            <w:r>
              <w:rPr>
                <w:rFonts w:hint="eastAsia" w:ascii="宋体" w:hAnsi="宋体" w:eastAsia="宋体" w:cs="宋体"/>
                <w:kern w:val="0"/>
                <w:sz w:val="21"/>
                <w:szCs w:val="21"/>
                <w:highlight w:val="none"/>
                <w:lang w:val="en-US" w:eastAsia="zh-CN"/>
              </w:rPr>
              <w:t>根据投标人实施方案具体响应内容进一步评审。</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优：以上实施方案的三点内容全面具体、针对性</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强、可操作性强，加 2分；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良：以上实施方案的三点内容较全面、针对性较</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强、可操作性较强，加 1 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中：以上实施方案的三点内容完整性、针对性、可</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操作性均一般，加 0.5 分；</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差：实施方案内容不科学、不完整、针对性较弱，加 0 分；如果评审为差，请书面说明理由，并记录存档。</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备注：投标人未提供相应方案的，得0分。</w:t>
            </w:r>
          </w:p>
          <w:p>
            <w:pPr>
              <w:widowControl/>
              <w:jc w:val="left"/>
              <w:rPr>
                <w:rFonts w:hint="eastAsia" w:ascii="宋体" w:hAnsi="宋体" w:eastAsia="宋体" w:cs="宋体"/>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highlight w:val="none"/>
              </w:rPr>
            </w:pPr>
            <w:r>
              <w:rPr>
                <w:rFonts w:hint="eastAsia" w:ascii="宋体" w:hAnsi="宋体" w:cs="宋体"/>
                <w:b/>
                <w:szCs w:val="21"/>
                <w:highlight w:val="none"/>
              </w:rPr>
              <w:t>3</w:t>
            </w:r>
          </w:p>
        </w:tc>
        <w:tc>
          <w:tcPr>
            <w:tcW w:w="3552" w:type="dxa"/>
            <w:gridSpan w:val="4"/>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商务需求</w:t>
            </w:r>
          </w:p>
        </w:tc>
        <w:tc>
          <w:tcPr>
            <w:tcW w:w="4678" w:type="dxa"/>
            <w:vAlign w:val="center"/>
          </w:tcPr>
          <w:p>
            <w:pPr>
              <w:jc w:val="center"/>
              <w:rPr>
                <w:rFonts w:hint="eastAsia" w:ascii="宋体" w:hAnsi="宋体" w:eastAsia="宋体" w:cs="宋体"/>
                <w:b/>
                <w:color w:val="FF0000"/>
                <w:sz w:val="21"/>
                <w:szCs w:val="21"/>
                <w:highlight w:val="none"/>
                <w:lang w:val="en-US" w:eastAsia="zh-CN"/>
              </w:rPr>
            </w:pPr>
            <w:r>
              <w:rPr>
                <w:rFonts w:hint="eastAsia" w:ascii="宋体" w:hAnsi="宋体" w:eastAsia="宋体" w:cs="宋体"/>
                <w:b/>
                <w:color w:val="FF000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highlight w:val="none"/>
              </w:rPr>
            </w:pPr>
          </w:p>
        </w:tc>
        <w:tc>
          <w:tcPr>
            <w:tcW w:w="699" w:type="dxa"/>
            <w:vAlign w:val="center"/>
          </w:tcPr>
          <w:p>
            <w:pPr>
              <w:jc w:val="center"/>
              <w:rPr>
                <w:rFonts w:ascii="宋体" w:hAnsi="宋体" w:cs="宋体"/>
                <w:b/>
                <w:szCs w:val="21"/>
                <w:highlight w:val="none"/>
              </w:rPr>
            </w:pPr>
            <w:r>
              <w:rPr>
                <w:rFonts w:hint="eastAsia" w:ascii="宋体" w:hAnsi="宋体" w:cs="宋体"/>
                <w:b/>
                <w:szCs w:val="21"/>
                <w:highlight w:val="none"/>
              </w:rPr>
              <w:t>序号</w:t>
            </w:r>
          </w:p>
        </w:tc>
        <w:tc>
          <w:tcPr>
            <w:tcW w:w="1422"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1431" w:type="dxa"/>
            <w:gridSpan w:val="2"/>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权重</w:t>
            </w:r>
          </w:p>
        </w:tc>
        <w:tc>
          <w:tcPr>
            <w:tcW w:w="4678" w:type="dxa"/>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ascii="宋体" w:hAnsi="宋体" w:cs="宋体"/>
                <w:szCs w:val="21"/>
                <w:highlight w:val="none"/>
              </w:rPr>
            </w:pPr>
            <w:r>
              <w:rPr>
                <w:rFonts w:hint="eastAsia" w:ascii="宋体" w:hAnsi="宋体" w:cs="宋体"/>
                <w:szCs w:val="21"/>
                <w:highlight w:val="none"/>
              </w:rPr>
              <w:cr/>
            </w:r>
            <w:r>
              <w:rPr>
                <w:rFonts w:hint="eastAsia" w:ascii="宋体" w:hAnsi="宋体" w:cs="宋体"/>
                <w:szCs w:val="21"/>
                <w:highlight w:val="none"/>
              </w:rPr>
              <w:t>1</w:t>
            </w:r>
          </w:p>
        </w:tc>
        <w:tc>
          <w:tcPr>
            <w:tcW w:w="1422" w:type="dxa"/>
            <w:vAlign w:val="center"/>
          </w:tcPr>
          <w:p>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商务条款</w:t>
            </w:r>
          </w:p>
          <w:p>
            <w:pPr>
              <w:widowControl/>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偏离情况</w:t>
            </w:r>
          </w:p>
        </w:tc>
        <w:tc>
          <w:tcPr>
            <w:tcW w:w="1431" w:type="dxa"/>
            <w:gridSpan w:val="2"/>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678" w:type="dxa"/>
            <w:vAlign w:val="center"/>
          </w:tcPr>
          <w:p>
            <w:pPr>
              <w:widowControl/>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（一）评分内容：投标人应如实填写《商务要求偏离表》，评审委员会根据响应情况进行打分，全部满足要求的得</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分，所有标注“▲”的重要参数每项负偏离一</w:t>
            </w:r>
            <w:r>
              <w:rPr>
                <w:rFonts w:hint="eastAsia" w:ascii="宋体" w:hAnsi="宋体" w:cs="宋体"/>
                <w:kern w:val="0"/>
                <w:sz w:val="21"/>
                <w:szCs w:val="21"/>
                <w:highlight w:val="none"/>
                <w:lang w:val="en-US" w:eastAsia="zh-CN"/>
              </w:rPr>
              <w:t>条</w:t>
            </w:r>
            <w:r>
              <w:rPr>
                <w:rFonts w:hint="eastAsia" w:ascii="宋体" w:hAnsi="宋体" w:eastAsia="宋体" w:cs="宋体"/>
                <w:kern w:val="0"/>
                <w:sz w:val="21"/>
                <w:szCs w:val="21"/>
                <w:highlight w:val="none"/>
              </w:rPr>
              <w:t>扣</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分，一般参数每负偏离一条扣</w:t>
            </w:r>
            <w:r>
              <w:rPr>
                <w:rFonts w:hint="eastAsia" w:ascii="宋体" w:hAnsi="宋体" w:cs="宋体"/>
                <w:kern w:val="0"/>
                <w:sz w:val="21"/>
                <w:szCs w:val="21"/>
                <w:highlight w:val="none"/>
                <w:lang w:val="en-US" w:eastAsia="zh-CN"/>
              </w:rPr>
              <w:t>0.5</w:t>
            </w:r>
            <w:r>
              <w:rPr>
                <w:rFonts w:hint="eastAsia" w:ascii="宋体" w:hAnsi="宋体" w:eastAsia="宋体" w:cs="宋体"/>
                <w:kern w:val="0"/>
                <w:sz w:val="21"/>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highlight w:val="none"/>
              </w:rPr>
            </w:pPr>
          </w:p>
        </w:tc>
        <w:tc>
          <w:tcPr>
            <w:tcW w:w="699" w:type="dxa"/>
            <w:vAlign w:val="center"/>
          </w:tcPr>
          <w:p>
            <w:pPr>
              <w:jc w:val="center"/>
              <w:rPr>
                <w:rFonts w:hint="eastAsia" w:ascii="仿宋" w:hAnsi="仿宋" w:eastAsia="仿宋" w:cs="Times New Roman"/>
                <w:kern w:val="2"/>
                <w:sz w:val="21"/>
                <w:szCs w:val="21"/>
                <w:highlight w:val="none"/>
                <w:lang w:val="en-US" w:eastAsia="zh-CN" w:bidi="ar-SA"/>
              </w:rPr>
            </w:pPr>
            <w:r>
              <w:rPr>
                <w:rFonts w:hint="eastAsia" w:ascii="仿宋" w:hAnsi="仿宋" w:eastAsia="仿宋"/>
                <w:szCs w:val="21"/>
                <w:highlight w:val="none"/>
              </w:rPr>
              <w:t>2</w:t>
            </w:r>
          </w:p>
        </w:tc>
        <w:tc>
          <w:tcPr>
            <w:tcW w:w="1422" w:type="dxa"/>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拟派的项目人员情况</w:t>
            </w:r>
          </w:p>
        </w:tc>
        <w:tc>
          <w:tcPr>
            <w:tcW w:w="1431" w:type="dxa"/>
            <w:gridSpan w:val="2"/>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5</w:t>
            </w:r>
          </w:p>
        </w:tc>
        <w:tc>
          <w:tcPr>
            <w:tcW w:w="4678" w:type="dxa"/>
            <w:vAlign w:val="center"/>
          </w:tcPr>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t>（一）评分内容：</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投标人为本项目拟派的项目经理被职业院校聘请为专业建设或教学指导委员会委员或专家或校企合作委员会委员、顾问、兼职教师、客座教授、导师的聘书。（聘用年限不限，需加盖聘用单位公章）</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每提供1个得1分，不提供不得分，本项最高得5分。 </w:t>
            </w:r>
          </w:p>
          <w:p>
            <w:pPr>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（二）评分依据： </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1.要求提供有效的聘书作为得分依据。</w:t>
            </w:r>
          </w:p>
          <w:p>
            <w:pP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聘书必须是不同院校，同一院校的多个聘书按一个计算。投标人需提供上述相关聘书扫描件；同时要求提供该项目经理通过投标人单位缴纳的近三个月的社保证明作为本单位员工的证明依据。若供应商成立不足三个月的，需提供成立情况说明函（格式自拟），则无需提供相关人员社保，亦可得分。提供扫描件加盖投标人公章，原件备查，未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260" w:after="260"/>
              <w:jc w:val="center"/>
              <w:outlineLvl w:val="2"/>
              <w:rPr>
                <w:rFonts w:ascii="宋体" w:hAnsi="宋体" w:cs="宋体"/>
                <w:szCs w:val="21"/>
                <w:highlight w:val="none"/>
              </w:rPr>
            </w:pPr>
          </w:p>
        </w:tc>
        <w:tc>
          <w:tcPr>
            <w:tcW w:w="699" w:type="dxa"/>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422" w:type="dxa"/>
            <w:vAlign w:val="center"/>
          </w:tcPr>
          <w:p>
            <w:pPr>
              <w:widowControl/>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rPr>
              <w:t>同类业绩</w:t>
            </w:r>
          </w:p>
        </w:tc>
        <w:tc>
          <w:tcPr>
            <w:tcW w:w="1431" w:type="dxa"/>
            <w:gridSpan w:val="2"/>
            <w:vAlign w:val="center"/>
          </w:tcPr>
          <w:p>
            <w:pPr>
              <w:spacing w:line="2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678" w:type="dxa"/>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一</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评分内容：</w:t>
            </w: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提供自</w:t>
            </w:r>
            <w:r>
              <w:rPr>
                <w:rFonts w:hint="eastAsia" w:ascii="宋体" w:hAnsi="宋体" w:eastAsia="宋体" w:cs="宋体"/>
                <w:sz w:val="21"/>
                <w:szCs w:val="21"/>
                <w:highlight w:val="none"/>
              </w:rPr>
              <w:t>2021年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1日</w:t>
            </w:r>
            <w:r>
              <w:rPr>
                <w:rFonts w:hint="eastAsia" w:ascii="宋体" w:hAnsi="宋体" w:eastAsia="宋体" w:cs="宋体"/>
                <w:sz w:val="21"/>
                <w:szCs w:val="21"/>
                <w:highlight w:val="none"/>
              </w:rPr>
              <w:t>至投标截止日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以合同签订时间为准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以来同类（</w:t>
            </w:r>
            <w:r>
              <w:rPr>
                <w:rFonts w:hint="eastAsia" w:ascii="宋体" w:hAnsi="宋体" w:eastAsia="宋体" w:cs="宋体"/>
                <w:sz w:val="21"/>
                <w:szCs w:val="21"/>
                <w:highlight w:val="none"/>
                <w:lang w:val="en-US" w:eastAsia="zh-CN"/>
              </w:rPr>
              <w:t>无人机</w:t>
            </w:r>
            <w:r>
              <w:rPr>
                <w:rFonts w:hint="eastAsia" w:ascii="宋体" w:hAnsi="宋体" w:eastAsia="宋体" w:cs="宋体"/>
                <w:sz w:val="21"/>
                <w:szCs w:val="21"/>
                <w:highlight w:val="none"/>
              </w:rPr>
              <w:t>）业绩，每提供1个得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分，未提供的不得分，最高得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rPr>
                <w:rFonts w:hint="eastAsia" w:ascii="宋体" w:hAnsi="宋体" w:eastAsia="宋体" w:cs="宋体"/>
                <w:kern w:val="0"/>
                <w:sz w:val="20"/>
                <w:szCs w:val="20"/>
                <w:highlight w:val="none"/>
                <w:lang w:val="en-US" w:eastAsia="zh-CN" w:bidi="ar-SA"/>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评分依据：</w:t>
            </w:r>
            <w:r>
              <w:rPr>
                <w:rFonts w:hint="eastAsia" w:ascii="宋体" w:hAnsi="宋体" w:eastAsia="宋体" w:cs="宋体"/>
                <w:sz w:val="21"/>
                <w:szCs w:val="21"/>
                <w:highlight w:val="none"/>
              </w:rPr>
              <w:t>投标人</w:t>
            </w:r>
            <w:r>
              <w:rPr>
                <w:rFonts w:hint="eastAsia" w:ascii="宋体" w:hAnsi="宋体" w:eastAsia="宋体" w:cs="宋体"/>
                <w:sz w:val="21"/>
                <w:szCs w:val="21"/>
                <w:highlight w:val="none"/>
                <w:lang w:val="en-US" w:eastAsia="zh-CN"/>
              </w:rPr>
              <w:t>需在</w:t>
            </w:r>
            <w:r>
              <w:rPr>
                <w:rFonts w:hint="eastAsia" w:ascii="宋体" w:hAnsi="宋体" w:eastAsia="宋体" w:cs="宋体"/>
                <w:sz w:val="21"/>
                <w:szCs w:val="21"/>
                <w:highlight w:val="none"/>
              </w:rPr>
              <w:t>投标文件中提供每一个项目的合同和验收报告（均加盖合同甲方公章或业务章）扫描件，否则不得分。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hint="eastAsia" w:ascii="仿宋" w:hAnsi="仿宋" w:eastAsia="仿宋" w:cs="Times New Roman"/>
                <w:kern w:val="2"/>
                <w:sz w:val="21"/>
                <w:szCs w:val="21"/>
                <w:highlight w:val="none"/>
                <w:lang w:val="en-US" w:eastAsia="zh-CN" w:bidi="ar-SA"/>
              </w:rPr>
            </w:pPr>
            <w:r>
              <w:rPr>
                <w:rFonts w:ascii="宋体" w:hAnsi="宋体" w:cs="宋体"/>
                <w:szCs w:val="21"/>
                <w:highlight w:val="none"/>
              </w:rPr>
              <w:t>4</w:t>
            </w:r>
          </w:p>
        </w:tc>
        <w:tc>
          <w:tcPr>
            <w:tcW w:w="1422" w:type="dxa"/>
            <w:vAlign w:val="center"/>
          </w:tcPr>
          <w:p>
            <w:pPr>
              <w:jc w:val="center"/>
              <w:rPr>
                <w:rFonts w:hint="default" w:ascii="仿宋" w:hAnsi="仿宋" w:eastAsia="仿宋" w:cs="Times New Roman"/>
                <w:kern w:val="2"/>
                <w:sz w:val="21"/>
                <w:szCs w:val="21"/>
                <w:highlight w:val="none"/>
                <w:lang w:val="en-US" w:eastAsia="zh-CN" w:bidi="ar-SA"/>
              </w:rPr>
            </w:pPr>
            <w:r>
              <w:rPr>
                <w:rFonts w:hint="eastAsia" w:ascii="宋体" w:hAnsi="宋体" w:cs="宋体"/>
                <w:kern w:val="0"/>
                <w:sz w:val="20"/>
                <w:szCs w:val="20"/>
                <w:highlight w:val="none"/>
                <w:lang w:val="en-US" w:eastAsia="zh-CN"/>
              </w:rPr>
              <w:t>资质情况</w:t>
            </w:r>
          </w:p>
        </w:tc>
        <w:tc>
          <w:tcPr>
            <w:tcW w:w="1431" w:type="dxa"/>
            <w:gridSpan w:val="2"/>
            <w:vAlign w:val="center"/>
          </w:tcPr>
          <w:p>
            <w:pPr>
              <w:spacing w:line="240" w:lineRule="exact"/>
              <w:jc w:val="center"/>
              <w:rPr>
                <w:rFonts w:hint="eastAsia" w:ascii="仿宋" w:hAnsi="仿宋" w:eastAsia="仿宋" w:cs="Times New Roman"/>
                <w:kern w:val="2"/>
                <w:sz w:val="21"/>
                <w:szCs w:val="21"/>
                <w:highlight w:val="none"/>
                <w:lang w:val="en-US" w:eastAsia="zh-CN" w:bidi="ar-SA"/>
              </w:rPr>
            </w:pPr>
            <w:r>
              <w:rPr>
                <w:rFonts w:ascii="宋体" w:hAnsi="宋体" w:cs="宋体"/>
                <w:szCs w:val="21"/>
                <w:highlight w:val="none"/>
              </w:rPr>
              <w:t>5</w:t>
            </w:r>
          </w:p>
        </w:tc>
        <w:tc>
          <w:tcPr>
            <w:tcW w:w="4678" w:type="dxa"/>
            <w:vAlign w:val="top"/>
          </w:tcPr>
          <w:p>
            <w:pPr>
              <w:rPr>
                <w:rFonts w:hint="eastAsia" w:ascii="宋体" w:hAnsi="宋体" w:cs="宋体"/>
                <w:b/>
                <w:highlight w:val="none"/>
              </w:rPr>
            </w:pPr>
            <w:r>
              <w:rPr>
                <w:rFonts w:hint="eastAsia" w:ascii="宋体" w:hAnsi="宋体" w:cs="宋体"/>
                <w:b/>
                <w:highlight w:val="none"/>
              </w:rPr>
              <w:t>（一）评分内容：</w:t>
            </w:r>
          </w:p>
          <w:p>
            <w:pPr>
              <w:jc w:val="left"/>
              <w:rPr>
                <w:rFonts w:hint="eastAsia" w:ascii="宋体" w:hAnsi="宋体" w:cs="宋体"/>
                <w:highlight w:val="none"/>
              </w:rPr>
            </w:pPr>
            <w:r>
              <w:rPr>
                <w:rFonts w:hint="eastAsia" w:ascii="宋体" w:hAnsi="宋体" w:cs="宋体"/>
                <w:highlight w:val="none"/>
              </w:rPr>
              <w:t>1.投标人或产品制造商具有民用无人机驾驶员职业教育培训中心证书，得2分。</w:t>
            </w:r>
          </w:p>
          <w:p>
            <w:pPr>
              <w:jc w:val="left"/>
              <w:rPr>
                <w:rFonts w:hint="eastAsia" w:ascii="宋体" w:hAnsi="宋体" w:cs="宋体"/>
                <w:highlight w:val="none"/>
              </w:rPr>
            </w:pPr>
            <w:r>
              <w:rPr>
                <w:rFonts w:hint="eastAsia" w:ascii="宋体" w:hAnsi="宋体" w:cs="宋体"/>
                <w:highlight w:val="none"/>
              </w:rPr>
              <w:t>2.投标人或产品制造商具有民用无人机企业服务能力等级资质证书，得2分。</w:t>
            </w:r>
          </w:p>
          <w:p>
            <w:pPr>
              <w:jc w:val="left"/>
              <w:rPr>
                <w:rFonts w:hint="eastAsia" w:ascii="宋体" w:hAnsi="宋体" w:cs="宋体"/>
                <w:highlight w:val="none"/>
              </w:rPr>
            </w:pPr>
            <w:r>
              <w:rPr>
                <w:rFonts w:hint="eastAsia" w:ascii="宋体" w:hAnsi="宋体" w:cs="宋体"/>
                <w:highlight w:val="none"/>
              </w:rPr>
              <w:t>3.投标人或产品制造商具有无人机教育装备专项企业服务能力等级资质证书，得</w:t>
            </w:r>
            <w:r>
              <w:rPr>
                <w:rFonts w:hint="eastAsia" w:ascii="宋体" w:hAnsi="宋体" w:cs="宋体"/>
                <w:highlight w:val="none"/>
                <w:lang w:val="en-US" w:eastAsia="zh-CN"/>
              </w:rPr>
              <w:t>1</w:t>
            </w:r>
            <w:r>
              <w:rPr>
                <w:rFonts w:hint="eastAsia" w:ascii="宋体" w:hAnsi="宋体" w:cs="宋体"/>
                <w:highlight w:val="none"/>
              </w:rPr>
              <w:t>分。</w:t>
            </w:r>
          </w:p>
          <w:p>
            <w:pPr>
              <w:rPr>
                <w:rFonts w:hint="eastAsia" w:ascii="宋体" w:hAnsi="宋体" w:cs="宋体"/>
                <w:b/>
                <w:highlight w:val="none"/>
              </w:rPr>
            </w:pPr>
            <w:r>
              <w:rPr>
                <w:rFonts w:hint="eastAsia" w:ascii="宋体" w:hAnsi="宋体" w:cs="宋体"/>
                <w:b/>
                <w:highlight w:val="none"/>
              </w:rPr>
              <w:t>（二）评分依据：</w:t>
            </w:r>
          </w:p>
          <w:p>
            <w:pPr>
              <w:rPr>
                <w:rFonts w:hint="eastAsia" w:ascii="宋体" w:hAnsi="宋体" w:cs="宋体"/>
                <w:highlight w:val="none"/>
              </w:rPr>
            </w:pPr>
            <w:r>
              <w:rPr>
                <w:rFonts w:hint="eastAsia" w:ascii="宋体" w:hAnsi="宋体" w:cs="宋体"/>
                <w:highlight w:val="none"/>
              </w:rPr>
              <w:t>1.要求提供证书作为得分依据。</w:t>
            </w:r>
          </w:p>
          <w:p>
            <w:pPr>
              <w:jc w:val="left"/>
              <w:rPr>
                <w:rFonts w:hint="eastAsia" w:ascii="仿宋" w:hAnsi="仿宋" w:eastAsia="仿宋" w:cs="宋体"/>
                <w:kern w:val="0"/>
                <w:sz w:val="21"/>
                <w:szCs w:val="21"/>
                <w:highlight w:val="none"/>
                <w:lang w:val="en-US" w:eastAsia="zh-CN" w:bidi="ar-SA"/>
              </w:rPr>
            </w:pPr>
            <w:r>
              <w:rPr>
                <w:rFonts w:hint="eastAsia" w:ascii="宋体" w:hAnsi="宋体" w:cs="宋体"/>
                <w:highlight w:val="none"/>
              </w:rPr>
              <w:t>2.以上资料均要求提供证书扫描件并加盖投标人公章，原件备查。评分中出现无证明资料或专家无法凭所提供资料判断是否得分的情况，一律作不得分处理。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hint="eastAsia" w:ascii="仿宋" w:hAnsi="仿宋" w:eastAsia="仿宋" w:cs="Times New Roman"/>
                <w:kern w:val="2"/>
                <w:sz w:val="21"/>
                <w:szCs w:val="21"/>
                <w:highlight w:val="none"/>
                <w:lang w:val="en-US" w:eastAsia="zh-CN" w:bidi="ar-SA"/>
              </w:rPr>
            </w:pPr>
            <w:r>
              <w:rPr>
                <w:rFonts w:ascii="仿宋" w:hAnsi="仿宋" w:eastAsia="仿宋"/>
                <w:szCs w:val="21"/>
                <w:highlight w:val="none"/>
              </w:rPr>
              <w:t>5</w:t>
            </w:r>
          </w:p>
        </w:tc>
        <w:tc>
          <w:tcPr>
            <w:tcW w:w="1422" w:type="dxa"/>
            <w:vAlign w:val="center"/>
          </w:tcPr>
          <w:p>
            <w:pPr>
              <w:jc w:val="center"/>
              <w:rPr>
                <w:rFonts w:hint="eastAsia" w:ascii="仿宋" w:hAnsi="仿宋" w:eastAsia="仿宋" w:cs="Times New Roman"/>
                <w:kern w:val="2"/>
                <w:sz w:val="21"/>
                <w:szCs w:val="21"/>
                <w:highlight w:val="none"/>
                <w:lang w:val="en-US" w:eastAsia="zh-CN" w:bidi="ar-SA"/>
              </w:rPr>
            </w:pPr>
            <w:r>
              <w:rPr>
                <w:rFonts w:hint="eastAsia" w:ascii="宋体" w:hAnsi="宋体" w:cs="宋体"/>
                <w:highlight w:val="none"/>
              </w:rPr>
              <w:t>投标人履约评价情况</w:t>
            </w:r>
          </w:p>
        </w:tc>
        <w:tc>
          <w:tcPr>
            <w:tcW w:w="1431" w:type="dxa"/>
            <w:gridSpan w:val="2"/>
            <w:vAlign w:val="center"/>
          </w:tcPr>
          <w:p>
            <w:pPr>
              <w:spacing w:line="240" w:lineRule="exact"/>
              <w:jc w:val="center"/>
              <w:rPr>
                <w:rFonts w:hint="eastAsia" w:ascii="仿宋" w:hAnsi="仿宋" w:eastAsia="仿宋" w:cs="Times New Roman"/>
                <w:kern w:val="2"/>
                <w:sz w:val="21"/>
                <w:szCs w:val="21"/>
                <w:highlight w:val="none"/>
                <w:lang w:val="en-US" w:eastAsia="zh-CN" w:bidi="ar-SA"/>
              </w:rPr>
            </w:pPr>
            <w:r>
              <w:rPr>
                <w:rFonts w:ascii="宋体" w:hAnsi="宋体" w:cs="宋体"/>
                <w:szCs w:val="21"/>
                <w:highlight w:val="none"/>
              </w:rPr>
              <w:t>5</w:t>
            </w:r>
          </w:p>
        </w:tc>
        <w:tc>
          <w:tcPr>
            <w:tcW w:w="4678" w:type="dxa"/>
            <w:vAlign w:val="top"/>
          </w:tcPr>
          <w:p>
            <w:pPr>
              <w:rPr>
                <w:rFonts w:hint="eastAsia" w:ascii="宋体" w:hAnsi="宋体" w:cs="宋体"/>
                <w:b/>
                <w:highlight w:val="none"/>
              </w:rPr>
            </w:pPr>
            <w:r>
              <w:rPr>
                <w:rFonts w:hint="eastAsia" w:ascii="宋体" w:hAnsi="宋体" w:cs="宋体"/>
                <w:b/>
                <w:highlight w:val="none"/>
              </w:rPr>
              <w:t>（一）评分内容：</w:t>
            </w:r>
          </w:p>
          <w:p>
            <w:pPr>
              <w:rPr>
                <w:rFonts w:hint="eastAsia" w:ascii="宋体" w:hAnsi="宋体" w:cs="宋体"/>
                <w:highlight w:val="none"/>
              </w:rPr>
            </w:pPr>
            <w:r>
              <w:rPr>
                <w:rFonts w:hint="eastAsia" w:ascii="宋体" w:hAnsi="宋体" w:cs="宋体"/>
                <w:highlight w:val="none"/>
              </w:rPr>
              <w:t>投标人202</w:t>
            </w:r>
            <w:r>
              <w:rPr>
                <w:rFonts w:hint="eastAsia" w:ascii="宋体" w:hAnsi="宋体" w:cs="宋体"/>
                <w:highlight w:val="none"/>
                <w:lang w:val="en-US" w:eastAsia="zh-CN"/>
              </w:rPr>
              <w:t>1</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月1日至本项目投标截止日获得的用户或用户使用部门出具的满意度评价，评价为满意或类似满意的好评方可得分，每提供一项得</w:t>
            </w:r>
            <w:r>
              <w:rPr>
                <w:rFonts w:ascii="宋体" w:hAnsi="宋体" w:cs="宋体"/>
                <w:highlight w:val="none"/>
              </w:rPr>
              <w:t>1</w:t>
            </w:r>
            <w:r>
              <w:rPr>
                <w:rFonts w:hint="eastAsia" w:ascii="宋体" w:hAnsi="宋体" w:cs="宋体"/>
                <w:highlight w:val="none"/>
              </w:rPr>
              <w:t>分，满分</w:t>
            </w:r>
            <w:r>
              <w:rPr>
                <w:rFonts w:ascii="宋体" w:hAnsi="宋体" w:cs="宋体"/>
                <w:highlight w:val="none"/>
              </w:rPr>
              <w:t>5</w:t>
            </w:r>
            <w:r>
              <w:rPr>
                <w:rFonts w:hint="eastAsia" w:ascii="宋体" w:hAnsi="宋体" w:cs="宋体"/>
                <w:highlight w:val="none"/>
              </w:rPr>
              <w:t>分。</w:t>
            </w:r>
          </w:p>
          <w:p>
            <w:pPr>
              <w:rPr>
                <w:rFonts w:hint="eastAsia" w:ascii="宋体" w:hAnsi="宋体" w:cs="宋体"/>
                <w:highlight w:val="none"/>
              </w:rPr>
            </w:pPr>
            <w:r>
              <w:rPr>
                <w:rFonts w:hint="eastAsia" w:ascii="宋体" w:hAnsi="宋体" w:cs="宋体"/>
                <w:b/>
                <w:highlight w:val="none"/>
              </w:rPr>
              <w:t>（二）评分依据：</w:t>
            </w:r>
          </w:p>
          <w:p>
            <w:pPr>
              <w:rPr>
                <w:rFonts w:hint="eastAsia" w:ascii="宋体" w:hAnsi="宋体" w:cs="宋体"/>
                <w:highlight w:val="none"/>
              </w:rPr>
            </w:pPr>
            <w:r>
              <w:rPr>
                <w:rFonts w:hint="eastAsia" w:ascii="宋体" w:hAnsi="宋体" w:cs="宋体"/>
                <w:highlight w:val="none"/>
              </w:rPr>
              <w:t>1.提供该用户（或其使用部门）的盖章证明材料复印件，同一客户或同一项目提供多项用户满意度评价的，按一项计算。</w:t>
            </w:r>
          </w:p>
          <w:p>
            <w:pPr>
              <w:jc w:val="left"/>
              <w:rPr>
                <w:rFonts w:hint="eastAsia" w:ascii="仿宋" w:hAnsi="仿宋" w:eastAsia="仿宋" w:cs="宋体"/>
                <w:kern w:val="0"/>
                <w:sz w:val="21"/>
                <w:szCs w:val="21"/>
                <w:highlight w:val="none"/>
                <w:lang w:val="en-US" w:eastAsia="zh-CN" w:bidi="ar-SA"/>
              </w:rPr>
            </w:pPr>
            <w:r>
              <w:rPr>
                <w:rFonts w:hint="eastAsia" w:ascii="宋体" w:hAnsi="宋体" w:cs="宋体"/>
                <w:highlight w:val="none"/>
              </w:rPr>
              <w:t>2.以上证明文件均提供复印件或扫描件加盖投标人公章，原件备查。未按要求提供有效证明材料或提供不清晰导致评委无法识别的不计得分。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none"/>
              </w:rPr>
            </w:pPr>
          </w:p>
        </w:tc>
        <w:tc>
          <w:tcPr>
            <w:tcW w:w="699" w:type="dxa"/>
            <w:vAlign w:val="center"/>
          </w:tcPr>
          <w:p>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6</w:t>
            </w:r>
          </w:p>
        </w:tc>
        <w:tc>
          <w:tcPr>
            <w:tcW w:w="1422" w:type="dxa"/>
            <w:vAlign w:val="center"/>
          </w:tcPr>
          <w:p>
            <w:pPr>
              <w:jc w:val="center"/>
              <w:rPr>
                <w:rFonts w:ascii="宋体" w:hAnsi="宋体" w:cs="宋体"/>
                <w:szCs w:val="21"/>
                <w:highlight w:val="none"/>
              </w:rPr>
            </w:pPr>
            <w:r>
              <w:rPr>
                <w:rFonts w:hint="eastAsia" w:ascii="宋体" w:hAnsi="宋体" w:cs="宋体"/>
                <w:szCs w:val="21"/>
                <w:highlight w:val="none"/>
              </w:rPr>
              <w:t>诚信评价</w:t>
            </w:r>
          </w:p>
        </w:tc>
        <w:tc>
          <w:tcPr>
            <w:tcW w:w="1431" w:type="dxa"/>
            <w:gridSpan w:val="2"/>
            <w:vAlign w:val="center"/>
          </w:tcPr>
          <w:p>
            <w:pPr>
              <w:jc w:val="center"/>
              <w:rPr>
                <w:rFonts w:ascii="宋体" w:hAnsi="宋体" w:cs="宋体"/>
                <w:szCs w:val="21"/>
                <w:highlight w:val="none"/>
              </w:rPr>
            </w:pPr>
            <w:r>
              <w:rPr>
                <w:rFonts w:hint="eastAsia" w:ascii="宋体" w:hAnsi="宋体" w:cs="宋体"/>
                <w:szCs w:val="21"/>
                <w:highlight w:val="none"/>
              </w:rPr>
              <w:t>5</w:t>
            </w:r>
          </w:p>
        </w:tc>
        <w:tc>
          <w:tcPr>
            <w:tcW w:w="4678" w:type="dxa"/>
          </w:tcPr>
          <w:p>
            <w:pPr>
              <w:jc w:val="left"/>
              <w:rPr>
                <w:rFonts w:ascii="宋体" w:hAnsi="宋体" w:cs="宋体"/>
                <w:szCs w:val="21"/>
                <w:highlight w:val="none"/>
              </w:rPr>
            </w:pPr>
            <w:r>
              <w:rPr>
                <w:rFonts w:hint="eastAsia" w:ascii="宋体" w:hAnsi="宋体" w:cs="宋体"/>
                <w:szCs w:val="21"/>
                <w:highlight w:val="none"/>
              </w:rPr>
              <w:t>投标人在参与政府采购活动中存在《深圳市财政局政府采购供应商信⽤信息管理办法》第⼗⼀条诚信相关问题且在主管部门相关处理措施实施期限内的，本项不得分，否则得满分。投标人无需提供任何证明材料，由工作人员查询后向评审委员会提供相关信息。</w:t>
            </w:r>
          </w:p>
        </w:tc>
      </w:tr>
    </w:tbl>
    <w:p>
      <w:pPr>
        <w:pStyle w:val="3"/>
      </w:pPr>
      <w:r>
        <w:rPr>
          <w:rFonts w:hint="eastAsia"/>
        </w:rPr>
        <w:t>第二章项目需求</w:t>
      </w:r>
    </w:p>
    <w:p>
      <w:pPr>
        <w:pStyle w:val="6"/>
        <w:spacing w:before="156" w:beforeLines="50" w:after="156" w:afterLines="50"/>
        <w:rPr>
          <w:rFonts w:cs="宋体"/>
          <w:szCs w:val="28"/>
        </w:rPr>
      </w:pPr>
      <w:bookmarkStart w:id="0" w:name="_Toc100052364"/>
      <w:bookmarkStart w:id="1" w:name="_Toc73521547"/>
      <w:bookmarkStart w:id="2" w:name="_Toc60560625"/>
      <w:bookmarkStart w:id="3" w:name="_Toc73518117"/>
      <w:bookmarkStart w:id="4" w:name="_Toc73521635"/>
      <w:bookmarkStart w:id="5" w:name="_Toc101074876"/>
      <w:bookmarkStart w:id="6" w:name="_Toc73517639"/>
      <w:bookmarkStart w:id="7" w:name="_Toc60631620"/>
      <w:r>
        <w:rPr>
          <w:rFonts w:hint="eastAsia" w:cs="宋体"/>
          <w:szCs w:val="28"/>
        </w:rPr>
        <w:t>一、项目概况</w:t>
      </w:r>
    </w:p>
    <w:bookmarkEnd w:id="0"/>
    <w:bookmarkEnd w:id="1"/>
    <w:bookmarkEnd w:id="2"/>
    <w:bookmarkEnd w:id="3"/>
    <w:bookmarkEnd w:id="4"/>
    <w:bookmarkEnd w:id="5"/>
    <w:bookmarkEnd w:id="6"/>
    <w:bookmarkEnd w:id="7"/>
    <w:p>
      <w:pPr>
        <w:pStyle w:val="6"/>
        <w:numPr>
          <w:ilvl w:val="0"/>
          <w:numId w:val="0"/>
        </w:numPr>
        <w:spacing w:before="156" w:beforeLines="50" w:after="156" w:afterLines="50"/>
        <w:jc w:val="both"/>
        <w:rPr>
          <w:rFonts w:hint="default" w:eastAsia="宋体" w:cs="宋体"/>
          <w:szCs w:val="28"/>
          <w:lang w:val="en-US" w:eastAsia="zh-CN"/>
        </w:rPr>
      </w:pPr>
      <w:r>
        <w:rPr>
          <w:rFonts w:hint="eastAsia" w:ascii="仿宋" w:hAnsi="仿宋" w:eastAsia="仿宋" w:cs="宋体"/>
          <w:b/>
          <w:bCs/>
          <w:kern w:val="0"/>
          <w:sz w:val="20"/>
          <w:szCs w:val="20"/>
          <w:lang w:eastAsia="zh-CN"/>
        </w:rPr>
        <w:t>无人机操控与维护实训平台</w:t>
      </w:r>
      <w:r>
        <w:rPr>
          <w:rFonts w:hint="eastAsia" w:ascii="仿宋" w:hAnsi="仿宋" w:eastAsia="仿宋" w:cs="宋体"/>
          <w:b/>
          <w:bCs/>
          <w:kern w:val="0"/>
          <w:sz w:val="20"/>
          <w:szCs w:val="20"/>
          <w:lang w:val="en-US" w:eastAsia="zh-CN"/>
        </w:rPr>
        <w:t>购置</w:t>
      </w:r>
    </w:p>
    <w:p>
      <w:pPr>
        <w:pStyle w:val="6"/>
        <w:numPr>
          <w:ilvl w:val="0"/>
          <w:numId w:val="2"/>
        </w:numPr>
        <w:spacing w:before="156" w:beforeLines="50" w:after="156" w:afterLines="50"/>
        <w:rPr>
          <w:rFonts w:cs="宋体"/>
          <w:szCs w:val="28"/>
        </w:rPr>
      </w:pPr>
      <w:r>
        <w:rPr>
          <w:rFonts w:hint="eastAsia" w:cs="宋体"/>
          <w:szCs w:val="28"/>
        </w:rPr>
        <w:t>货物清单</w:t>
      </w:r>
    </w:p>
    <w:tbl>
      <w:tblPr>
        <w:tblStyle w:val="1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1269"/>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rPr>
              <w:t>货物名称</w:t>
            </w:r>
          </w:p>
        </w:tc>
        <w:tc>
          <w:tcPr>
            <w:tcW w:w="1335" w:type="dxa"/>
            <w:vAlign w:val="center"/>
          </w:tcPr>
          <w:p>
            <w:pPr>
              <w:jc w:val="center"/>
              <w:rPr>
                <w:rFonts w:ascii="宋体" w:hAnsi="宋体" w:cs="宋体"/>
                <w:bCs/>
                <w:szCs w:val="21"/>
              </w:rPr>
            </w:pPr>
            <w:r>
              <w:rPr>
                <w:rFonts w:hint="eastAsia" w:ascii="宋体" w:hAnsi="宋体" w:cs="宋体"/>
                <w:bCs/>
                <w:szCs w:val="21"/>
              </w:rPr>
              <w:t>单位</w:t>
            </w:r>
          </w:p>
        </w:tc>
        <w:tc>
          <w:tcPr>
            <w:tcW w:w="1290" w:type="dxa"/>
            <w:vAlign w:val="center"/>
          </w:tcPr>
          <w:p>
            <w:pPr>
              <w:jc w:val="center"/>
              <w:rPr>
                <w:rFonts w:ascii="宋体" w:hAnsi="宋体" w:cs="宋体"/>
                <w:bCs/>
                <w:szCs w:val="21"/>
              </w:rPr>
            </w:pPr>
            <w:r>
              <w:rPr>
                <w:rFonts w:hint="eastAsia" w:ascii="宋体" w:hAnsi="宋体" w:cs="宋体"/>
                <w:bCs/>
                <w:szCs w:val="21"/>
              </w:rPr>
              <w:t>数量</w:t>
            </w:r>
          </w:p>
        </w:tc>
        <w:tc>
          <w:tcPr>
            <w:tcW w:w="1269" w:type="dxa"/>
            <w:vAlign w:val="center"/>
          </w:tcPr>
          <w:p>
            <w:pPr>
              <w:jc w:val="center"/>
              <w:rPr>
                <w:rFonts w:ascii="宋体" w:hAnsi="宋体" w:cs="宋体"/>
                <w:bCs/>
                <w:szCs w:val="21"/>
              </w:rPr>
            </w:pPr>
            <w:r>
              <w:rPr>
                <w:rFonts w:hint="eastAsia" w:ascii="宋体" w:hAnsi="宋体" w:cs="宋体"/>
                <w:bCs/>
                <w:szCs w:val="21"/>
              </w:rPr>
              <w:t>允许采购</w:t>
            </w:r>
          </w:p>
          <w:p>
            <w:pPr>
              <w:jc w:val="center"/>
              <w:rPr>
                <w:rFonts w:ascii="宋体" w:hAnsi="宋体" w:cs="宋体"/>
                <w:szCs w:val="21"/>
              </w:rPr>
            </w:pPr>
            <w:r>
              <w:rPr>
                <w:rFonts w:hint="eastAsia" w:ascii="宋体" w:hAnsi="宋体" w:cs="宋体"/>
                <w:bCs/>
                <w:szCs w:val="21"/>
              </w:rPr>
              <w:t>进口产品</w:t>
            </w:r>
          </w:p>
        </w:tc>
        <w:tc>
          <w:tcPr>
            <w:tcW w:w="183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spacing w:line="276" w:lineRule="auto"/>
              <w:jc w:val="center"/>
              <w:rPr>
                <w:rFonts w:ascii="宋体" w:hAnsi="宋体" w:cs="宋体"/>
                <w:bCs/>
                <w:szCs w:val="21"/>
              </w:rPr>
            </w:pPr>
            <w:r>
              <w:rPr>
                <w:rFonts w:hint="eastAsia" w:ascii="宋体" w:hAnsi="宋体"/>
                <w:b/>
                <w:bCs/>
                <w:sz w:val="22"/>
              </w:rPr>
              <w:t>1</w:t>
            </w:r>
          </w:p>
        </w:tc>
        <w:tc>
          <w:tcPr>
            <w:tcW w:w="2265" w:type="dxa"/>
            <w:vAlign w:val="center"/>
          </w:tcPr>
          <w:p>
            <w:pPr>
              <w:jc w:val="left"/>
              <w:rPr>
                <w:rFonts w:ascii="仿宋" w:hAnsi="仿宋" w:eastAsia="仿宋"/>
                <w:bCs/>
                <w:szCs w:val="21"/>
              </w:rPr>
            </w:pPr>
            <w:r>
              <w:rPr>
                <w:rFonts w:hint="eastAsia" w:ascii="仿宋" w:hAnsi="仿宋" w:eastAsia="仿宋" w:cs="Times New Roman"/>
                <w:bCs/>
                <w:szCs w:val="21"/>
                <w:lang w:val="en-US" w:eastAsia="zh-CN"/>
              </w:rPr>
              <w:t>无人机操控与维护实训平台</w:t>
            </w:r>
          </w:p>
        </w:tc>
        <w:tc>
          <w:tcPr>
            <w:tcW w:w="1335" w:type="dxa"/>
            <w:vAlign w:val="center"/>
          </w:tcPr>
          <w:p>
            <w:pPr>
              <w:spacing w:line="276" w:lineRule="auto"/>
              <w:jc w:val="center"/>
              <w:rPr>
                <w:rFonts w:ascii="仿宋" w:hAnsi="仿宋" w:eastAsia="仿宋"/>
                <w:bCs/>
                <w:szCs w:val="21"/>
              </w:rPr>
            </w:pPr>
            <w:r>
              <w:rPr>
                <w:rFonts w:hint="eastAsia" w:ascii="宋体" w:hAnsi="宋体"/>
                <w:szCs w:val="21"/>
              </w:rPr>
              <w:t>套</w:t>
            </w:r>
          </w:p>
        </w:tc>
        <w:tc>
          <w:tcPr>
            <w:tcW w:w="1290" w:type="dxa"/>
            <w:vAlign w:val="center"/>
          </w:tcPr>
          <w:p>
            <w:pPr>
              <w:spacing w:line="276" w:lineRule="auto"/>
              <w:jc w:val="center"/>
              <w:rPr>
                <w:rFonts w:ascii="仿宋" w:hAnsi="仿宋" w:eastAsia="仿宋"/>
                <w:bCs/>
                <w:szCs w:val="21"/>
              </w:rPr>
            </w:pPr>
            <w:r>
              <w:rPr>
                <w:rFonts w:hint="eastAsia" w:ascii="宋体" w:hAnsi="宋体"/>
                <w:szCs w:val="21"/>
              </w:rPr>
              <w:t>1</w:t>
            </w:r>
          </w:p>
        </w:tc>
        <w:tc>
          <w:tcPr>
            <w:tcW w:w="1269" w:type="dxa"/>
            <w:vAlign w:val="center"/>
          </w:tcPr>
          <w:p>
            <w:pPr>
              <w:spacing w:line="276" w:lineRule="auto"/>
              <w:jc w:val="center"/>
              <w:rPr>
                <w:rFonts w:ascii="宋体" w:hAnsi="宋体"/>
                <w:sz w:val="22"/>
              </w:rPr>
            </w:pPr>
            <w:r>
              <w:rPr>
                <w:rFonts w:hint="eastAsia" w:ascii="宋体" w:hAnsi="宋体"/>
                <w:sz w:val="22"/>
              </w:rPr>
              <w:t>拒绝进口</w:t>
            </w:r>
          </w:p>
        </w:tc>
        <w:tc>
          <w:tcPr>
            <w:tcW w:w="1830" w:type="dxa"/>
            <w:vAlign w:val="center"/>
          </w:tcPr>
          <w:p>
            <w:pPr>
              <w:spacing w:line="276" w:lineRule="auto"/>
              <w:jc w:val="center"/>
              <w:rPr>
                <w:rFonts w:ascii="仿宋" w:hAnsi="仿宋" w:eastAsia="仿宋"/>
                <w:bCs/>
                <w:szCs w:val="21"/>
              </w:rPr>
            </w:pPr>
            <w:r>
              <w:rPr>
                <w:rFonts w:hint="eastAsia" w:ascii="宋体" w:hAnsi="宋体"/>
                <w:sz w:val="22"/>
              </w:rPr>
              <w:t>核心产品</w:t>
            </w:r>
          </w:p>
        </w:tc>
      </w:tr>
    </w:tbl>
    <w:p>
      <w:pPr>
        <w:pStyle w:val="6"/>
        <w:spacing w:before="156" w:beforeLines="50" w:after="156" w:afterLines="50"/>
        <w:rPr>
          <w:rFonts w:cs="宋体"/>
          <w:szCs w:val="28"/>
        </w:rPr>
      </w:pPr>
      <w:r>
        <w:rPr>
          <w:rFonts w:hint="eastAsia" w:cs="宋体"/>
          <w:szCs w:val="28"/>
        </w:rPr>
        <w:t>三、具体技术要求</w:t>
      </w:r>
    </w:p>
    <w:p>
      <w:pPr>
        <w:rPr>
          <w:rFonts w:ascii="宋体" w:hAnsi="宋体" w:cs="宋体"/>
          <w:bCs/>
          <w:szCs w:val="21"/>
        </w:rPr>
      </w:pPr>
      <w:r>
        <w:rPr>
          <w:rFonts w:hint="eastAsia" w:ascii="宋体" w:hAnsi="宋体" w:cs="宋体"/>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3"/>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Cs/>
                <w:color w:val="auto"/>
                <w:szCs w:val="21"/>
                <w:highlight w:val="none"/>
              </w:rPr>
            </w:pPr>
            <w:r>
              <w:rPr>
                <w:rFonts w:hint="eastAsia" w:ascii="仿宋" w:hAnsi="仿宋" w:eastAsia="仿宋"/>
                <w:bCs/>
                <w:color w:val="auto"/>
                <w:szCs w:val="21"/>
                <w:highlight w:val="none"/>
              </w:rPr>
              <w:t>序号</w:t>
            </w:r>
          </w:p>
        </w:tc>
        <w:tc>
          <w:tcPr>
            <w:tcW w:w="1476" w:type="dxa"/>
            <w:vAlign w:val="center"/>
          </w:tcPr>
          <w:p>
            <w:pPr>
              <w:widowControl/>
              <w:jc w:val="center"/>
              <w:rPr>
                <w:rFonts w:ascii="仿宋" w:hAnsi="仿宋" w:eastAsia="仿宋"/>
                <w:bCs/>
                <w:color w:val="auto"/>
                <w:szCs w:val="21"/>
                <w:highlight w:val="none"/>
              </w:rPr>
            </w:pPr>
            <w:r>
              <w:rPr>
                <w:rFonts w:hint="eastAsia" w:ascii="仿宋" w:hAnsi="仿宋" w:eastAsia="仿宋"/>
                <w:bCs/>
                <w:color w:val="auto"/>
                <w:szCs w:val="21"/>
                <w:highlight w:val="none"/>
              </w:rPr>
              <w:t>货物名称</w:t>
            </w:r>
          </w:p>
        </w:tc>
        <w:tc>
          <w:tcPr>
            <w:tcW w:w="5986" w:type="dxa"/>
            <w:vAlign w:val="center"/>
          </w:tcPr>
          <w:p>
            <w:pPr>
              <w:jc w:val="center"/>
              <w:rPr>
                <w:rFonts w:ascii="仿宋" w:hAnsi="仿宋" w:eastAsia="仿宋"/>
                <w:bCs/>
                <w:color w:val="auto"/>
                <w:szCs w:val="21"/>
                <w:highlight w:val="none"/>
              </w:rPr>
            </w:pPr>
            <w:r>
              <w:rPr>
                <w:rFonts w:hint="eastAsia" w:ascii="仿宋" w:hAnsi="仿宋" w:eastAsia="仿宋"/>
                <w:bCs/>
                <w:color w:val="auto"/>
                <w:szCs w:val="21"/>
                <w:highlight w:val="none"/>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center"/>
              <w:rPr>
                <w:rFonts w:hint="eastAsia" w:ascii="仿宋" w:hAnsi="仿宋" w:eastAsia="仿宋"/>
                <w:b/>
                <w:color w:val="auto"/>
                <w:szCs w:val="21"/>
                <w:highlight w:val="none"/>
              </w:rPr>
            </w:pPr>
            <w:r>
              <w:rPr>
                <w:rFonts w:hint="eastAsia" w:ascii="仿宋" w:hAnsi="仿宋" w:eastAsia="仿宋"/>
                <w:b/>
                <w:color w:val="auto"/>
                <w:szCs w:val="21"/>
                <w:highlight w:val="none"/>
              </w:rPr>
              <w:t>1</w:t>
            </w:r>
          </w:p>
          <w:p>
            <w:pPr>
              <w:jc w:val="center"/>
              <w:rPr>
                <w:rFonts w:hint="default" w:ascii="仿宋" w:hAnsi="仿宋" w:eastAsia="仿宋" w:cs="Times New Roman"/>
                <w:b/>
                <w:color w:val="auto"/>
                <w:kern w:val="2"/>
                <w:sz w:val="21"/>
                <w:szCs w:val="21"/>
                <w:highlight w:val="none"/>
                <w:lang w:val="en-US" w:eastAsia="zh-CN" w:bidi="ar-SA"/>
              </w:rPr>
            </w:pPr>
          </w:p>
          <w:p>
            <w:pPr>
              <w:widowControl/>
              <w:jc w:val="center"/>
              <w:rPr>
                <w:rFonts w:hint="eastAsia" w:ascii="宋体" w:hAnsi="宋体" w:eastAsia="宋体" w:cs="宋体"/>
                <w:bCs/>
                <w:color w:val="auto"/>
                <w:szCs w:val="21"/>
                <w:highlight w:val="none"/>
                <w:lang w:val="en-US" w:eastAsia="zh-CN"/>
              </w:rPr>
            </w:pPr>
          </w:p>
        </w:tc>
        <w:tc>
          <w:tcPr>
            <w:tcW w:w="1476" w:type="dxa"/>
            <w:vMerge w:val="restart"/>
            <w:vAlign w:val="center"/>
          </w:tcPr>
          <w:p>
            <w:pPr>
              <w:rPr>
                <w:rFonts w:hint="default" w:ascii="等线" w:hAnsi="等线" w:eastAsia="等线" w:cs="等线"/>
                <w:color w:val="auto"/>
                <w:kern w:val="0"/>
                <w:sz w:val="24"/>
                <w:highlight w:val="none"/>
                <w:lang w:val="en-US" w:eastAsia="zh-CN" w:bidi="ar"/>
              </w:rPr>
            </w:pPr>
            <w:r>
              <w:rPr>
                <w:rFonts w:hint="eastAsia" w:ascii="等线" w:hAnsi="等线" w:eastAsia="等线" w:cs="等线"/>
                <w:color w:val="auto"/>
                <w:kern w:val="0"/>
                <w:sz w:val="24"/>
                <w:highlight w:val="none"/>
                <w:lang w:val="en-US" w:eastAsia="zh-CN" w:bidi="ar"/>
              </w:rPr>
              <w:t>无人机操控与维护实训平台</w:t>
            </w:r>
          </w:p>
          <w:p>
            <w:pPr>
              <w:jc w:val="left"/>
              <w:rPr>
                <w:rFonts w:ascii="仿宋" w:hAnsi="仿宋" w:eastAsia="仿宋"/>
                <w:b/>
                <w:color w:val="auto"/>
                <w:szCs w:val="21"/>
                <w:highlight w:val="none"/>
              </w:rPr>
            </w:pPr>
          </w:p>
          <w:p>
            <w:pPr>
              <w:rPr>
                <w:rFonts w:ascii="仿宋" w:hAnsi="仿宋" w:eastAsia="仿宋" w:cs="Times New Roman"/>
                <w:b/>
                <w:color w:val="auto"/>
                <w:kern w:val="2"/>
                <w:sz w:val="21"/>
                <w:szCs w:val="21"/>
                <w:highlight w:val="none"/>
                <w:lang w:val="en-US" w:eastAsia="zh-CN" w:bidi="ar-SA"/>
              </w:rPr>
            </w:pPr>
          </w:p>
          <w:p>
            <w:pPr>
              <w:widowControl w:val="0"/>
              <w:jc w:val="both"/>
              <w:rPr>
                <w:rFonts w:ascii="仿宋" w:hAnsi="仿宋" w:eastAsia="仿宋" w:cs="Times New Roman"/>
                <w:b/>
                <w:color w:val="auto"/>
                <w:kern w:val="2"/>
                <w:sz w:val="21"/>
                <w:szCs w:val="21"/>
                <w:highlight w:val="none"/>
                <w:lang w:val="en-US" w:eastAsia="zh-CN" w:bidi="ar-SA"/>
              </w:rPr>
            </w:pPr>
          </w:p>
        </w:tc>
        <w:tc>
          <w:tcPr>
            <w:tcW w:w="5986" w:type="dxa"/>
            <w:vAlign w:val="center"/>
          </w:tcPr>
          <w:p>
            <w:pPr>
              <w:rPr>
                <w:rFonts w:hint="default" w:eastAsia="宋体"/>
                <w:color w:val="auto"/>
                <w:sz w:val="18"/>
                <w:szCs w:val="21"/>
                <w:highlight w:val="none"/>
                <w:lang w:val="en-US" w:eastAsia="zh-CN"/>
              </w:rPr>
            </w:pPr>
            <w:r>
              <w:rPr>
                <w:rFonts w:hint="eastAsia"/>
                <w:color w:val="auto"/>
                <w:sz w:val="18"/>
                <w:szCs w:val="21"/>
                <w:highlight w:val="none"/>
                <w:lang w:val="en-US" w:eastAsia="zh-CN"/>
              </w:rPr>
              <w:t>无人机操控应用飞行平台</w:t>
            </w:r>
          </w:p>
          <w:p>
            <w:pPr>
              <w:rPr>
                <w:color w:val="auto"/>
                <w:sz w:val="18"/>
                <w:szCs w:val="21"/>
                <w:highlight w:val="none"/>
              </w:rPr>
            </w:pPr>
            <w:r>
              <w:rPr>
                <w:color w:val="auto"/>
                <w:sz w:val="18"/>
                <w:szCs w:val="21"/>
                <w:highlight w:val="none"/>
              </w:rPr>
              <w:t>1.机身对称轴距≥800mm；</w:t>
            </w:r>
          </w:p>
          <w:p>
            <w:pPr>
              <w:rPr>
                <w:color w:val="auto"/>
                <w:sz w:val="18"/>
                <w:szCs w:val="21"/>
                <w:highlight w:val="none"/>
              </w:rPr>
            </w:pPr>
            <w:r>
              <w:rPr>
                <w:color w:val="auto"/>
                <w:sz w:val="18"/>
                <w:szCs w:val="21"/>
                <w:highlight w:val="none"/>
              </w:rPr>
              <w:t>2.机臂展开方式要求为：可折叠式；脚架安装方式：快拆、装式；机身具备飞行状态指示灯；</w:t>
            </w:r>
          </w:p>
          <w:p>
            <w:pPr>
              <w:rPr>
                <w:color w:val="auto"/>
                <w:sz w:val="18"/>
                <w:szCs w:val="21"/>
                <w:highlight w:val="none"/>
              </w:rPr>
            </w:pPr>
            <w:r>
              <w:rPr>
                <w:color w:val="auto"/>
                <w:sz w:val="18"/>
                <w:szCs w:val="21"/>
                <w:highlight w:val="none"/>
              </w:rPr>
              <w:t>3.飞行器最大载重≥2.7kg，最大起飞重量≥9.2kg；</w:t>
            </w:r>
          </w:p>
          <w:p>
            <w:pPr>
              <w:rPr>
                <w:color w:val="auto"/>
                <w:sz w:val="18"/>
                <w:szCs w:val="21"/>
                <w:highlight w:val="none"/>
              </w:rPr>
            </w:pPr>
            <w:r>
              <w:rPr>
                <w:color w:val="auto"/>
                <w:sz w:val="18"/>
                <w:szCs w:val="21"/>
                <w:highlight w:val="none"/>
              </w:rPr>
              <w:t>4.悬停精度：垂直±0.1m(RTK 定位正常工作时），水平±0.1m(RTK 定位正常工作时）</w:t>
            </w:r>
          </w:p>
          <w:p>
            <w:pPr>
              <w:rPr>
                <w:color w:val="auto"/>
                <w:sz w:val="18"/>
                <w:szCs w:val="21"/>
                <w:highlight w:val="none"/>
              </w:rPr>
            </w:pPr>
            <w:r>
              <w:rPr>
                <w:color w:val="auto"/>
                <w:sz w:val="18"/>
                <w:szCs w:val="21"/>
                <w:highlight w:val="none"/>
              </w:rPr>
              <w:t>5.最大旋转角速度：俯仰轴≥300°/s ,航向轴≥100°/s；</w:t>
            </w:r>
          </w:p>
          <w:p>
            <w:pPr>
              <w:rPr>
                <w:color w:val="auto"/>
                <w:sz w:val="18"/>
                <w:szCs w:val="21"/>
                <w:highlight w:val="none"/>
              </w:rPr>
            </w:pPr>
            <w:r>
              <w:rPr>
                <w:color w:val="auto"/>
                <w:sz w:val="18"/>
                <w:szCs w:val="21"/>
                <w:highlight w:val="none"/>
              </w:rPr>
              <w:t>6.最大上升速度≥6m/s,最大下降速度≥5m/s；最大平飞速度≥23m/s；</w:t>
            </w:r>
          </w:p>
          <w:p>
            <w:pPr>
              <w:rPr>
                <w:color w:val="auto"/>
                <w:sz w:val="18"/>
                <w:szCs w:val="21"/>
                <w:highlight w:val="none"/>
              </w:rPr>
            </w:pPr>
            <w:r>
              <w:rPr>
                <w:color w:val="auto"/>
                <w:sz w:val="18"/>
                <w:szCs w:val="21"/>
                <w:highlight w:val="none"/>
              </w:rPr>
              <w:t>7.最大飞行海拔高度≥5000m；</w:t>
            </w:r>
          </w:p>
          <w:p>
            <w:pPr>
              <w:rPr>
                <w:color w:val="auto"/>
                <w:sz w:val="18"/>
                <w:szCs w:val="21"/>
                <w:highlight w:val="none"/>
              </w:rPr>
            </w:pPr>
            <w:r>
              <w:rPr>
                <w:color w:val="auto"/>
                <w:sz w:val="18"/>
                <w:szCs w:val="21"/>
                <w:highlight w:val="none"/>
              </w:rPr>
              <w:t>8.最大承受风速≥12m/s；</w:t>
            </w:r>
          </w:p>
          <w:p>
            <w:pPr>
              <w:rPr>
                <w:color w:val="auto"/>
                <w:sz w:val="18"/>
                <w:szCs w:val="21"/>
                <w:highlight w:val="none"/>
              </w:rPr>
            </w:pPr>
            <w:r>
              <w:rPr>
                <w:color w:val="auto"/>
                <w:sz w:val="18"/>
                <w:szCs w:val="21"/>
                <w:highlight w:val="none"/>
              </w:rPr>
              <w:t>9.防护等级≥IP55级（参照IEC60529标准）；</w:t>
            </w:r>
          </w:p>
          <w:p>
            <w:pPr>
              <w:rPr>
                <w:color w:val="auto"/>
                <w:sz w:val="18"/>
                <w:szCs w:val="21"/>
                <w:highlight w:val="none"/>
              </w:rPr>
            </w:pPr>
            <w:r>
              <w:rPr>
                <w:color w:val="auto"/>
                <w:sz w:val="18"/>
                <w:szCs w:val="21"/>
                <w:highlight w:val="none"/>
              </w:rPr>
              <w:t>10.最大飞行时间（空载）：不少于50分钟；</w:t>
            </w:r>
          </w:p>
          <w:p>
            <w:pPr>
              <w:rPr>
                <w:color w:val="auto"/>
                <w:sz w:val="18"/>
                <w:szCs w:val="21"/>
                <w:highlight w:val="none"/>
              </w:rPr>
            </w:pPr>
            <w:r>
              <w:rPr>
                <w:color w:val="auto"/>
                <w:sz w:val="18"/>
                <w:szCs w:val="21"/>
                <w:highlight w:val="none"/>
              </w:rPr>
              <w:t>11.最大图传距离(无遮挡，无干扰）≥20公里；</w:t>
            </w:r>
          </w:p>
          <w:p>
            <w:pPr>
              <w:rPr>
                <w:color w:val="auto"/>
                <w:sz w:val="18"/>
                <w:szCs w:val="21"/>
                <w:highlight w:val="none"/>
              </w:rPr>
            </w:pPr>
            <w:r>
              <w:rPr>
                <w:color w:val="auto"/>
                <w:sz w:val="18"/>
                <w:szCs w:val="21"/>
                <w:highlight w:val="none"/>
              </w:rPr>
              <w:t>12.飞行器至少具备RTK定位和定向能力，能够在指南针受到干扰的环境下利用RTK定向安全飞行；</w:t>
            </w:r>
          </w:p>
          <w:p>
            <w:pPr>
              <w:rPr>
                <w:color w:val="auto"/>
                <w:sz w:val="18"/>
                <w:szCs w:val="21"/>
                <w:highlight w:val="none"/>
              </w:rPr>
            </w:pPr>
            <w:r>
              <w:rPr>
                <w:color w:val="auto"/>
                <w:sz w:val="18"/>
                <w:szCs w:val="21"/>
                <w:highlight w:val="none"/>
              </w:rPr>
              <w:t>13.遥控器内置高亮触摸屏，且尺寸不小于7英寸；</w:t>
            </w:r>
          </w:p>
          <w:p>
            <w:pPr>
              <w:rPr>
                <w:color w:val="auto"/>
                <w:sz w:val="18"/>
                <w:szCs w:val="21"/>
                <w:highlight w:val="none"/>
              </w:rPr>
            </w:pPr>
            <w:r>
              <w:rPr>
                <w:color w:val="auto"/>
                <w:sz w:val="18"/>
                <w:szCs w:val="21"/>
                <w:highlight w:val="none"/>
              </w:rPr>
              <w:t>14.至少具备蓝牙以及卫星定位功能，且可以支持通过Wi-Fi或4G无线上网卡得方式连接至互联网；</w:t>
            </w:r>
          </w:p>
          <w:p>
            <w:pPr>
              <w:rPr>
                <w:color w:val="auto"/>
                <w:sz w:val="18"/>
                <w:szCs w:val="21"/>
                <w:highlight w:val="none"/>
              </w:rPr>
            </w:pPr>
            <w:r>
              <w:rPr>
                <w:color w:val="auto"/>
                <w:sz w:val="18"/>
                <w:szCs w:val="21"/>
                <w:highlight w:val="none"/>
              </w:rPr>
              <w:t>15.遥控器至少支持使用内置电池工作，也可支持使用内置电池与外置电池结合使用的方式进行工作；电池续航时间不少于6小时；</w:t>
            </w:r>
          </w:p>
          <w:p>
            <w:pPr>
              <w:rPr>
                <w:color w:val="auto"/>
                <w:sz w:val="18"/>
                <w:szCs w:val="21"/>
                <w:highlight w:val="none"/>
              </w:rPr>
            </w:pPr>
            <w:r>
              <w:rPr>
                <w:color w:val="auto"/>
                <w:sz w:val="18"/>
                <w:szCs w:val="21"/>
                <w:highlight w:val="none"/>
              </w:rPr>
              <w:t>16.飞行模式不少于三种，至少包含P模式（定位）、S模式（运动）、A模式（姿态）；遥控器具备飞行器模式切换开关；</w:t>
            </w:r>
          </w:p>
          <w:p>
            <w:pPr>
              <w:rPr>
                <w:color w:val="auto"/>
                <w:sz w:val="18"/>
                <w:szCs w:val="21"/>
                <w:highlight w:val="none"/>
              </w:rPr>
            </w:pPr>
            <w:r>
              <w:rPr>
                <w:color w:val="auto"/>
                <w:sz w:val="18"/>
                <w:szCs w:val="21"/>
                <w:highlight w:val="none"/>
              </w:rPr>
              <w:t>17.补光灯有效照明距离≥5m；照明方式常亮；</w:t>
            </w:r>
          </w:p>
          <w:p>
            <w:pPr>
              <w:rPr>
                <w:color w:val="auto"/>
                <w:sz w:val="18"/>
                <w:szCs w:val="21"/>
                <w:highlight w:val="none"/>
              </w:rPr>
            </w:pPr>
            <w:r>
              <w:rPr>
                <w:color w:val="auto"/>
                <w:sz w:val="18"/>
                <w:szCs w:val="21"/>
                <w:highlight w:val="none"/>
              </w:rPr>
              <w:t>18.FPV摄像头分辨率不小于1080p；帧率≥30fps；</w:t>
            </w:r>
          </w:p>
          <w:p>
            <w:pPr>
              <w:rPr>
                <w:color w:val="auto"/>
                <w:sz w:val="18"/>
                <w:szCs w:val="21"/>
                <w:highlight w:val="none"/>
              </w:rPr>
            </w:pPr>
            <w:r>
              <w:rPr>
                <w:color w:val="auto"/>
                <w:sz w:val="18"/>
                <w:szCs w:val="21"/>
                <w:highlight w:val="none"/>
              </w:rPr>
              <w:t>19.飞行器至少具备自动返航功能，不少于三种返航方式，至少包含智能返航、智能低电量返航、失控返航；飞行器至少具备降落保护功能；</w:t>
            </w:r>
          </w:p>
          <w:p>
            <w:pPr>
              <w:rPr>
                <w:color w:val="auto"/>
                <w:sz w:val="18"/>
                <w:szCs w:val="21"/>
                <w:highlight w:val="none"/>
              </w:rPr>
            </w:pPr>
            <w:r>
              <w:rPr>
                <w:color w:val="auto"/>
                <w:sz w:val="18"/>
                <w:szCs w:val="21"/>
                <w:highlight w:val="none"/>
              </w:rPr>
              <w:t>20.飞行器至少具备飞行数据记录功能，所有飞行数据可存储于飞行器中，保持飞行器开启连接至电脑，通过相应软件可导出飞行数据；</w:t>
            </w:r>
          </w:p>
          <w:p>
            <w:pPr>
              <w:rPr>
                <w:color w:val="auto"/>
                <w:sz w:val="18"/>
                <w:szCs w:val="21"/>
                <w:highlight w:val="none"/>
              </w:rPr>
            </w:pPr>
            <w:r>
              <w:rPr>
                <w:color w:val="auto"/>
                <w:sz w:val="18"/>
                <w:szCs w:val="21"/>
                <w:highlight w:val="none"/>
              </w:rPr>
              <w:t>21.飞行器至少支持高级双控模式，适用于双人同时操控一台飞行器；</w:t>
            </w:r>
          </w:p>
          <w:p>
            <w:pPr>
              <w:rPr>
                <w:rFonts w:eastAsia="宋体" w:cs="Times New Roman"/>
                <w:color w:val="auto"/>
                <w:sz w:val="18"/>
                <w:szCs w:val="21"/>
                <w:highlight w:val="none"/>
              </w:rPr>
            </w:pPr>
            <w:r>
              <w:rPr>
                <w:color w:val="auto"/>
                <w:sz w:val="18"/>
                <w:szCs w:val="21"/>
                <w:highlight w:val="none"/>
              </w:rPr>
              <w:t>22.至少支持两</w:t>
            </w:r>
            <w:r>
              <w:rPr>
                <w:rFonts w:eastAsia="宋体" w:cs="Times New Roman"/>
                <w:color w:val="auto"/>
                <w:sz w:val="18"/>
                <w:szCs w:val="21"/>
                <w:highlight w:val="none"/>
              </w:rPr>
              <w:t>路1080p图传；</w:t>
            </w:r>
          </w:p>
          <w:p>
            <w:pPr>
              <w:rPr>
                <w:rFonts w:hint="default" w:eastAsia="宋体" w:cs="Times New Roman"/>
                <w:color w:val="auto"/>
                <w:sz w:val="18"/>
                <w:szCs w:val="21"/>
                <w:highlight w:val="none"/>
                <w:lang w:val="en-US" w:eastAsia="zh-CN"/>
              </w:rPr>
            </w:pPr>
            <w:r>
              <w:rPr>
                <w:rFonts w:hint="eastAsia" w:ascii="仿宋" w:hAnsi="仿宋" w:eastAsia="仿宋" w:cs="仿宋"/>
                <w:color w:val="auto"/>
                <w:sz w:val="18"/>
                <w:szCs w:val="21"/>
                <w:highlight w:val="none"/>
              </w:rPr>
              <w:t>▲</w:t>
            </w:r>
            <w:r>
              <w:rPr>
                <w:rFonts w:eastAsia="宋体" w:cs="Times New Roman"/>
                <w:color w:val="auto"/>
                <w:sz w:val="18"/>
                <w:szCs w:val="21"/>
                <w:highlight w:val="none"/>
              </w:rPr>
              <w:t>23.该飞行器配套软件APP，至少支持进行航线规划，自动作业功能。</w:t>
            </w:r>
            <w:r>
              <w:rPr>
                <w:rFonts w:hint="eastAsia" w:cs="Times New Roman"/>
                <w:color w:val="auto"/>
                <w:sz w:val="18"/>
                <w:szCs w:val="21"/>
                <w:highlight w:val="none"/>
                <w:lang w:val="en-US" w:eastAsia="zh-CN"/>
              </w:rPr>
              <w:t>提供相关软件截图</w:t>
            </w:r>
          </w:p>
          <w:p>
            <w:pPr>
              <w:rPr>
                <w:rFonts w:eastAsia="宋体" w:cs="Times New Roman"/>
                <w:color w:val="auto"/>
                <w:sz w:val="18"/>
                <w:szCs w:val="21"/>
                <w:highlight w:val="none"/>
              </w:rPr>
            </w:pPr>
            <w:r>
              <w:rPr>
                <w:rFonts w:hint="eastAsia" w:ascii="仿宋" w:hAnsi="仿宋" w:eastAsia="仿宋" w:cs="仿宋"/>
                <w:color w:val="auto"/>
                <w:sz w:val="18"/>
                <w:szCs w:val="21"/>
                <w:highlight w:val="none"/>
              </w:rPr>
              <w:t>▲</w:t>
            </w:r>
            <w:r>
              <w:rPr>
                <w:rFonts w:eastAsia="宋体" w:cs="Times New Roman"/>
                <w:color w:val="auto"/>
                <w:sz w:val="18"/>
                <w:szCs w:val="21"/>
                <w:highlight w:val="none"/>
              </w:rPr>
              <w:t>24.具备飞行器健康管理系统：至少包含异常诊断，日志管理，保养指导等模块；</w:t>
            </w:r>
          </w:p>
          <w:p>
            <w:pPr>
              <w:rPr>
                <w:rFonts w:hint="eastAsia" w:ascii="仿宋" w:hAnsi="仿宋" w:eastAsia="宋体" w:cs="Times New Roman"/>
                <w:b/>
                <w:color w:val="auto"/>
                <w:kern w:val="2"/>
                <w:sz w:val="21"/>
                <w:szCs w:val="21"/>
                <w:highlight w:val="none"/>
                <w:lang w:val="en-US" w:eastAsia="zh-CN" w:bidi="ar-SA"/>
              </w:rPr>
            </w:pPr>
            <w:r>
              <w:rPr>
                <w:rFonts w:hint="eastAsia" w:ascii="仿宋" w:hAnsi="仿宋" w:eastAsia="仿宋" w:cs="仿宋"/>
                <w:color w:val="auto"/>
                <w:sz w:val="18"/>
                <w:szCs w:val="21"/>
                <w:highlight w:val="none"/>
              </w:rPr>
              <w:t>▲</w:t>
            </w:r>
            <w:r>
              <w:rPr>
                <w:rFonts w:eastAsia="宋体" w:cs="Times New Roman"/>
                <w:color w:val="auto"/>
                <w:sz w:val="18"/>
                <w:szCs w:val="21"/>
                <w:highlight w:val="none"/>
              </w:rPr>
              <w:t>25.具备地理围栏系统，可提供实时空域信息，还可提供飞行安全与飞行限制相关信息实现特殊区域飞行限制功能</w:t>
            </w:r>
            <w:r>
              <w:rPr>
                <w:rFonts w:hint="eastAsia" w:cs="Times New Roman"/>
                <w:color w:val="auto"/>
                <w:sz w:val="18"/>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widowControl/>
              <w:jc w:val="left"/>
              <w:rPr>
                <w:rFonts w:hint="eastAsia" w:ascii="宋体" w:hAnsi="宋体" w:eastAsia="宋体" w:cs="宋体"/>
                <w:bCs/>
                <w:color w:val="auto"/>
                <w:szCs w:val="21"/>
                <w:highlight w:val="none"/>
                <w:lang w:val="en-US" w:eastAsia="zh-CN"/>
              </w:rPr>
            </w:pPr>
          </w:p>
        </w:tc>
        <w:tc>
          <w:tcPr>
            <w:tcW w:w="1476" w:type="dxa"/>
            <w:vMerge w:val="continue"/>
            <w:vAlign w:val="center"/>
          </w:tcPr>
          <w:p>
            <w:pPr>
              <w:rPr>
                <w:rFonts w:ascii="仿宋" w:hAnsi="仿宋" w:eastAsia="仿宋" w:cs="Times New Roman"/>
                <w:b/>
                <w:color w:val="auto"/>
                <w:kern w:val="2"/>
                <w:sz w:val="21"/>
                <w:szCs w:val="21"/>
                <w:highlight w:val="none"/>
                <w:lang w:val="en-US" w:eastAsia="zh-CN" w:bidi="ar-SA"/>
              </w:rPr>
            </w:pPr>
          </w:p>
        </w:tc>
        <w:tc>
          <w:tcPr>
            <w:tcW w:w="5986" w:type="dxa"/>
            <w:vAlign w:val="center"/>
          </w:tcPr>
          <w:p>
            <w:pPr>
              <w:jc w:val="left"/>
              <w:rPr>
                <w:rFonts w:hint="default" w:eastAsia="宋体"/>
                <w:color w:val="auto"/>
                <w:sz w:val="18"/>
                <w:szCs w:val="21"/>
                <w:highlight w:val="none"/>
                <w:lang w:val="en-US" w:eastAsia="zh-CN"/>
              </w:rPr>
            </w:pPr>
            <w:r>
              <w:rPr>
                <w:rFonts w:hint="eastAsia"/>
                <w:color w:val="auto"/>
                <w:sz w:val="18"/>
                <w:szCs w:val="21"/>
                <w:highlight w:val="none"/>
                <w:lang w:val="en-US" w:eastAsia="zh-CN"/>
              </w:rPr>
              <w:t>智能飞行器电池*4</w:t>
            </w:r>
          </w:p>
          <w:p>
            <w:pPr>
              <w:jc w:val="left"/>
              <w:rPr>
                <w:color w:val="auto"/>
                <w:sz w:val="18"/>
                <w:szCs w:val="21"/>
                <w:highlight w:val="none"/>
              </w:rPr>
            </w:pPr>
            <w:r>
              <w:rPr>
                <w:color w:val="auto"/>
                <w:sz w:val="18"/>
                <w:szCs w:val="21"/>
                <w:highlight w:val="none"/>
              </w:rPr>
              <w:t>1.容量≥5800mAh，电压≥44.7 V，</w:t>
            </w:r>
          </w:p>
          <w:p>
            <w:pPr>
              <w:jc w:val="left"/>
              <w:rPr>
                <w:color w:val="auto"/>
                <w:sz w:val="18"/>
                <w:szCs w:val="21"/>
                <w:highlight w:val="none"/>
              </w:rPr>
            </w:pPr>
            <w:r>
              <w:rPr>
                <w:color w:val="auto"/>
                <w:sz w:val="18"/>
                <w:szCs w:val="21"/>
                <w:highlight w:val="none"/>
              </w:rPr>
              <w:t>2.工作温度支持-20℃至50℃；符合IP45防护等级；</w:t>
            </w:r>
          </w:p>
          <w:p>
            <w:pPr>
              <w:jc w:val="left"/>
              <w:rPr>
                <w:color w:val="auto"/>
                <w:sz w:val="18"/>
                <w:szCs w:val="21"/>
                <w:highlight w:val="none"/>
              </w:rPr>
            </w:pPr>
            <w:r>
              <w:rPr>
                <w:color w:val="auto"/>
                <w:sz w:val="18"/>
                <w:szCs w:val="21"/>
                <w:highlight w:val="none"/>
              </w:rPr>
              <w:t>3.电池冗余：支持双电池并联供电，当一块电池出现故障时，飞行器应仍能正常工作；</w:t>
            </w:r>
          </w:p>
          <w:p>
            <w:pPr>
              <w:jc w:val="left"/>
              <w:rPr>
                <w:color w:val="auto"/>
                <w:sz w:val="18"/>
                <w:szCs w:val="21"/>
                <w:highlight w:val="none"/>
              </w:rPr>
            </w:pPr>
            <w:r>
              <w:rPr>
                <w:color w:val="auto"/>
                <w:sz w:val="18"/>
                <w:szCs w:val="21"/>
                <w:highlight w:val="none"/>
              </w:rPr>
              <w:t>4.支持自动放电储存保护功能，电池在无任何操作存储达到设定天数（1天至10天可设）时，电池能自动放电至60%左右电量，以保护电池；</w:t>
            </w:r>
          </w:p>
          <w:p>
            <w:pPr>
              <w:jc w:val="left"/>
              <w:rPr>
                <w:color w:val="auto"/>
                <w:sz w:val="18"/>
                <w:szCs w:val="21"/>
                <w:highlight w:val="none"/>
              </w:rPr>
            </w:pPr>
            <w:r>
              <w:rPr>
                <w:color w:val="auto"/>
                <w:sz w:val="18"/>
                <w:szCs w:val="21"/>
                <w:highlight w:val="none"/>
              </w:rPr>
              <w:t>5.具备自动平衡保护功能，可自动平衡内部电压；</w:t>
            </w:r>
          </w:p>
          <w:p>
            <w:pPr>
              <w:jc w:val="left"/>
              <w:rPr>
                <w:color w:val="auto"/>
                <w:sz w:val="18"/>
                <w:szCs w:val="21"/>
                <w:highlight w:val="none"/>
              </w:rPr>
            </w:pPr>
            <w:r>
              <w:rPr>
                <w:color w:val="auto"/>
                <w:sz w:val="18"/>
                <w:szCs w:val="21"/>
                <w:highlight w:val="none"/>
              </w:rPr>
              <w:t>6.具备短路保护功能，在电池检测到短路的情况下会自动切断输出；</w:t>
            </w:r>
          </w:p>
          <w:p>
            <w:pPr>
              <w:rPr>
                <w:rFonts w:hint="eastAsia" w:ascii="仿宋" w:hAnsi="仿宋" w:eastAsia="仿宋" w:cs="Times New Roman"/>
                <w:b/>
                <w:color w:val="auto"/>
                <w:kern w:val="2"/>
                <w:sz w:val="21"/>
                <w:szCs w:val="21"/>
                <w:highlight w:val="none"/>
                <w:lang w:val="en-US" w:eastAsia="zh-CN" w:bidi="ar-SA"/>
              </w:rPr>
            </w:pPr>
            <w:r>
              <w:rPr>
                <w:color w:val="auto"/>
                <w:sz w:val="18"/>
                <w:szCs w:val="21"/>
                <w:highlight w:val="none"/>
              </w:rPr>
              <w:t>7.具备电芯损坏检测功能，在电池检测到电芯损坏或者是严重不平衡的情况下，会提示电池已经损坏。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color w:val="auto"/>
                <w:szCs w:val="21"/>
                <w:highlight w:val="none"/>
                <w:lang w:val="en-US" w:eastAsia="zh-CN"/>
              </w:rPr>
            </w:pPr>
          </w:p>
        </w:tc>
        <w:tc>
          <w:tcPr>
            <w:tcW w:w="1476" w:type="dxa"/>
            <w:vMerge w:val="continue"/>
          </w:tcPr>
          <w:p>
            <w:pPr>
              <w:rPr>
                <w:rFonts w:ascii="仿宋" w:hAnsi="仿宋" w:eastAsia="仿宋" w:cs="Times New Roman"/>
                <w:b/>
                <w:color w:val="auto"/>
                <w:kern w:val="2"/>
                <w:sz w:val="21"/>
                <w:szCs w:val="21"/>
                <w:highlight w:val="none"/>
                <w:lang w:val="en-US" w:eastAsia="zh-CN" w:bidi="ar-SA"/>
              </w:rPr>
            </w:pPr>
          </w:p>
        </w:tc>
        <w:tc>
          <w:tcPr>
            <w:tcW w:w="0" w:type="auto"/>
            <w:vAlign w:val="center"/>
          </w:tcPr>
          <w:p>
            <w:pPr>
              <w:jc w:val="left"/>
              <w:rPr>
                <w:rFonts w:hint="default" w:eastAsia="宋体"/>
                <w:color w:val="auto"/>
                <w:sz w:val="18"/>
                <w:szCs w:val="21"/>
                <w:highlight w:val="none"/>
                <w:lang w:val="en-US" w:eastAsia="zh-CN"/>
              </w:rPr>
            </w:pPr>
            <w:r>
              <w:rPr>
                <w:rFonts w:hint="eastAsia"/>
                <w:color w:val="auto"/>
                <w:sz w:val="18"/>
                <w:szCs w:val="21"/>
                <w:highlight w:val="none"/>
                <w:lang w:val="en-US" w:eastAsia="zh-CN"/>
              </w:rPr>
              <w:t>多功能云台相机</w:t>
            </w:r>
          </w:p>
          <w:p>
            <w:pPr>
              <w:jc w:val="left"/>
              <w:rPr>
                <w:color w:val="auto"/>
                <w:sz w:val="18"/>
                <w:szCs w:val="21"/>
                <w:highlight w:val="none"/>
              </w:rPr>
            </w:pPr>
            <w:r>
              <w:rPr>
                <w:color w:val="auto"/>
                <w:sz w:val="18"/>
                <w:szCs w:val="21"/>
                <w:highlight w:val="none"/>
              </w:rPr>
              <w:t>1.防水等级≥IP44，人眼安全等级≥Class 1M；</w:t>
            </w:r>
          </w:p>
          <w:p>
            <w:pPr>
              <w:jc w:val="left"/>
              <w:rPr>
                <w:color w:val="auto"/>
                <w:sz w:val="18"/>
                <w:szCs w:val="21"/>
                <w:highlight w:val="none"/>
              </w:rPr>
            </w:pPr>
            <w:r>
              <w:rPr>
                <w:color w:val="auto"/>
                <w:sz w:val="18"/>
                <w:szCs w:val="21"/>
                <w:highlight w:val="none"/>
              </w:rPr>
              <w:t>2.设备存储温度支持-20℃ 至 60℃；</w:t>
            </w:r>
          </w:p>
          <w:p>
            <w:pPr>
              <w:jc w:val="left"/>
              <w:rPr>
                <w:color w:val="auto"/>
                <w:sz w:val="18"/>
                <w:szCs w:val="21"/>
                <w:highlight w:val="none"/>
              </w:rPr>
            </w:pPr>
            <w:r>
              <w:rPr>
                <w:color w:val="auto"/>
                <w:sz w:val="18"/>
                <w:szCs w:val="21"/>
                <w:highlight w:val="none"/>
              </w:rPr>
              <w:t>3.云台安装方式支持可拆装式；</w:t>
            </w:r>
          </w:p>
          <w:p>
            <w:pPr>
              <w:jc w:val="left"/>
              <w:rPr>
                <w:color w:val="auto"/>
                <w:sz w:val="18"/>
                <w:szCs w:val="21"/>
                <w:highlight w:val="none"/>
              </w:rPr>
            </w:pPr>
            <w:r>
              <w:rPr>
                <w:color w:val="auto"/>
                <w:sz w:val="18"/>
                <w:szCs w:val="21"/>
                <w:highlight w:val="none"/>
              </w:rPr>
              <w:t>4.云台角度抖动量≤±0.01°；</w:t>
            </w:r>
          </w:p>
          <w:p>
            <w:pPr>
              <w:jc w:val="left"/>
              <w:rPr>
                <w:color w:val="auto"/>
                <w:sz w:val="18"/>
                <w:szCs w:val="21"/>
                <w:highlight w:val="none"/>
              </w:rPr>
            </w:pPr>
            <w:r>
              <w:rPr>
                <w:color w:val="auto"/>
                <w:sz w:val="18"/>
                <w:szCs w:val="21"/>
                <w:highlight w:val="none"/>
              </w:rPr>
              <w:t>5.变焦相机影像传感器1\1.7 CMOS，有效像素不小于2000万；</w:t>
            </w:r>
          </w:p>
          <w:p>
            <w:pPr>
              <w:jc w:val="left"/>
              <w:rPr>
                <w:color w:val="auto"/>
                <w:sz w:val="18"/>
                <w:szCs w:val="21"/>
                <w:highlight w:val="none"/>
              </w:rPr>
            </w:pPr>
            <w:r>
              <w:rPr>
                <w:color w:val="auto"/>
                <w:sz w:val="18"/>
                <w:szCs w:val="21"/>
                <w:highlight w:val="none"/>
              </w:rPr>
              <w:t>6.曝光方式不少于两种，且支持程序自动曝光以及手动曝光；</w:t>
            </w:r>
          </w:p>
          <w:p>
            <w:pPr>
              <w:jc w:val="left"/>
              <w:rPr>
                <w:color w:val="auto"/>
                <w:sz w:val="18"/>
                <w:szCs w:val="21"/>
                <w:highlight w:val="none"/>
              </w:rPr>
            </w:pPr>
            <w:r>
              <w:rPr>
                <w:color w:val="auto"/>
                <w:sz w:val="18"/>
                <w:szCs w:val="21"/>
                <w:highlight w:val="none"/>
              </w:rPr>
              <w:t>7.至少支持点测光、中央重点测光两种测光模式，且至少支持测光锁定；</w:t>
            </w:r>
          </w:p>
          <w:p>
            <w:pPr>
              <w:jc w:val="left"/>
              <w:rPr>
                <w:color w:val="auto"/>
                <w:sz w:val="18"/>
                <w:szCs w:val="21"/>
                <w:highlight w:val="none"/>
              </w:rPr>
            </w:pPr>
            <w:r>
              <w:rPr>
                <w:color w:val="auto"/>
                <w:sz w:val="18"/>
                <w:szCs w:val="21"/>
                <w:highlight w:val="none"/>
              </w:rPr>
              <w:t>8.电子快门最快速度不小1/8000s；</w:t>
            </w:r>
          </w:p>
          <w:p>
            <w:pPr>
              <w:jc w:val="left"/>
              <w:rPr>
                <w:color w:val="auto"/>
                <w:sz w:val="18"/>
                <w:szCs w:val="21"/>
                <w:highlight w:val="none"/>
              </w:rPr>
            </w:pPr>
            <w:r>
              <w:rPr>
                <w:color w:val="auto"/>
                <w:sz w:val="18"/>
                <w:szCs w:val="21"/>
                <w:highlight w:val="none"/>
              </w:rPr>
              <w:t>9.照片拍摄ISO范围支持照片：100 ～25600；</w:t>
            </w:r>
          </w:p>
          <w:p>
            <w:pPr>
              <w:jc w:val="left"/>
              <w:rPr>
                <w:color w:val="auto"/>
                <w:sz w:val="18"/>
                <w:szCs w:val="21"/>
                <w:highlight w:val="none"/>
              </w:rPr>
            </w:pPr>
            <w:r>
              <w:rPr>
                <w:color w:val="auto"/>
                <w:sz w:val="18"/>
                <w:szCs w:val="21"/>
                <w:highlight w:val="none"/>
              </w:rPr>
              <w:t>10.视频分辨率不小于3840x2160 @30fps；</w:t>
            </w:r>
          </w:p>
          <w:p>
            <w:pPr>
              <w:jc w:val="left"/>
              <w:rPr>
                <w:color w:val="auto"/>
                <w:sz w:val="18"/>
                <w:szCs w:val="21"/>
                <w:highlight w:val="none"/>
              </w:rPr>
            </w:pPr>
            <w:r>
              <w:rPr>
                <w:color w:val="auto"/>
                <w:sz w:val="18"/>
                <w:szCs w:val="21"/>
                <w:highlight w:val="none"/>
              </w:rPr>
              <w:t>11.至少支持MP4视频拍摄格式和支持JPEG照片拍摄格式；</w:t>
            </w:r>
          </w:p>
          <w:p>
            <w:pPr>
              <w:jc w:val="left"/>
              <w:rPr>
                <w:color w:val="auto"/>
                <w:sz w:val="18"/>
                <w:szCs w:val="21"/>
                <w:highlight w:val="none"/>
              </w:rPr>
            </w:pPr>
            <w:r>
              <w:rPr>
                <w:color w:val="auto"/>
                <w:sz w:val="18"/>
                <w:szCs w:val="21"/>
                <w:highlight w:val="none"/>
              </w:rPr>
              <w:t>12.广角相机有效像素不少于1200万；</w:t>
            </w:r>
          </w:p>
          <w:p>
            <w:pPr>
              <w:jc w:val="left"/>
              <w:rPr>
                <w:color w:val="auto"/>
                <w:sz w:val="18"/>
                <w:szCs w:val="21"/>
                <w:highlight w:val="none"/>
              </w:rPr>
            </w:pPr>
            <w:r>
              <w:rPr>
                <w:color w:val="auto"/>
                <w:sz w:val="18"/>
                <w:szCs w:val="21"/>
                <w:highlight w:val="none"/>
              </w:rPr>
              <w:t>13.广角相机视频拍摄分辨率不小于1920×1080@30fps；</w:t>
            </w:r>
          </w:p>
          <w:p>
            <w:pPr>
              <w:jc w:val="left"/>
              <w:rPr>
                <w:color w:val="auto"/>
                <w:sz w:val="18"/>
                <w:szCs w:val="21"/>
                <w:highlight w:val="none"/>
              </w:rPr>
            </w:pPr>
            <w:r>
              <w:rPr>
                <w:color w:val="auto"/>
                <w:sz w:val="18"/>
                <w:szCs w:val="21"/>
                <w:highlight w:val="none"/>
              </w:rPr>
              <w:t>14.热成像相机传感器类型为非制冷氧化钒（VOx）微测热辐射计；</w:t>
            </w:r>
          </w:p>
          <w:p>
            <w:pPr>
              <w:jc w:val="left"/>
              <w:rPr>
                <w:color w:val="auto"/>
                <w:sz w:val="18"/>
                <w:szCs w:val="21"/>
                <w:highlight w:val="none"/>
              </w:rPr>
            </w:pPr>
            <w:r>
              <w:rPr>
                <w:color w:val="auto"/>
                <w:sz w:val="18"/>
                <w:szCs w:val="21"/>
                <w:highlight w:val="none"/>
              </w:rPr>
              <w:t>15.至少支持1x，2x，4x，8x数字变焦；</w:t>
            </w:r>
          </w:p>
          <w:p>
            <w:pPr>
              <w:jc w:val="left"/>
              <w:rPr>
                <w:color w:val="auto"/>
                <w:sz w:val="18"/>
                <w:szCs w:val="21"/>
                <w:highlight w:val="none"/>
              </w:rPr>
            </w:pPr>
            <w:r>
              <w:rPr>
                <w:color w:val="auto"/>
                <w:sz w:val="18"/>
                <w:szCs w:val="21"/>
                <w:highlight w:val="none"/>
              </w:rPr>
              <w:t>16.热成像相机视频拍摄分辨率不小于640×512 @ 30 Hz；</w:t>
            </w:r>
          </w:p>
          <w:p>
            <w:pPr>
              <w:jc w:val="left"/>
              <w:rPr>
                <w:color w:val="auto"/>
                <w:sz w:val="18"/>
                <w:szCs w:val="21"/>
                <w:highlight w:val="none"/>
              </w:rPr>
            </w:pPr>
            <w:r>
              <w:rPr>
                <w:color w:val="auto"/>
                <w:sz w:val="18"/>
                <w:szCs w:val="21"/>
                <w:highlight w:val="none"/>
              </w:rPr>
              <w:t>17.测温方式至少支持点测温、区域测温；</w:t>
            </w:r>
          </w:p>
          <w:p>
            <w:pPr>
              <w:jc w:val="left"/>
              <w:rPr>
                <w:color w:val="auto"/>
                <w:sz w:val="18"/>
                <w:szCs w:val="21"/>
                <w:highlight w:val="none"/>
              </w:rPr>
            </w:pPr>
            <w:r>
              <w:rPr>
                <w:color w:val="auto"/>
                <w:sz w:val="18"/>
                <w:szCs w:val="21"/>
                <w:highlight w:val="none"/>
              </w:rPr>
              <w:t>18.至少支持高温警报功能；</w:t>
            </w:r>
          </w:p>
          <w:p>
            <w:pPr>
              <w:jc w:val="left"/>
              <w:rPr>
                <w:color w:val="auto"/>
                <w:sz w:val="18"/>
                <w:szCs w:val="21"/>
                <w:highlight w:val="none"/>
              </w:rPr>
            </w:pPr>
            <w:r>
              <w:rPr>
                <w:color w:val="auto"/>
                <w:sz w:val="18"/>
                <w:szCs w:val="21"/>
                <w:highlight w:val="none"/>
              </w:rPr>
              <w:t>19.激光测距仪波长不小于905 nm；</w:t>
            </w:r>
          </w:p>
          <w:p>
            <w:pPr>
              <w:jc w:val="left"/>
              <w:rPr>
                <w:color w:val="auto"/>
                <w:sz w:val="18"/>
                <w:szCs w:val="21"/>
                <w:highlight w:val="none"/>
              </w:rPr>
            </w:pPr>
            <w:r>
              <w:rPr>
                <w:color w:val="auto"/>
                <w:sz w:val="18"/>
                <w:szCs w:val="21"/>
                <w:highlight w:val="none"/>
              </w:rPr>
              <w:t>20.激光测距仪测量范围不小于1200 m；</w:t>
            </w:r>
          </w:p>
          <w:p>
            <w:pPr>
              <w:jc w:val="left"/>
              <w:rPr>
                <w:color w:val="auto"/>
                <w:sz w:val="18"/>
                <w:szCs w:val="21"/>
                <w:highlight w:val="none"/>
              </w:rPr>
            </w:pPr>
            <w:r>
              <w:rPr>
                <w:color w:val="auto"/>
                <w:sz w:val="18"/>
                <w:szCs w:val="21"/>
                <w:highlight w:val="none"/>
              </w:rPr>
              <w:t>21.相机混合光学变焦倍数不少于23倍</w:t>
            </w:r>
          </w:p>
          <w:p>
            <w:pPr>
              <w:jc w:val="left"/>
              <w:rPr>
                <w:color w:val="auto"/>
                <w:sz w:val="18"/>
                <w:szCs w:val="21"/>
                <w:highlight w:val="none"/>
              </w:rPr>
            </w:pPr>
            <w:r>
              <w:rPr>
                <w:color w:val="auto"/>
                <w:sz w:val="18"/>
                <w:szCs w:val="21"/>
                <w:highlight w:val="none"/>
              </w:rPr>
              <w:t>22.至少支持联动拍摄模式，变焦、广角、热成像相机同时拍照/录像功能；</w:t>
            </w:r>
          </w:p>
          <w:p>
            <w:pPr>
              <w:jc w:val="left"/>
              <w:rPr>
                <w:color w:val="auto"/>
                <w:sz w:val="18"/>
                <w:szCs w:val="21"/>
                <w:highlight w:val="none"/>
              </w:rPr>
            </w:pPr>
            <w:r>
              <w:rPr>
                <w:color w:val="auto"/>
                <w:sz w:val="18"/>
                <w:szCs w:val="21"/>
                <w:highlight w:val="none"/>
              </w:rPr>
              <w:t>23.最大变焦倍数不小于200倍；</w:t>
            </w:r>
          </w:p>
          <w:p>
            <w:pPr>
              <w:jc w:val="left"/>
              <w:rPr>
                <w:color w:val="auto"/>
                <w:sz w:val="18"/>
                <w:szCs w:val="21"/>
                <w:highlight w:val="none"/>
              </w:rPr>
            </w:pPr>
            <w:r>
              <w:rPr>
                <w:color w:val="auto"/>
                <w:sz w:val="18"/>
                <w:szCs w:val="21"/>
                <w:highlight w:val="none"/>
              </w:rPr>
              <w:t>24.至少支持指点对准功能、超清矩阵拍摄功能，夜景拍摄模式；</w:t>
            </w:r>
          </w:p>
          <w:p>
            <w:pPr>
              <w:jc w:val="left"/>
              <w:rPr>
                <w:color w:val="auto"/>
                <w:sz w:val="18"/>
                <w:szCs w:val="21"/>
                <w:highlight w:val="none"/>
              </w:rPr>
            </w:pPr>
            <w:r>
              <w:rPr>
                <w:color w:val="auto"/>
                <w:sz w:val="18"/>
                <w:szCs w:val="21"/>
                <w:highlight w:val="none"/>
              </w:rPr>
              <w:t>25.对焦模式至少支持手动对焦，自动连续对焦、自动单点对焦模式；</w:t>
            </w:r>
          </w:p>
          <w:p>
            <w:pPr>
              <w:rPr>
                <w:rFonts w:hint="eastAsia" w:ascii="仿宋" w:hAnsi="仿宋" w:eastAsia="仿宋" w:cs="Times New Roman"/>
                <w:b/>
                <w:color w:val="auto"/>
                <w:kern w:val="2"/>
                <w:sz w:val="21"/>
                <w:szCs w:val="21"/>
                <w:highlight w:val="none"/>
                <w:lang w:val="en-US" w:eastAsia="zh-CN" w:bidi="ar-SA"/>
              </w:rPr>
            </w:pPr>
            <w:r>
              <w:rPr>
                <w:color w:val="auto"/>
                <w:sz w:val="18"/>
                <w:szCs w:val="21"/>
                <w:highlight w:val="none"/>
              </w:rPr>
              <w:t>26.红外热成像至少提供调色板、等温线、点测温，数字变焦功能。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tcPr>
          <w:p>
            <w:pPr>
              <w:widowControl/>
              <w:jc w:val="left"/>
              <w:rPr>
                <w:rFonts w:hint="eastAsia" w:ascii="宋体" w:hAnsi="宋体" w:eastAsia="宋体" w:cs="宋体"/>
                <w:bCs/>
                <w:color w:val="auto"/>
                <w:szCs w:val="21"/>
                <w:highlight w:val="none"/>
                <w:lang w:val="en-US" w:eastAsia="zh-CN"/>
              </w:rPr>
            </w:pPr>
          </w:p>
        </w:tc>
        <w:tc>
          <w:tcPr>
            <w:tcW w:w="1476" w:type="dxa"/>
            <w:vMerge w:val="continue"/>
          </w:tcPr>
          <w:p>
            <w:pPr>
              <w:rPr>
                <w:rFonts w:ascii="仿宋" w:hAnsi="仿宋" w:eastAsia="仿宋" w:cs="Times New Roman"/>
                <w:b/>
                <w:color w:val="auto"/>
                <w:kern w:val="2"/>
                <w:sz w:val="21"/>
                <w:szCs w:val="21"/>
                <w:highlight w:val="none"/>
                <w:lang w:val="en-US" w:eastAsia="zh-CN" w:bidi="ar-SA"/>
              </w:rPr>
            </w:pPr>
          </w:p>
        </w:tc>
        <w:tc>
          <w:tcPr>
            <w:tcW w:w="0" w:type="auto"/>
            <w:vAlign w:val="center"/>
          </w:tcPr>
          <w:p>
            <w:pPr>
              <w:jc w:val="left"/>
              <w:rPr>
                <w:color w:val="auto"/>
                <w:sz w:val="18"/>
                <w:szCs w:val="21"/>
                <w:highlight w:val="none"/>
              </w:rPr>
            </w:pPr>
            <w:r>
              <w:rPr>
                <w:rFonts w:hint="eastAsia"/>
                <w:color w:val="auto"/>
                <w:sz w:val="18"/>
                <w:szCs w:val="21"/>
                <w:highlight w:val="none"/>
              </w:rPr>
              <w:t>装调实训无人机教学系统（多旋翼）</w:t>
            </w:r>
          </w:p>
          <w:p>
            <w:pPr>
              <w:jc w:val="left"/>
              <w:rPr>
                <w:color w:val="auto"/>
                <w:sz w:val="18"/>
                <w:szCs w:val="21"/>
                <w:highlight w:val="none"/>
              </w:rPr>
            </w:pPr>
            <w:r>
              <w:rPr>
                <w:color w:val="auto"/>
                <w:sz w:val="18"/>
                <w:szCs w:val="21"/>
                <w:highlight w:val="none"/>
              </w:rPr>
              <w:t>1.机架布局为“X”；机身轴距≥400mm；</w:t>
            </w:r>
          </w:p>
          <w:p>
            <w:pPr>
              <w:jc w:val="left"/>
              <w:rPr>
                <w:color w:val="auto"/>
                <w:sz w:val="18"/>
                <w:szCs w:val="21"/>
                <w:highlight w:val="none"/>
              </w:rPr>
            </w:pPr>
            <w:r>
              <w:rPr>
                <w:color w:val="auto"/>
                <w:sz w:val="18"/>
                <w:szCs w:val="21"/>
                <w:highlight w:val="none"/>
              </w:rPr>
              <w:t>2.机身材料：碳纤维和航空铝；配备ABS塑料可拆卸壳体；整套系统采用箱式设计，箱体采用航空箱材质，内衬采用EVA海绵材质；使用场景；室内、室外；</w:t>
            </w:r>
          </w:p>
          <w:p>
            <w:pPr>
              <w:jc w:val="left"/>
              <w:rPr>
                <w:color w:val="auto"/>
                <w:sz w:val="18"/>
                <w:szCs w:val="21"/>
                <w:highlight w:val="none"/>
              </w:rPr>
            </w:pPr>
            <w:r>
              <w:rPr>
                <w:color w:val="auto"/>
                <w:sz w:val="18"/>
                <w:szCs w:val="21"/>
                <w:highlight w:val="none"/>
              </w:rPr>
              <w:t>3.最大飞行时间不得低于12min,最大起飞重量≥1.5kg；</w:t>
            </w:r>
          </w:p>
          <w:p>
            <w:pPr>
              <w:jc w:val="left"/>
              <w:rPr>
                <w:color w:val="auto"/>
                <w:sz w:val="18"/>
                <w:szCs w:val="21"/>
                <w:highlight w:val="none"/>
              </w:rPr>
            </w:pPr>
            <w:r>
              <w:rPr>
                <w:color w:val="auto"/>
                <w:sz w:val="18"/>
                <w:szCs w:val="21"/>
                <w:highlight w:val="none"/>
              </w:rPr>
              <w:t>4.工作环境温度支持范围：-10〜40℃；</w:t>
            </w:r>
          </w:p>
          <w:p>
            <w:pPr>
              <w:jc w:val="left"/>
              <w:rPr>
                <w:color w:val="auto"/>
                <w:sz w:val="18"/>
                <w:szCs w:val="21"/>
                <w:highlight w:val="none"/>
              </w:rPr>
            </w:pPr>
            <w:r>
              <w:rPr>
                <w:color w:val="auto"/>
                <w:sz w:val="18"/>
                <w:szCs w:val="21"/>
                <w:highlight w:val="none"/>
              </w:rPr>
              <w:t>5.最大上升速度≥4m/s;最大下降速度为≤5m/s;最大平飞速度≥7m/s；</w:t>
            </w:r>
          </w:p>
          <w:p>
            <w:pPr>
              <w:jc w:val="left"/>
              <w:rPr>
                <w:color w:val="auto"/>
                <w:sz w:val="18"/>
                <w:szCs w:val="21"/>
                <w:highlight w:val="none"/>
              </w:rPr>
            </w:pPr>
            <w:r>
              <w:rPr>
                <w:color w:val="auto"/>
                <w:sz w:val="18"/>
                <w:szCs w:val="21"/>
                <w:highlight w:val="none"/>
              </w:rPr>
              <w:t>6.最大可承受风速≥8m/s；悬停精度，垂直±0.5m,水平±1m(GPS状态）；最大俯仰角度不小于35°；</w:t>
            </w:r>
          </w:p>
          <w:p>
            <w:pPr>
              <w:jc w:val="left"/>
              <w:rPr>
                <w:color w:val="auto"/>
                <w:sz w:val="18"/>
                <w:szCs w:val="21"/>
                <w:highlight w:val="none"/>
              </w:rPr>
            </w:pPr>
            <w:r>
              <w:rPr>
                <w:color w:val="auto"/>
                <w:sz w:val="18"/>
                <w:szCs w:val="21"/>
                <w:highlight w:val="none"/>
              </w:rPr>
              <w:t>▲7.机体下中心板为PCB电路板设计，电子线路为沉埋式设计，且PCB电路板上具有明显的信号线序号标识，防止组装调试时安装线序出错。连接插头采取插拔式设计，保证重复使用性；（需提供满足参数要求的实物图片）</w:t>
            </w:r>
          </w:p>
          <w:p>
            <w:pPr>
              <w:jc w:val="left"/>
              <w:rPr>
                <w:color w:val="auto"/>
                <w:sz w:val="18"/>
                <w:szCs w:val="21"/>
                <w:highlight w:val="none"/>
              </w:rPr>
            </w:pPr>
            <w:r>
              <w:rPr>
                <w:color w:val="auto"/>
                <w:sz w:val="18"/>
                <w:szCs w:val="21"/>
                <w:highlight w:val="none"/>
              </w:rPr>
              <w:t>▲8.机身处附有二维码图标，通过扫描二维码图标，学生可在移动端查看该机型的组装视频。方便学生在组装过程中随时调用查看确保教学进度，组装视频中所示机型与该机型一致；（需提供满足参数要求的实物图片及视频截图）</w:t>
            </w:r>
          </w:p>
          <w:p>
            <w:pPr>
              <w:jc w:val="left"/>
              <w:rPr>
                <w:color w:val="auto"/>
                <w:sz w:val="18"/>
                <w:szCs w:val="21"/>
                <w:highlight w:val="none"/>
              </w:rPr>
            </w:pPr>
            <w:r>
              <w:rPr>
                <w:color w:val="auto"/>
                <w:sz w:val="18"/>
                <w:szCs w:val="21"/>
                <w:highlight w:val="none"/>
              </w:rPr>
              <w:t>9.无刷电机规格型号：定子直径≥23mm；高度≥12mm；KV值≥1000KV，且带正反牙螺纹；</w:t>
            </w:r>
          </w:p>
          <w:p>
            <w:pPr>
              <w:jc w:val="left"/>
              <w:rPr>
                <w:color w:val="auto"/>
                <w:sz w:val="18"/>
                <w:szCs w:val="21"/>
                <w:highlight w:val="none"/>
              </w:rPr>
            </w:pPr>
            <w:r>
              <w:rPr>
                <w:color w:val="auto"/>
                <w:sz w:val="18"/>
                <w:szCs w:val="21"/>
                <w:highlight w:val="none"/>
              </w:rPr>
              <w:t>10.桨叶规格型号：桨叶尺寸≥9寸；材质：塑料；</w:t>
            </w:r>
          </w:p>
          <w:p>
            <w:pPr>
              <w:jc w:val="left"/>
              <w:rPr>
                <w:color w:val="auto"/>
                <w:sz w:val="18"/>
                <w:szCs w:val="21"/>
                <w:highlight w:val="none"/>
              </w:rPr>
            </w:pPr>
            <w:r>
              <w:rPr>
                <w:color w:val="auto"/>
                <w:sz w:val="18"/>
                <w:szCs w:val="21"/>
                <w:highlight w:val="none"/>
              </w:rPr>
              <w:t>11.电调规格型号：持续工作电流≥30A，最大瞬间电流不超过40A，适用于2S-6S电池；</w:t>
            </w:r>
          </w:p>
          <w:p>
            <w:pPr>
              <w:jc w:val="left"/>
              <w:rPr>
                <w:color w:val="auto"/>
                <w:sz w:val="18"/>
                <w:szCs w:val="21"/>
                <w:highlight w:val="none"/>
              </w:rPr>
            </w:pPr>
            <w:r>
              <w:rPr>
                <w:color w:val="auto"/>
                <w:sz w:val="18"/>
                <w:szCs w:val="21"/>
                <w:highlight w:val="none"/>
              </w:rPr>
              <w:t>12.电池：电池规格≥4S/5000mah/14.8V，放电倍率≥30C，锂电池；</w:t>
            </w:r>
          </w:p>
          <w:p>
            <w:pPr>
              <w:jc w:val="left"/>
              <w:rPr>
                <w:color w:val="auto"/>
                <w:sz w:val="18"/>
                <w:szCs w:val="21"/>
                <w:highlight w:val="none"/>
              </w:rPr>
            </w:pPr>
            <w:r>
              <w:rPr>
                <w:color w:val="auto"/>
                <w:sz w:val="18"/>
                <w:szCs w:val="21"/>
                <w:highlight w:val="none"/>
              </w:rPr>
              <w:t>13.智能飞行控制器整体采用航空铝外壳设计，具有重量轻，减小磁干扰，增强飞控稳定性；飞控内部集成蜂鸣器，免于外接蜂鸣器模块；FLASH存储≥8MB,供电范围4.8V-5.5V；</w:t>
            </w:r>
          </w:p>
          <w:p>
            <w:pPr>
              <w:jc w:val="left"/>
              <w:rPr>
                <w:color w:val="auto"/>
                <w:sz w:val="18"/>
                <w:szCs w:val="21"/>
                <w:highlight w:val="none"/>
              </w:rPr>
            </w:pPr>
            <w:r>
              <w:rPr>
                <w:color w:val="auto"/>
                <w:sz w:val="18"/>
                <w:szCs w:val="21"/>
                <w:highlight w:val="none"/>
              </w:rPr>
              <w:t>14.传感器模块要求包含空速传感器模块、磁罗盘传感器模块、气压高度计模块、陀螺传感器模块、CAN总线模块、声音报警模块、指示灯模块、低压差供电模块、飞行数据存储模块、电平转换模块、参数存储模块、主控制器模块、输入输出控制器模块；外设串口至少包含外设数传串口、RTK串口、GPS串口、外置罗盘、光流串口：TFMINI串口；</w:t>
            </w:r>
          </w:p>
          <w:p>
            <w:pPr>
              <w:jc w:val="left"/>
              <w:rPr>
                <w:color w:val="auto"/>
                <w:sz w:val="18"/>
                <w:szCs w:val="21"/>
                <w:highlight w:val="none"/>
              </w:rPr>
            </w:pPr>
            <w:r>
              <w:rPr>
                <w:color w:val="auto"/>
                <w:sz w:val="18"/>
                <w:szCs w:val="21"/>
                <w:highlight w:val="none"/>
              </w:rPr>
              <w:t>15.飞行模式至少支持定点模式、定高模式、任务模式和返航模式；</w:t>
            </w:r>
          </w:p>
          <w:p>
            <w:pPr>
              <w:jc w:val="left"/>
              <w:rPr>
                <w:color w:val="auto"/>
                <w:sz w:val="18"/>
                <w:szCs w:val="21"/>
                <w:highlight w:val="none"/>
              </w:rPr>
            </w:pPr>
            <w:r>
              <w:rPr>
                <w:color w:val="auto"/>
                <w:sz w:val="18"/>
                <w:szCs w:val="21"/>
                <w:highlight w:val="none"/>
              </w:rPr>
              <w:t>16.飞控至少具有磁罗盘异常修正、单参数调节、多传感器融合、超快速二次开发功能；</w:t>
            </w:r>
          </w:p>
          <w:p>
            <w:pPr>
              <w:jc w:val="left"/>
              <w:rPr>
                <w:color w:val="auto"/>
                <w:sz w:val="18"/>
                <w:szCs w:val="21"/>
                <w:highlight w:val="none"/>
              </w:rPr>
            </w:pPr>
            <w:r>
              <w:rPr>
                <w:color w:val="auto"/>
                <w:sz w:val="18"/>
                <w:szCs w:val="21"/>
                <w:highlight w:val="none"/>
              </w:rPr>
              <w:t>17.遥控器至少支持SUS、PWM信号输出，工作电压为7.4V-18V,使用DSSS&amp;FHSS混合双扩频技术，可实现避干扰和抗干扰结合，遥控器通道数量不低于8个；</w:t>
            </w:r>
          </w:p>
          <w:p>
            <w:pPr>
              <w:jc w:val="left"/>
              <w:rPr>
                <w:rFonts w:hint="eastAsia"/>
                <w:color w:val="auto"/>
                <w:sz w:val="18"/>
                <w:szCs w:val="21"/>
                <w:highlight w:val="none"/>
                <w:lang w:eastAsia="zh-CN"/>
              </w:rPr>
            </w:pPr>
            <w:r>
              <w:rPr>
                <w:color w:val="auto"/>
                <w:sz w:val="18"/>
                <w:szCs w:val="21"/>
                <w:highlight w:val="none"/>
              </w:rPr>
              <w:t>▲</w:t>
            </w:r>
            <w:r>
              <w:rPr>
                <w:rFonts w:hint="eastAsia"/>
                <w:color w:val="auto"/>
                <w:sz w:val="18"/>
                <w:szCs w:val="21"/>
                <w:highlight w:val="none"/>
                <w:lang w:val="en-US" w:eastAsia="zh-CN"/>
              </w:rPr>
              <w:t>18</w:t>
            </w:r>
            <w:r>
              <w:rPr>
                <w:color w:val="auto"/>
                <w:sz w:val="18"/>
                <w:szCs w:val="21"/>
                <w:highlight w:val="none"/>
              </w:rPr>
              <w:t>.投标人需提供所投产品相关的《软件著作权登记证书》</w:t>
            </w:r>
            <w:r>
              <w:rPr>
                <w:rFonts w:hint="eastAsia"/>
                <w:color w:val="auto"/>
                <w:sz w:val="18"/>
                <w:szCs w:val="21"/>
                <w:highlight w:val="none"/>
                <w:lang w:val="en-US" w:eastAsia="zh-CN"/>
              </w:rPr>
              <w:t>扫描件</w:t>
            </w:r>
            <w:r>
              <w:rPr>
                <w:rFonts w:hint="eastAsia"/>
                <w:color w:val="auto"/>
                <w:sz w:val="18"/>
                <w:szCs w:val="21"/>
                <w:highlight w:val="none"/>
                <w:lang w:eastAsia="zh-CN"/>
              </w:rPr>
              <w:t>；</w:t>
            </w:r>
          </w:p>
          <w:p>
            <w:pPr>
              <w:jc w:val="left"/>
              <w:rPr>
                <w:color w:val="auto"/>
                <w:sz w:val="18"/>
                <w:szCs w:val="21"/>
                <w:highlight w:val="none"/>
              </w:rPr>
            </w:pPr>
            <w:r>
              <w:rPr>
                <w:rFonts w:hint="eastAsia"/>
                <w:color w:val="auto"/>
                <w:sz w:val="18"/>
                <w:szCs w:val="21"/>
                <w:highlight w:val="none"/>
              </w:rPr>
              <w:t>▲</w:t>
            </w:r>
            <w:r>
              <w:rPr>
                <w:rFonts w:hint="eastAsia"/>
                <w:color w:val="auto"/>
                <w:sz w:val="18"/>
                <w:szCs w:val="21"/>
                <w:highlight w:val="none"/>
                <w:lang w:val="en-US" w:eastAsia="zh-CN"/>
              </w:rPr>
              <w:t>19.投标人需提供所投产品相关的</w:t>
            </w:r>
            <w:r>
              <w:rPr>
                <w:color w:val="auto"/>
                <w:sz w:val="18"/>
                <w:szCs w:val="21"/>
                <w:highlight w:val="none"/>
              </w:rPr>
              <w:t>《实用新型专利证书》扫描件；</w:t>
            </w:r>
          </w:p>
          <w:p>
            <w:pPr>
              <w:jc w:val="left"/>
              <w:rPr>
                <w:color w:val="auto"/>
                <w:sz w:val="18"/>
                <w:szCs w:val="21"/>
                <w:highlight w:val="none"/>
              </w:rPr>
            </w:pPr>
            <w:r>
              <w:rPr>
                <w:color w:val="auto"/>
                <w:sz w:val="18"/>
                <w:szCs w:val="21"/>
                <w:highlight w:val="none"/>
              </w:rPr>
              <w:t>▲</w:t>
            </w:r>
            <w:r>
              <w:rPr>
                <w:rFonts w:hint="eastAsia"/>
                <w:color w:val="auto"/>
                <w:sz w:val="18"/>
                <w:szCs w:val="21"/>
                <w:highlight w:val="none"/>
                <w:lang w:val="en-US" w:eastAsia="zh-CN"/>
              </w:rPr>
              <w:t>20</w:t>
            </w:r>
            <w:r>
              <w:rPr>
                <w:color w:val="auto"/>
                <w:sz w:val="18"/>
                <w:szCs w:val="21"/>
                <w:highlight w:val="none"/>
              </w:rPr>
              <w:t>.课程资源数量及内容要求（投标人提供以下教学资源截图，每个教学资源截图数量不少于3张）</w:t>
            </w:r>
          </w:p>
          <w:p>
            <w:pPr>
              <w:jc w:val="left"/>
              <w:rPr>
                <w:color w:val="auto"/>
                <w:sz w:val="18"/>
                <w:szCs w:val="21"/>
                <w:highlight w:val="none"/>
              </w:rPr>
            </w:pPr>
            <w:r>
              <w:rPr>
                <w:color w:val="auto"/>
                <w:sz w:val="18"/>
                <w:szCs w:val="21"/>
                <w:highlight w:val="none"/>
              </w:rPr>
              <w:t>（1）PPT课件</w:t>
            </w:r>
          </w:p>
          <w:p>
            <w:pPr>
              <w:jc w:val="left"/>
              <w:rPr>
                <w:color w:val="auto"/>
                <w:sz w:val="18"/>
                <w:szCs w:val="21"/>
                <w:highlight w:val="none"/>
              </w:rPr>
            </w:pPr>
            <w:r>
              <w:rPr>
                <w:color w:val="auto"/>
                <w:sz w:val="18"/>
                <w:szCs w:val="21"/>
                <w:highlight w:val="none"/>
              </w:rPr>
              <w:t>①数量要求：≥7个。</w:t>
            </w:r>
          </w:p>
          <w:p>
            <w:pPr>
              <w:jc w:val="left"/>
              <w:rPr>
                <w:color w:val="auto"/>
                <w:sz w:val="18"/>
                <w:szCs w:val="21"/>
                <w:highlight w:val="none"/>
              </w:rPr>
            </w:pPr>
            <w:r>
              <w:rPr>
                <w:color w:val="auto"/>
                <w:sz w:val="18"/>
                <w:szCs w:val="21"/>
                <w:highlight w:val="none"/>
              </w:rPr>
              <w:t>②内容要求：至少包含多旋翼无人机组装与调试概述、多旋翼无人机焊接技术、装调实训无人机机体组装、飞控线路连接和遥控器设置、飞控参数调试校准、无人机模拟操控飞行、无人机飞行测试。</w:t>
            </w:r>
          </w:p>
          <w:p>
            <w:pPr>
              <w:jc w:val="left"/>
              <w:rPr>
                <w:color w:val="auto"/>
                <w:sz w:val="18"/>
                <w:szCs w:val="21"/>
                <w:highlight w:val="none"/>
              </w:rPr>
            </w:pPr>
            <w:r>
              <w:rPr>
                <w:color w:val="auto"/>
                <w:sz w:val="18"/>
                <w:szCs w:val="21"/>
                <w:highlight w:val="none"/>
              </w:rPr>
              <w:t>（2）视频微课</w:t>
            </w:r>
          </w:p>
          <w:p>
            <w:pPr>
              <w:jc w:val="left"/>
              <w:rPr>
                <w:color w:val="auto"/>
                <w:sz w:val="18"/>
                <w:szCs w:val="21"/>
                <w:highlight w:val="none"/>
              </w:rPr>
            </w:pPr>
            <w:r>
              <w:rPr>
                <w:color w:val="auto"/>
                <w:sz w:val="18"/>
                <w:szCs w:val="21"/>
                <w:highlight w:val="none"/>
              </w:rPr>
              <w:t>①数量要求：≥7个。</w:t>
            </w:r>
          </w:p>
          <w:p>
            <w:pPr>
              <w:jc w:val="left"/>
              <w:rPr>
                <w:color w:val="auto"/>
                <w:sz w:val="18"/>
                <w:szCs w:val="21"/>
                <w:highlight w:val="none"/>
              </w:rPr>
            </w:pPr>
            <w:r>
              <w:rPr>
                <w:color w:val="auto"/>
                <w:sz w:val="18"/>
                <w:szCs w:val="21"/>
                <w:highlight w:val="none"/>
              </w:rPr>
              <w:t>②内容要求：至少包含多旋翼无人机组装与调试概述、装调实训无人机系统（多旋翼）机体组装、飞控的安装与调试、飞控线路连接和遥控器设置、电机转向验证及换向、无人机飞行测试、无人机模拟操控飞行。</w:t>
            </w:r>
          </w:p>
          <w:p>
            <w:pPr>
              <w:jc w:val="left"/>
              <w:rPr>
                <w:color w:val="auto"/>
                <w:sz w:val="18"/>
                <w:szCs w:val="21"/>
                <w:highlight w:val="none"/>
              </w:rPr>
            </w:pPr>
            <w:r>
              <w:rPr>
                <w:color w:val="auto"/>
                <w:sz w:val="18"/>
                <w:szCs w:val="21"/>
                <w:highlight w:val="none"/>
              </w:rPr>
              <w:t>（3）实训工卡</w:t>
            </w:r>
          </w:p>
          <w:p>
            <w:pPr>
              <w:jc w:val="left"/>
              <w:rPr>
                <w:color w:val="auto"/>
                <w:sz w:val="18"/>
                <w:szCs w:val="21"/>
                <w:highlight w:val="none"/>
              </w:rPr>
            </w:pPr>
            <w:r>
              <w:rPr>
                <w:color w:val="auto"/>
                <w:sz w:val="18"/>
                <w:szCs w:val="21"/>
                <w:highlight w:val="none"/>
              </w:rPr>
              <w:t>①数量要求：≥7个。</w:t>
            </w:r>
          </w:p>
          <w:p>
            <w:pPr>
              <w:jc w:val="left"/>
              <w:rPr>
                <w:color w:val="auto"/>
                <w:sz w:val="18"/>
                <w:szCs w:val="21"/>
                <w:highlight w:val="none"/>
              </w:rPr>
            </w:pPr>
            <w:r>
              <w:rPr>
                <w:color w:val="auto"/>
                <w:sz w:val="18"/>
                <w:szCs w:val="21"/>
                <w:highlight w:val="none"/>
              </w:rPr>
              <w:t>②内容要求：至少包含多旋翼无人机组装与调试概述、多旋翼无人机焊接技术、装调实训无人机机体组装、飞控线路连接和遥控器设置、飞控参数调试校准、无人机模拟操控飞行、无人机飞行测试。</w:t>
            </w:r>
          </w:p>
          <w:p>
            <w:pPr>
              <w:jc w:val="left"/>
              <w:rPr>
                <w:color w:val="auto"/>
                <w:sz w:val="18"/>
                <w:szCs w:val="21"/>
                <w:highlight w:val="none"/>
              </w:rPr>
            </w:pPr>
            <w:r>
              <w:rPr>
                <w:color w:val="auto"/>
                <w:sz w:val="18"/>
                <w:szCs w:val="21"/>
                <w:highlight w:val="none"/>
              </w:rPr>
              <w:t>（4）课程教案</w:t>
            </w:r>
          </w:p>
          <w:p>
            <w:pPr>
              <w:jc w:val="left"/>
              <w:rPr>
                <w:color w:val="auto"/>
                <w:sz w:val="18"/>
                <w:szCs w:val="21"/>
                <w:highlight w:val="none"/>
              </w:rPr>
            </w:pPr>
            <w:r>
              <w:rPr>
                <w:color w:val="auto"/>
                <w:sz w:val="18"/>
                <w:szCs w:val="21"/>
                <w:highlight w:val="none"/>
              </w:rPr>
              <w:t>①数量要求：≥7个。</w:t>
            </w:r>
          </w:p>
          <w:p>
            <w:pPr>
              <w:jc w:val="left"/>
              <w:rPr>
                <w:color w:val="auto"/>
                <w:sz w:val="18"/>
                <w:szCs w:val="21"/>
                <w:highlight w:val="none"/>
              </w:rPr>
            </w:pPr>
            <w:r>
              <w:rPr>
                <w:color w:val="auto"/>
                <w:sz w:val="18"/>
                <w:szCs w:val="21"/>
                <w:highlight w:val="none"/>
              </w:rPr>
              <w:t>②内容要求：至少包含多旋翼无人机组装与调试概述、多旋翼无人机焊接技术、装调实训无人机机体组装、飞控线路连接和遥控器设置、飞控参数调试校准、无人机模拟操控飞行、无人机飞行测试。</w:t>
            </w:r>
          </w:p>
          <w:p>
            <w:pPr>
              <w:jc w:val="left"/>
              <w:rPr>
                <w:color w:val="auto"/>
                <w:sz w:val="18"/>
                <w:szCs w:val="21"/>
                <w:highlight w:val="none"/>
              </w:rPr>
            </w:pPr>
            <w:r>
              <w:rPr>
                <w:color w:val="auto"/>
                <w:sz w:val="18"/>
                <w:szCs w:val="21"/>
                <w:highlight w:val="none"/>
              </w:rPr>
              <w:t>（5）知识手册：</w:t>
            </w:r>
          </w:p>
          <w:p>
            <w:pPr>
              <w:jc w:val="left"/>
              <w:rPr>
                <w:color w:val="auto"/>
                <w:sz w:val="18"/>
                <w:szCs w:val="21"/>
                <w:highlight w:val="none"/>
              </w:rPr>
            </w:pPr>
            <w:r>
              <w:rPr>
                <w:color w:val="auto"/>
                <w:sz w:val="18"/>
                <w:szCs w:val="21"/>
                <w:highlight w:val="none"/>
              </w:rPr>
              <w:t>①数量要求：≥7个。</w:t>
            </w:r>
          </w:p>
          <w:p>
            <w:pPr>
              <w:rPr>
                <w:rFonts w:hint="eastAsia" w:ascii="仿宋" w:hAnsi="仿宋" w:eastAsia="仿宋" w:cs="Times New Roman"/>
                <w:b/>
                <w:color w:val="auto"/>
                <w:kern w:val="2"/>
                <w:sz w:val="21"/>
                <w:szCs w:val="21"/>
                <w:highlight w:val="none"/>
                <w:lang w:val="en-US" w:eastAsia="zh-CN" w:bidi="ar-SA"/>
              </w:rPr>
            </w:pPr>
            <w:r>
              <w:rPr>
                <w:color w:val="auto"/>
                <w:sz w:val="18"/>
                <w:szCs w:val="21"/>
                <w:highlight w:val="none"/>
              </w:rPr>
              <w:t>②内容要求：至少包含多旋翼无人机组装与调试概述、多旋翼无人机焊接技术、装调实训无人机机体组装、飞控线路连接和遥控器设置、飞控参数调试校准、无人机模拟操控飞行、无人机飞行测试。</w:t>
            </w:r>
          </w:p>
        </w:tc>
      </w:tr>
    </w:tbl>
    <w:p>
      <w:pPr>
        <w:ind w:firstLine="420" w:firstLineChars="200"/>
        <w:rPr>
          <w:bCs/>
          <w:szCs w:val="21"/>
        </w:rPr>
      </w:pPr>
      <w:r>
        <w:rPr>
          <w:rFonts w:hint="eastAsia" w:ascii="宋体" w:hAnsi="宋体" w:cs="宋体"/>
          <w:bCs/>
        </w:rPr>
        <w:t>备注：</w:t>
      </w:r>
      <w:r>
        <w:rPr>
          <w:rFonts w:hint="eastAsia"/>
          <w:bCs/>
          <w:szCs w:val="21"/>
        </w:rPr>
        <w:t>1．带“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”指标项为重要参数，负偏离时依相关评分准则内容作重点扣分处理。</w:t>
      </w:r>
    </w:p>
    <w:p>
      <w:pPr>
        <w:ind w:firstLine="420" w:firstLineChars="200"/>
        <w:rPr>
          <w:rFonts w:ascii="宋体" w:hAnsi="宋体" w:cs="宋体"/>
          <w:bCs/>
        </w:rPr>
      </w:pPr>
      <w:r>
        <w:rPr>
          <w:rFonts w:hint="eastAsia"/>
          <w:bCs/>
        </w:rPr>
        <w:t>2．评分时，如对一项招标技术要求中的内容存在两处（或以上）负偏离的，在评分时只作一项负偏离扣分</w:t>
      </w:r>
      <w:r>
        <w:rPr>
          <w:rFonts w:hint="eastAsia" w:ascii="宋体" w:hAnsi="宋体" w:cs="宋体"/>
          <w:bCs/>
        </w:rPr>
        <w:t>。</w:t>
      </w:r>
    </w:p>
    <w:p>
      <w:pPr>
        <w:pStyle w:val="9"/>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3"/>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numPr>
                <w:ilvl w:val="0"/>
                <w:numId w:val="3"/>
              </w:numPr>
              <w:jc w:val="center"/>
              <w:rPr>
                <w:rFonts w:ascii="仿宋_GB2312" w:hAnsi="仿宋_GB2312" w:eastAsia="仿宋_GB2312" w:cs="仿宋_GB2312"/>
              </w:rPr>
            </w:pPr>
          </w:p>
        </w:tc>
        <w:tc>
          <w:tcPr>
            <w:tcW w:w="1559" w:type="dxa"/>
            <w:vAlign w:val="center"/>
          </w:tcPr>
          <w:p>
            <w:pPr>
              <w:rPr>
                <w:rFonts w:ascii="宋体" w:hAnsi="宋体" w:cs="宋体"/>
              </w:rPr>
            </w:pPr>
            <w:r>
              <w:rPr>
                <w:rFonts w:hint="eastAsia" w:ascii="宋体" w:hAnsi="宋体" w:cs="宋体"/>
              </w:rPr>
              <w:t>免费保修期</w:t>
            </w:r>
          </w:p>
        </w:tc>
        <w:tc>
          <w:tcPr>
            <w:tcW w:w="6158" w:type="dxa"/>
          </w:tcPr>
          <w:p>
            <w:pPr>
              <w:rPr>
                <w:rFonts w:ascii="宋体" w:hAnsi="宋体" w:cs="宋体"/>
              </w:rPr>
            </w:pPr>
            <w:r>
              <w:rPr>
                <w:rFonts w:hint="eastAsia" w:ascii="宋体" w:hAnsi="宋体" w:cs="宋体"/>
              </w:rPr>
              <w:t>货物免费保修期</w:t>
            </w:r>
            <w:r>
              <w:rPr>
                <w:rFonts w:hint="eastAsia" w:ascii="宋体" w:hAnsi="宋体" w:cs="宋体"/>
                <w:highlight w:val="yellow"/>
                <w:lang w:val="en-US" w:eastAsia="zh-CN"/>
              </w:rPr>
              <w:t>三</w:t>
            </w:r>
            <w:bookmarkStart w:id="8" w:name="_GoBack"/>
            <w:bookmarkEnd w:id="8"/>
            <w:r>
              <w:rPr>
                <w:rFonts w:hint="eastAsia" w:ascii="宋体" w:hAnsi="宋体" w:cs="宋体"/>
                <w:highlight w:val="yellow"/>
              </w:rPr>
              <w:t>年</w:t>
            </w:r>
            <w:r>
              <w:rPr>
                <w:rFonts w:hint="eastAsia" w:ascii="宋体" w:hAnsi="宋体" w:cs="宋体"/>
              </w:rPr>
              <w:t>，时间自最终验收合格并交付使用之日起计算。在质保期内，免费维修与更换所有零配件。中标人需每年定期免费提供软件升级及硬件维护等服务。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restart"/>
            <w:vAlign w:val="center"/>
          </w:tcPr>
          <w:p>
            <w:pPr>
              <w:numPr>
                <w:ilvl w:val="0"/>
                <w:numId w:val="3"/>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维修响应及故障解决时间</w:t>
            </w:r>
          </w:p>
        </w:tc>
        <w:tc>
          <w:tcPr>
            <w:tcW w:w="6158" w:type="dxa"/>
          </w:tcPr>
          <w:p>
            <w:pPr>
              <w:rPr>
                <w:rFonts w:ascii="宋体" w:hAnsi="宋体" w:cs="宋体"/>
              </w:rPr>
            </w:pPr>
            <w:r>
              <w:rPr>
                <w:rFonts w:hint="eastAsia" w:ascii="宋体" w:hAnsi="宋体" w:cs="宋体"/>
              </w:rPr>
              <w:t>在保修期内，一旦发生质量问题，投标人保证在接到通知24小时内赶到现场进行修理或更换。因维修不及时，而导致设备无法正常使用时，其保修时间随停机时间的长短而相应延长。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一般故障：到达现场时间：&lt;=8小时。</w:t>
            </w:r>
          </w:p>
          <w:p>
            <w:pPr>
              <w:rPr>
                <w:rFonts w:ascii="宋体" w:hAnsi="宋体" w:cs="宋体"/>
              </w:rPr>
            </w:pPr>
            <w:r>
              <w:rPr>
                <w:rFonts w:hint="eastAsia" w:ascii="宋体" w:hAnsi="宋体" w:cs="宋体"/>
              </w:rPr>
              <w:t>重大故障：到达现场时间：&lt;=4小时。</w:t>
            </w:r>
          </w:p>
          <w:p>
            <w:pPr>
              <w:rPr>
                <w:rFonts w:ascii="宋体" w:hAnsi="宋体" w:cs="宋体"/>
              </w:rPr>
            </w:pPr>
            <w:r>
              <w:rPr>
                <w:rFonts w:hint="eastAsia" w:ascii="宋体" w:hAnsi="宋体" w:cs="宋体"/>
              </w:rPr>
              <w:t>系统故障：到达现场时间：&lt;=2小时。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numPr>
                <w:ilvl w:val="0"/>
                <w:numId w:val="3"/>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★关于交货</w:t>
            </w:r>
          </w:p>
        </w:tc>
        <w:tc>
          <w:tcPr>
            <w:tcW w:w="6158" w:type="dxa"/>
          </w:tcPr>
          <w:p>
            <w:pPr>
              <w:rPr>
                <w:rFonts w:ascii="宋体" w:hAnsi="宋体" w:cs="宋体"/>
              </w:rPr>
            </w:pPr>
            <w:r>
              <w:rPr>
                <w:rFonts w:hint="eastAsia" w:ascii="宋体" w:hAnsi="宋体" w:cs="宋体"/>
              </w:rPr>
              <w:t>1.签订合同之日起</w:t>
            </w:r>
            <w:r>
              <w:rPr>
                <w:rFonts w:hint="eastAsia" w:ascii="宋体" w:hAnsi="宋体" w:cs="宋体"/>
                <w:lang w:val="en-US" w:eastAsia="zh-CN"/>
              </w:rPr>
              <w:t>30</w:t>
            </w:r>
            <w:r>
              <w:rPr>
                <w:rFonts w:hint="eastAsia" w:ascii="宋体" w:hAnsi="宋体" w:cs="宋体"/>
              </w:rPr>
              <w:t>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vAlign w:val="center"/>
          </w:tcPr>
          <w:p>
            <w:pPr>
              <w:rPr>
                <w:rFonts w:ascii="宋体" w:hAnsi="宋体" w:cs="宋体"/>
              </w:rPr>
            </w:pPr>
          </w:p>
        </w:tc>
        <w:tc>
          <w:tcPr>
            <w:tcW w:w="6158" w:type="dxa"/>
          </w:tcPr>
          <w:p>
            <w:pPr>
              <w:rPr>
                <w:rFonts w:ascii="宋体" w:hAnsi="宋体" w:cs="宋体"/>
              </w:rPr>
            </w:pPr>
            <w:r>
              <w:rPr>
                <w:rFonts w:hint="eastAsia" w:ascii="宋体" w:hAnsi="宋体" w:cs="宋体"/>
              </w:rPr>
              <w:t>2.投标人必须承担的货物运输、安装调试、验收检测和提供货物操作说明书、图纸等其他类似的义务。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numPr>
                <w:ilvl w:val="0"/>
                <w:numId w:val="3"/>
              </w:numPr>
              <w:jc w:val="center"/>
              <w:rPr>
                <w:rFonts w:ascii="仿宋_GB2312" w:hAnsi="仿宋_GB2312" w:eastAsia="仿宋_GB2312" w:cs="仿宋_GB2312"/>
              </w:rPr>
            </w:pPr>
          </w:p>
        </w:tc>
        <w:tc>
          <w:tcPr>
            <w:tcW w:w="1559" w:type="dxa"/>
            <w:vMerge w:val="restart"/>
            <w:vAlign w:val="center"/>
          </w:tcPr>
          <w:p>
            <w:pPr>
              <w:rPr>
                <w:rFonts w:ascii="宋体" w:hAnsi="宋体" w:cs="宋体"/>
              </w:rPr>
            </w:pPr>
            <w:r>
              <w:rPr>
                <w:rFonts w:hint="eastAsia" w:ascii="宋体" w:hAnsi="宋体" w:cs="宋体"/>
              </w:rPr>
              <w:t>关于验收</w:t>
            </w:r>
          </w:p>
        </w:tc>
        <w:tc>
          <w:tcPr>
            <w:tcW w:w="6158" w:type="dxa"/>
          </w:tcPr>
          <w:p>
            <w:pPr>
              <w:rPr>
                <w:rFonts w:ascii="宋体" w:hAnsi="宋体" w:cs="宋体"/>
              </w:rPr>
            </w:pPr>
            <w:r>
              <w:rPr>
                <w:rFonts w:hint="eastAsia" w:ascii="宋体" w:hAnsi="宋体" w:cs="宋体"/>
              </w:rPr>
              <w:t>1.投标人货物经过双方检验认可后，签署验收报告，产品保修期自验收合格之日起算。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continue"/>
            <w:vAlign w:val="center"/>
          </w:tcPr>
          <w:p>
            <w:pPr>
              <w:jc w:val="center"/>
              <w:rPr>
                <w:rFonts w:ascii="仿宋_GB2312" w:hAnsi="仿宋_GB2312" w:eastAsia="仿宋_GB2312" w:cs="仿宋_GB2312"/>
              </w:rPr>
            </w:pPr>
          </w:p>
        </w:tc>
        <w:tc>
          <w:tcPr>
            <w:tcW w:w="1559" w:type="dxa"/>
            <w:vMerge w:val="continue"/>
          </w:tcPr>
          <w:p>
            <w:pPr>
              <w:rPr>
                <w:rFonts w:ascii="宋体" w:hAnsi="宋体" w:cs="宋体"/>
              </w:rPr>
            </w:pPr>
          </w:p>
        </w:tc>
        <w:tc>
          <w:tcPr>
            <w:tcW w:w="6158" w:type="dxa"/>
          </w:tcPr>
          <w:p>
            <w:pPr>
              <w:rPr>
                <w:rFonts w:ascii="宋体" w:hAnsi="宋体" w:cs="宋体"/>
              </w:rPr>
            </w:pPr>
            <w:r>
              <w:rPr>
                <w:rFonts w:hint="eastAsia" w:ascii="宋体" w:hAnsi="宋体" w:cs="宋体"/>
              </w:rPr>
              <w:t>2.当满足以下条件时，采购人才向中标人签发货物验收报告：</w:t>
            </w:r>
          </w:p>
          <w:p>
            <w:pPr>
              <w:rPr>
                <w:rFonts w:ascii="宋体" w:hAnsi="宋体" w:cs="宋体"/>
              </w:rPr>
            </w:pPr>
            <w:r>
              <w:rPr>
                <w:rFonts w:hint="eastAsia" w:ascii="宋体" w:hAnsi="宋体" w:cs="宋体"/>
              </w:rPr>
              <w:t>a、中标人已按照合同规定提供了全部产品及完整的技术资料。</w:t>
            </w:r>
          </w:p>
          <w:p>
            <w:pPr>
              <w:rPr>
                <w:rFonts w:ascii="宋体" w:hAnsi="宋体" w:cs="宋体"/>
              </w:rPr>
            </w:pPr>
            <w:r>
              <w:rPr>
                <w:rFonts w:hint="eastAsia" w:ascii="宋体" w:hAnsi="宋体" w:cs="宋体"/>
              </w:rPr>
              <w:t>b、货物符合招标文件技术规格书的要求，性能满足要求。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pPr>
              <w:numPr>
                <w:ilvl w:val="0"/>
                <w:numId w:val="3"/>
              </w:numPr>
              <w:jc w:val="center"/>
              <w:rPr>
                <w:rFonts w:ascii="仿宋_GB2312" w:hAnsi="仿宋_GB2312" w:eastAsia="仿宋_GB2312" w:cs="仿宋_GB2312"/>
              </w:rPr>
            </w:pPr>
          </w:p>
        </w:tc>
        <w:tc>
          <w:tcPr>
            <w:tcW w:w="1559" w:type="dxa"/>
            <w:vAlign w:val="center"/>
          </w:tcPr>
          <w:p>
            <w:pPr>
              <w:rPr>
                <w:rFonts w:ascii="宋体" w:hAnsi="宋体" w:cs="宋体"/>
              </w:rPr>
            </w:pPr>
            <w:r>
              <w:rPr>
                <w:rFonts w:hint="eastAsia" w:ascii="宋体" w:hAnsi="宋体" w:cs="宋体"/>
              </w:rPr>
              <w:t>关于付款</w:t>
            </w:r>
          </w:p>
        </w:tc>
        <w:tc>
          <w:tcPr>
            <w:tcW w:w="6158" w:type="dxa"/>
            <w:vAlign w:val="center"/>
          </w:tcPr>
          <w:p>
            <w:pPr>
              <w:rPr>
                <w:rFonts w:ascii="宋体" w:hAnsi="宋体" w:cs="宋体"/>
              </w:rPr>
            </w:pPr>
            <w:r>
              <w:rPr>
                <w:rFonts w:hint="eastAsia" w:ascii="宋体" w:hAnsi="宋体" w:cs="宋体"/>
              </w:rPr>
              <w:t>按合同约定交货、安装、调试及试运行，并经甲方组织的验收合格后，甲方在收到乙方付款申请及付款所需要的材料后15日内，甲方向乙方一次性付清合同款项。</w:t>
            </w:r>
          </w:p>
        </w:tc>
      </w:tr>
    </w:tbl>
    <w:p>
      <w:pPr>
        <w:ind w:firstLine="420" w:firstLineChars="200"/>
        <w:rPr>
          <w:bCs/>
          <w:szCs w:val="21"/>
        </w:rPr>
      </w:pPr>
      <w:r>
        <w:rPr>
          <w:rFonts w:hint="eastAsia" w:ascii="宋体" w:hAnsi="宋体" w:cs="宋体"/>
          <w:bCs/>
        </w:rPr>
        <w:t>备注：</w:t>
      </w:r>
      <w:r>
        <w:rPr>
          <w:rFonts w:hint="eastAsia"/>
          <w:bCs/>
          <w:szCs w:val="21"/>
        </w:rPr>
        <w:t>1．带“</w:t>
      </w:r>
      <w:r>
        <w:rPr>
          <w:rFonts w:hint="eastAsia" w:ascii="宋体" w:hAnsi="宋体" w:cs="宋体"/>
          <w:bCs/>
          <w:szCs w:val="21"/>
        </w:rPr>
        <w:t>★</w:t>
      </w:r>
      <w:r>
        <w:rPr>
          <w:rFonts w:hint="eastAsia"/>
          <w:bCs/>
          <w:szCs w:val="21"/>
        </w:rPr>
        <w:t>”指标项为实质性条款，如出现负偏离，将被视为未实质性满足招标文件要求作投标无效处理。带“</w:t>
      </w:r>
      <w:r>
        <w:rPr>
          <w:bCs/>
        </w:rPr>
        <w:t>▲</w:t>
      </w:r>
      <w:r>
        <w:rPr>
          <w:rFonts w:hint="eastAsia"/>
          <w:bCs/>
          <w:szCs w:val="21"/>
        </w:rPr>
        <w:t>”指标项为重要参数，负偏离时依相关评分准则内容作重点扣分处理。</w:t>
      </w:r>
    </w:p>
    <w:p>
      <w:pPr>
        <w:ind w:firstLine="420" w:firstLineChars="200"/>
        <w:rPr>
          <w:rFonts w:ascii="宋体" w:hAnsi="宋体" w:cs="宋体"/>
          <w:bCs/>
        </w:rPr>
      </w:pPr>
      <w:r>
        <w:rPr>
          <w:rFonts w:hint="eastAsia"/>
          <w:bCs/>
        </w:rPr>
        <w:t>2．评分时，如对一项招标技术要求中的内容存在两处（或以上）负偏离的，在评分时只作一项负偏离扣分</w:t>
      </w:r>
      <w:r>
        <w:rPr>
          <w:rFonts w:hint="eastAsia" w:ascii="宋体" w:hAnsi="宋体" w:cs="宋体"/>
          <w:bCs/>
        </w:rPr>
        <w:t>。</w:t>
      </w:r>
    </w:p>
    <w:p>
      <w:pPr>
        <w:pStyle w:val="9"/>
        <w:ind w:firstLine="422"/>
        <w:rPr>
          <w:rFonts w:ascii="宋体" w:hAnsi="宋体" w:cs="宋体"/>
          <w:b/>
        </w:rPr>
      </w:pPr>
    </w:p>
    <w:p>
      <w:pPr>
        <w:pStyle w:val="9"/>
        <w:ind w:firstLine="422"/>
        <w:rPr>
          <w:rFonts w:ascii="宋体" w:hAnsi="宋体" w:cs="宋体"/>
          <w:b/>
        </w:rPr>
      </w:pPr>
    </w:p>
    <w:p>
      <w:pPr>
        <w:pStyle w:val="3"/>
      </w:pPr>
      <w:r>
        <w:rPr>
          <w:rFonts w:hint="eastAsia"/>
        </w:rPr>
        <w:t>第三章投标文件格式</w:t>
      </w:r>
    </w:p>
    <w:p>
      <w:pPr>
        <w:rPr>
          <w:rStyle w:val="23"/>
          <w:rFonts w:ascii="宋体" w:hAnsi="宋体" w:eastAsia="宋体" w:cs="宋体"/>
          <w:sz w:val="28"/>
          <w:szCs w:val="28"/>
        </w:rPr>
      </w:pPr>
      <w:r>
        <w:rPr>
          <w:rStyle w:val="23"/>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rPr>
        <w:t>7、货物说明一览表</w:t>
      </w:r>
    </w:p>
    <w:p>
      <w:pPr>
        <w:rPr>
          <w:rFonts w:ascii="宋体" w:hAnsi="宋体" w:cs="宋体"/>
          <w:sz w:val="24"/>
        </w:rPr>
      </w:pPr>
      <w:r>
        <w:rPr>
          <w:rFonts w:hint="eastAsia" w:ascii="宋体" w:hAnsi="宋体" w:cs="宋体"/>
          <w:sz w:val="24"/>
        </w:rPr>
        <w:t>8、技术规格偏离表</w:t>
      </w:r>
    </w:p>
    <w:p>
      <w:pPr>
        <w:rPr>
          <w:rFonts w:ascii="宋体" w:hAnsi="宋体" w:cs="宋体"/>
          <w:sz w:val="24"/>
        </w:rPr>
      </w:pPr>
      <w:r>
        <w:rPr>
          <w:rFonts w:hint="eastAsia" w:ascii="宋体" w:hAnsi="宋体" w:cs="宋体"/>
          <w:sz w:val="24"/>
        </w:rPr>
        <w:t>9、商务需求偏离表</w:t>
      </w:r>
    </w:p>
    <w:p>
      <w:pPr>
        <w:rPr>
          <w:rFonts w:hint="default" w:ascii="宋体" w:hAnsi="宋体" w:eastAsia="宋体" w:cs="宋体"/>
          <w:sz w:val="24"/>
          <w:lang w:val="en-US" w:eastAsia="zh-CN"/>
        </w:rPr>
      </w:pPr>
      <w:r>
        <w:rPr>
          <w:rFonts w:hint="eastAsia" w:ascii="宋体" w:hAnsi="宋体" w:cs="宋体"/>
          <w:sz w:val="24"/>
        </w:rPr>
        <w:t>10、</w:t>
      </w:r>
      <w:r>
        <w:rPr>
          <w:rFonts w:hint="eastAsia" w:ascii="宋体" w:hAnsi="宋体" w:cs="宋体"/>
          <w:lang w:val="en-US" w:eastAsia="zh-CN"/>
        </w:rPr>
        <w:t>技术保障措施</w:t>
      </w:r>
    </w:p>
    <w:p>
      <w:pPr>
        <w:rPr>
          <w:rFonts w:hint="default" w:ascii="宋体" w:hAnsi="宋体" w:eastAsia="宋体" w:cs="宋体"/>
          <w:sz w:val="24"/>
          <w:lang w:val="en-US" w:eastAsia="zh-CN"/>
        </w:rPr>
      </w:pPr>
      <w:r>
        <w:rPr>
          <w:rFonts w:hint="eastAsia" w:ascii="宋体" w:hAnsi="宋体" w:cs="宋体"/>
          <w:sz w:val="24"/>
        </w:rPr>
        <w:t>11、</w:t>
      </w:r>
      <w:r>
        <w:rPr>
          <w:rFonts w:hint="eastAsia" w:ascii="宋体" w:hAnsi="宋体" w:cs="宋体"/>
          <w:lang w:val="en-US" w:eastAsia="zh-CN"/>
        </w:rPr>
        <w:t>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单位：人民币元</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投标报价</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10" w:firstLineChars="100"/>
              <w:rPr>
                <w:rFonts w:ascii="宋体" w:hAnsi="宋体" w:cs="宋体"/>
                <w:color w:val="000000"/>
                <w:kern w:val="0"/>
                <w:szCs w:val="21"/>
                <w:lang w:val="zh-CN"/>
              </w:rPr>
            </w:pP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投标单位公章：</w:t>
      </w:r>
    </w:p>
    <w:p>
      <w:pPr>
        <w:pStyle w:val="9"/>
      </w:pPr>
    </w:p>
    <w:p>
      <w:pPr>
        <w:pStyle w:val="4"/>
        <w:numPr>
          <w:ilvl w:val="0"/>
          <w:numId w:val="4"/>
        </w:numPr>
        <w:jc w:val="center"/>
        <w:rPr>
          <w:rFonts w:cs="宋体"/>
          <w:bCs w:val="0"/>
          <w:kern w:val="0"/>
          <w:szCs w:val="28"/>
        </w:rPr>
      </w:pPr>
      <w:r>
        <w:rPr>
          <w:rFonts w:hint="eastAsia" w:cs="宋体"/>
          <w:bCs w:val="0"/>
          <w:kern w:val="0"/>
          <w:szCs w:val="28"/>
        </w:rPr>
        <w:t>评标指引表</w:t>
      </w:r>
    </w:p>
    <w:tbl>
      <w:tblPr>
        <w:tblStyle w:val="1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同志，现任我单位职务，为法定代表人，特此证明。</w:t>
      </w:r>
    </w:p>
    <w:p>
      <w:pPr>
        <w:spacing w:line="360" w:lineRule="auto"/>
        <w:rPr>
          <w:rFonts w:ascii="宋体" w:hAnsi="宋体" w:cs="宋体"/>
          <w:szCs w:val="21"/>
        </w:rPr>
      </w:pPr>
      <w:r>
        <w:rPr>
          <w:rFonts w:hint="eastAsia" w:ascii="宋体" w:hAnsi="宋体" w:cs="宋体"/>
          <w:szCs w:val="21"/>
        </w:rPr>
        <w:t>有效日期：签发日期：单位：</w:t>
      </w:r>
    </w:p>
    <w:p>
      <w:pPr>
        <w:spacing w:line="360" w:lineRule="auto"/>
        <w:rPr>
          <w:rFonts w:ascii="宋体" w:hAnsi="宋体" w:cs="宋体"/>
          <w:szCs w:val="21"/>
        </w:rPr>
      </w:pPr>
      <w:r>
        <w:rPr>
          <w:rFonts w:hint="eastAsia" w:ascii="宋体" w:hAnsi="宋体" w:cs="宋体"/>
          <w:szCs w:val="21"/>
        </w:rPr>
        <w:t>附：代表人性别：年龄：身份证号码：</w:t>
      </w:r>
    </w:p>
    <w:p>
      <w:pPr>
        <w:spacing w:line="360" w:lineRule="auto"/>
        <w:rPr>
          <w:rFonts w:ascii="宋体" w:hAnsi="宋体" w:cs="宋体"/>
          <w:szCs w:val="21"/>
        </w:rPr>
      </w:pPr>
      <w:r>
        <w:rPr>
          <w:rFonts w:hint="eastAsia" w:ascii="宋体" w:hAnsi="宋体" w:cs="宋体"/>
          <w:szCs w:val="21"/>
        </w:rPr>
        <w:t>营业执照号码：经济性质：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2、内容必须填写真实、清楚，涂改无效，不得转让、买卖。</w:t>
      </w:r>
    </w:p>
    <w:p>
      <w:pPr>
        <w:ind w:firstLine="630" w:firstLineChars="300"/>
        <w:rPr>
          <w:rFonts w:ascii="宋体" w:hAnsi="宋体" w:cs="宋体"/>
          <w:szCs w:val="21"/>
        </w:rPr>
      </w:pPr>
      <w:r>
        <w:rPr>
          <w:rFonts w:hint="eastAsia" w:ascii="宋体" w:hAnsi="宋体" w:cs="宋体"/>
          <w:szCs w:val="21"/>
        </w:rPr>
        <w:t>3.本证明书要求投标人提供加盖公章后的原件方为有效。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代理人（签名）：性别：年龄：</w:t>
      </w:r>
    </w:p>
    <w:p>
      <w:pPr>
        <w:spacing w:line="360" w:lineRule="auto"/>
        <w:ind w:left="540" w:leftChars="257"/>
        <w:rPr>
          <w:rFonts w:ascii="宋体" w:hAnsi="宋体" w:cs="宋体"/>
          <w:szCs w:val="21"/>
        </w:rPr>
      </w:pPr>
      <w:r>
        <w:rPr>
          <w:rFonts w:hint="eastAsia" w:ascii="宋体" w:hAnsi="宋体" w:cs="宋体"/>
          <w:szCs w:val="21"/>
        </w:rPr>
        <w:t>联系电话：手机：</w:t>
      </w:r>
    </w:p>
    <w:p>
      <w:pPr>
        <w:spacing w:line="360" w:lineRule="auto"/>
        <w:ind w:left="540" w:leftChars="257"/>
        <w:rPr>
          <w:rFonts w:ascii="宋体" w:hAnsi="宋体" w:cs="宋体"/>
          <w:szCs w:val="21"/>
          <w:u w:val="single"/>
        </w:rPr>
      </w:pPr>
      <w:r>
        <w:rPr>
          <w:rFonts w:hint="eastAsia" w:ascii="宋体" w:hAnsi="宋体" w:cs="宋体"/>
          <w:szCs w:val="21"/>
        </w:rPr>
        <w:t>身份证号码：职务：</w:t>
      </w:r>
    </w:p>
    <w:p>
      <w:pPr>
        <w:spacing w:line="360" w:lineRule="auto"/>
        <w:ind w:left="540" w:leftChars="257"/>
        <w:rPr>
          <w:rFonts w:ascii="宋体" w:hAnsi="宋体" w:cs="宋体"/>
          <w:szCs w:val="21"/>
        </w:rPr>
      </w:pPr>
      <w:r>
        <w:rPr>
          <w:rFonts w:hint="eastAsia" w:ascii="宋体" w:hAnsi="宋体" w:cs="宋体"/>
          <w:szCs w:val="21"/>
        </w:rPr>
        <w:t>投标人（盖章）：</w:t>
      </w:r>
    </w:p>
    <w:p>
      <w:pPr>
        <w:spacing w:line="360" w:lineRule="auto"/>
        <w:ind w:left="540" w:leftChars="257"/>
        <w:rPr>
          <w:rFonts w:ascii="宋体" w:hAnsi="宋体" w:cs="宋体"/>
          <w:szCs w:val="21"/>
        </w:rPr>
      </w:pPr>
      <w:r>
        <w:rPr>
          <w:rFonts w:hint="eastAsia" w:ascii="宋体" w:hAnsi="宋体" w:cs="宋体"/>
          <w:szCs w:val="21"/>
        </w:rPr>
        <w:t>法定代表人（签名）：</w:t>
      </w:r>
    </w:p>
    <w:p>
      <w:pPr>
        <w:spacing w:line="360" w:lineRule="auto"/>
        <w:ind w:left="540" w:leftChars="257"/>
        <w:rPr>
          <w:rFonts w:ascii="宋体" w:hAnsi="宋体" w:cs="宋体"/>
          <w:szCs w:val="21"/>
        </w:rPr>
      </w:pPr>
      <w:r>
        <w:rPr>
          <w:rFonts w:hint="eastAsia" w:ascii="宋体" w:hAnsi="宋体" w:cs="宋体"/>
          <w:szCs w:val="21"/>
        </w:rPr>
        <w:t>授权委托日期：年月日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深圳市第一职业技术学校</w:t>
      </w:r>
    </w:p>
    <w:p>
      <w:pPr>
        <w:numPr>
          <w:ilvl w:val="0"/>
          <w:numId w:val="5"/>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投标人：单位地址：</w:t>
      </w:r>
    </w:p>
    <w:p>
      <w:pPr>
        <w:spacing w:after="156" w:afterLines="50"/>
        <w:ind w:firstLine="440" w:firstLineChars="200"/>
        <w:rPr>
          <w:rFonts w:ascii="宋体" w:hAnsi="宋体" w:cs="宋体"/>
          <w:sz w:val="22"/>
          <w:szCs w:val="22"/>
        </w:rPr>
      </w:pPr>
      <w:r>
        <w:rPr>
          <w:rFonts w:hint="eastAsia" w:ascii="宋体" w:hAnsi="宋体" w:cs="宋体"/>
          <w:sz w:val="22"/>
          <w:szCs w:val="22"/>
        </w:rPr>
        <w:t>法定代表人或其委托代理人：</w:t>
      </w:r>
    </w:p>
    <w:p>
      <w:pPr>
        <w:spacing w:after="156" w:afterLines="50"/>
        <w:ind w:firstLine="440" w:firstLineChars="200"/>
        <w:rPr>
          <w:rFonts w:ascii="宋体" w:hAnsi="宋体" w:cs="宋体"/>
          <w:sz w:val="22"/>
          <w:szCs w:val="22"/>
        </w:rPr>
      </w:pPr>
      <w:r>
        <w:rPr>
          <w:rFonts w:hint="eastAsia" w:ascii="宋体" w:hAnsi="宋体" w:cs="宋体"/>
          <w:sz w:val="22"/>
          <w:szCs w:val="22"/>
        </w:rPr>
        <w:t>邮政编码：电话：传真：</w:t>
      </w:r>
    </w:p>
    <w:p>
      <w:pPr>
        <w:spacing w:after="156" w:afterLines="50"/>
        <w:ind w:firstLine="440" w:firstLineChars="200"/>
        <w:rPr>
          <w:rFonts w:ascii="宋体" w:hAnsi="宋体" w:cs="宋体"/>
          <w:sz w:val="22"/>
          <w:szCs w:val="22"/>
        </w:rPr>
      </w:pPr>
      <w:r>
        <w:rPr>
          <w:rFonts w:hint="eastAsia" w:ascii="宋体" w:hAnsi="宋体" w:cs="宋体"/>
          <w:sz w:val="22"/>
          <w:szCs w:val="22"/>
        </w:rPr>
        <w:t>日期：年月日</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3"/>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3"/>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vAlign w:val="center"/>
          </w:tcPr>
          <w:p>
            <w:pPr>
              <w:jc w:val="center"/>
              <w:rPr>
                <w:rFonts w:ascii="宋体" w:hAnsi="宋体" w:cs="宋体"/>
                <w:szCs w:val="21"/>
              </w:rPr>
            </w:pPr>
            <w:r>
              <w:rPr>
                <w:rFonts w:hint="eastAsia" w:ascii="宋体" w:hAnsi="宋体" w:cs="宋体"/>
                <w:szCs w:val="21"/>
              </w:rPr>
              <w:t>序号</w:t>
            </w:r>
          </w:p>
        </w:tc>
        <w:tc>
          <w:tcPr>
            <w:tcW w:w="2525" w:type="dxa"/>
            <w:vAlign w:val="center"/>
          </w:tcPr>
          <w:p>
            <w:pPr>
              <w:jc w:val="center"/>
              <w:rPr>
                <w:rFonts w:ascii="宋体" w:hAnsi="宋体" w:cs="宋体"/>
                <w:szCs w:val="21"/>
              </w:rPr>
            </w:pPr>
            <w:r>
              <w:rPr>
                <w:rFonts w:hint="eastAsia" w:ascii="宋体" w:hAnsi="宋体" w:cs="宋体"/>
                <w:szCs w:val="21"/>
              </w:rPr>
              <w:t>货物名称</w:t>
            </w:r>
          </w:p>
        </w:tc>
        <w:tc>
          <w:tcPr>
            <w:tcW w:w="1440" w:type="dxa"/>
            <w:vAlign w:val="center"/>
          </w:tcPr>
          <w:p>
            <w:pPr>
              <w:jc w:val="center"/>
              <w:rPr>
                <w:rFonts w:ascii="宋体" w:hAnsi="宋体" w:cs="宋体"/>
                <w:szCs w:val="21"/>
              </w:rPr>
            </w:pPr>
            <w:r>
              <w:rPr>
                <w:rFonts w:hint="eastAsia" w:ascii="宋体" w:hAnsi="宋体" w:cs="宋体"/>
                <w:szCs w:val="21"/>
              </w:rPr>
              <w:t>规格及型号</w:t>
            </w:r>
          </w:p>
        </w:tc>
        <w:tc>
          <w:tcPr>
            <w:tcW w:w="900" w:type="dxa"/>
            <w:vAlign w:val="center"/>
          </w:tcPr>
          <w:p>
            <w:pPr>
              <w:jc w:val="center"/>
              <w:rPr>
                <w:rFonts w:ascii="宋体" w:hAnsi="宋体" w:cs="宋体"/>
                <w:b/>
                <w:szCs w:val="21"/>
              </w:rPr>
            </w:pPr>
            <w:r>
              <w:rPr>
                <w:rFonts w:hint="eastAsia" w:ascii="宋体" w:hAnsi="宋体" w:cs="宋体"/>
                <w:bCs/>
                <w:szCs w:val="21"/>
              </w:rPr>
              <w:t>原产地</w:t>
            </w:r>
          </w:p>
        </w:tc>
        <w:tc>
          <w:tcPr>
            <w:tcW w:w="720" w:type="dxa"/>
            <w:vAlign w:val="center"/>
          </w:tcPr>
          <w:p>
            <w:pPr>
              <w:jc w:val="center"/>
              <w:rPr>
                <w:rFonts w:ascii="宋体" w:hAnsi="宋体" w:cs="宋体"/>
                <w:szCs w:val="21"/>
              </w:rPr>
            </w:pPr>
            <w:r>
              <w:rPr>
                <w:rFonts w:hint="eastAsia" w:ascii="宋体" w:hAnsi="宋体" w:cs="宋体"/>
                <w:szCs w:val="21"/>
              </w:rPr>
              <w:t>品牌</w:t>
            </w:r>
          </w:p>
        </w:tc>
        <w:tc>
          <w:tcPr>
            <w:tcW w:w="720" w:type="dxa"/>
            <w:vAlign w:val="center"/>
          </w:tcPr>
          <w:p>
            <w:pPr>
              <w:jc w:val="center"/>
              <w:rPr>
                <w:rFonts w:ascii="宋体" w:hAnsi="宋体" w:cs="宋体"/>
                <w:szCs w:val="21"/>
              </w:rPr>
            </w:pPr>
            <w:r>
              <w:rPr>
                <w:rFonts w:hint="eastAsia" w:ascii="宋体" w:hAnsi="宋体" w:cs="宋体"/>
                <w:szCs w:val="21"/>
              </w:rPr>
              <w:t>数量</w:t>
            </w:r>
          </w:p>
        </w:tc>
        <w:tc>
          <w:tcPr>
            <w:tcW w:w="900" w:type="dxa"/>
            <w:vAlign w:val="center"/>
          </w:tcPr>
          <w:p>
            <w:pPr>
              <w:jc w:val="center"/>
              <w:rPr>
                <w:rFonts w:ascii="宋体" w:hAnsi="宋体" w:cs="宋体"/>
                <w:szCs w:val="21"/>
              </w:rPr>
            </w:pPr>
            <w:r>
              <w:rPr>
                <w:rFonts w:hint="eastAsia" w:ascii="宋体" w:hAnsi="宋体" w:cs="宋体"/>
                <w:szCs w:val="21"/>
              </w:rPr>
              <w:t>单价(元)</w:t>
            </w:r>
          </w:p>
        </w:tc>
        <w:tc>
          <w:tcPr>
            <w:tcW w:w="900" w:type="dxa"/>
            <w:vAlign w:val="center"/>
          </w:tcPr>
          <w:p>
            <w:pPr>
              <w:jc w:val="center"/>
              <w:rPr>
                <w:rFonts w:ascii="宋体" w:hAnsi="宋体" w:cs="宋体"/>
                <w:szCs w:val="21"/>
              </w:rPr>
            </w:pPr>
            <w:r>
              <w:rPr>
                <w:rFonts w:hint="eastAsia" w:ascii="宋体" w:hAnsi="宋体" w:cs="宋体"/>
                <w:szCs w:val="21"/>
              </w:rPr>
              <w:t>合价(元)</w:t>
            </w:r>
          </w:p>
        </w:tc>
        <w:tc>
          <w:tcPr>
            <w:tcW w:w="956" w:type="dxa"/>
            <w:vAlign w:val="center"/>
          </w:tcPr>
          <w:p>
            <w:pPr>
              <w:jc w:val="center"/>
              <w:rPr>
                <w:rFonts w:ascii="宋体" w:hAnsi="宋体" w:cs="宋体"/>
                <w:szCs w:val="21"/>
              </w:rPr>
            </w:pPr>
            <w:r>
              <w:rPr>
                <w:rFonts w:hint="eastAsia" w:ascii="宋体" w:hAnsi="宋体" w:cs="宋体"/>
                <w:szCs w:val="21"/>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dxa"/>
          </w:tcPr>
          <w:p>
            <w:pPr>
              <w:rPr>
                <w:rFonts w:ascii="宋体" w:hAnsi="宋体" w:cs="宋体"/>
                <w:sz w:val="24"/>
              </w:rPr>
            </w:pPr>
          </w:p>
        </w:tc>
        <w:tc>
          <w:tcPr>
            <w:tcW w:w="2525" w:type="dxa"/>
          </w:tcPr>
          <w:p>
            <w:pPr>
              <w:rPr>
                <w:rFonts w:ascii="宋体" w:hAnsi="宋体" w:cs="宋体"/>
                <w:sz w:val="24"/>
              </w:rPr>
            </w:pPr>
          </w:p>
        </w:tc>
        <w:tc>
          <w:tcPr>
            <w:tcW w:w="1440" w:type="dxa"/>
          </w:tcPr>
          <w:p>
            <w:pPr>
              <w:rPr>
                <w:rFonts w:ascii="宋体" w:hAnsi="宋体" w:cs="宋体"/>
                <w:sz w:val="24"/>
              </w:rPr>
            </w:pPr>
          </w:p>
        </w:tc>
        <w:tc>
          <w:tcPr>
            <w:tcW w:w="900" w:type="dxa"/>
          </w:tcPr>
          <w:p>
            <w:pPr>
              <w:rPr>
                <w:rFonts w:ascii="宋体" w:hAnsi="宋体" w:cs="宋体"/>
                <w:sz w:val="24"/>
              </w:rPr>
            </w:pPr>
          </w:p>
        </w:tc>
        <w:tc>
          <w:tcPr>
            <w:tcW w:w="720" w:type="dxa"/>
          </w:tcPr>
          <w:p>
            <w:pPr>
              <w:rPr>
                <w:rFonts w:ascii="宋体" w:hAnsi="宋体" w:cs="宋体"/>
                <w:sz w:val="24"/>
              </w:rPr>
            </w:pPr>
          </w:p>
        </w:tc>
        <w:tc>
          <w:tcPr>
            <w:tcW w:w="720" w:type="dxa"/>
          </w:tcPr>
          <w:p>
            <w:pPr>
              <w:rPr>
                <w:rFonts w:ascii="宋体" w:hAnsi="宋体" w:cs="宋体"/>
                <w:sz w:val="24"/>
              </w:rPr>
            </w:pPr>
          </w:p>
        </w:tc>
        <w:tc>
          <w:tcPr>
            <w:tcW w:w="900" w:type="dxa"/>
          </w:tcPr>
          <w:p>
            <w:pPr>
              <w:rPr>
                <w:rFonts w:ascii="宋体" w:hAnsi="宋体" w:cs="宋体"/>
                <w:sz w:val="24"/>
              </w:rPr>
            </w:pPr>
          </w:p>
        </w:tc>
        <w:tc>
          <w:tcPr>
            <w:tcW w:w="900" w:type="dxa"/>
          </w:tcPr>
          <w:p>
            <w:pPr>
              <w:rPr>
                <w:rFonts w:ascii="宋体" w:hAnsi="宋体" w:cs="宋体"/>
                <w:sz w:val="24"/>
              </w:rPr>
            </w:pPr>
          </w:p>
        </w:tc>
        <w:tc>
          <w:tcPr>
            <w:tcW w:w="956"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2" w:type="dxa"/>
            <w:gridSpan w:val="7"/>
          </w:tcPr>
          <w:p>
            <w:pPr>
              <w:rPr>
                <w:rFonts w:ascii="宋体" w:hAnsi="宋体" w:cs="宋体"/>
                <w:szCs w:val="21"/>
              </w:rPr>
            </w:pPr>
            <w:r>
              <w:rPr>
                <w:rFonts w:hint="eastAsia" w:ascii="宋体" w:hAnsi="宋体" w:cs="宋体"/>
                <w:szCs w:val="21"/>
              </w:rPr>
              <w:t>合计（即：投标总价；币种：人民币；单位：元）：大写：</w:t>
            </w:r>
          </w:p>
        </w:tc>
        <w:tc>
          <w:tcPr>
            <w:tcW w:w="900" w:type="dxa"/>
          </w:tcPr>
          <w:p>
            <w:pPr>
              <w:rPr>
                <w:rFonts w:ascii="宋体" w:hAnsi="宋体" w:cs="宋体"/>
                <w:szCs w:val="21"/>
              </w:rPr>
            </w:pPr>
          </w:p>
        </w:tc>
        <w:tc>
          <w:tcPr>
            <w:tcW w:w="956"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供应商名称：</w:t>
      </w:r>
    </w:p>
    <w:p>
      <w:pPr>
        <w:rPr>
          <w:rFonts w:ascii="宋体" w:hAnsi="宋体" w:cs="宋体"/>
          <w:szCs w:val="21"/>
        </w:rPr>
      </w:pPr>
      <w:r>
        <w:rPr>
          <w:rFonts w:hint="eastAsia" w:ascii="宋体" w:hAnsi="宋体" w:cs="宋体"/>
          <w:szCs w:val="21"/>
        </w:rPr>
        <w:t>供应商代表姓名：</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2.投标总价应为以上各分项价格之和；</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5.投标总价和项目报价表中单个采购预算条目报价均不得超过对应的财政预算限额，否则将导致废标。</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6.开标一览表的投标总价必须与项目报价表的投标总价一致。</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7.“原产地”是指该产品的实际生产加工地，而非品牌总公司所在地。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pStyle w:val="4"/>
        <w:jc w:val="center"/>
        <w:rPr>
          <w:rFonts w:cs="宋体"/>
          <w:bCs w:val="0"/>
          <w:szCs w:val="28"/>
        </w:rPr>
      </w:pPr>
      <w:r>
        <w:rPr>
          <w:rFonts w:hint="eastAsia" w:cs="宋体"/>
          <w:bCs w:val="0"/>
          <w:szCs w:val="28"/>
        </w:rPr>
        <w:t>七、货物说明一览表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2"/>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260"/>
        <w:gridCol w:w="1980"/>
        <w:gridCol w:w="126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jc w:val="center"/>
              <w:rPr>
                <w:rFonts w:ascii="宋体" w:hAnsi="宋体" w:cs="宋体"/>
                <w:szCs w:val="21"/>
              </w:rPr>
            </w:pPr>
            <w:r>
              <w:rPr>
                <w:rFonts w:hint="eastAsia" w:ascii="宋体" w:hAnsi="宋体" w:cs="宋体"/>
                <w:szCs w:val="21"/>
              </w:rPr>
              <w:t>序号</w:t>
            </w:r>
          </w:p>
        </w:tc>
        <w:tc>
          <w:tcPr>
            <w:tcW w:w="1620" w:type="dxa"/>
          </w:tcPr>
          <w:p>
            <w:pPr>
              <w:jc w:val="center"/>
              <w:rPr>
                <w:rFonts w:ascii="宋体" w:hAnsi="宋体" w:cs="宋体"/>
                <w:szCs w:val="21"/>
              </w:rPr>
            </w:pPr>
            <w:r>
              <w:rPr>
                <w:rFonts w:hint="eastAsia" w:ascii="宋体" w:hAnsi="宋体" w:cs="宋体"/>
                <w:szCs w:val="21"/>
              </w:rPr>
              <w:t>货物名称</w:t>
            </w:r>
          </w:p>
        </w:tc>
        <w:tc>
          <w:tcPr>
            <w:tcW w:w="1260" w:type="dxa"/>
          </w:tcPr>
          <w:p>
            <w:pPr>
              <w:jc w:val="center"/>
              <w:rPr>
                <w:rFonts w:ascii="宋体" w:hAnsi="宋体" w:cs="宋体"/>
                <w:szCs w:val="21"/>
              </w:rPr>
            </w:pPr>
            <w:r>
              <w:rPr>
                <w:rFonts w:hint="eastAsia" w:ascii="宋体" w:hAnsi="宋体" w:cs="宋体"/>
                <w:szCs w:val="21"/>
              </w:rPr>
              <w:t>型号</w:t>
            </w:r>
          </w:p>
        </w:tc>
        <w:tc>
          <w:tcPr>
            <w:tcW w:w="1980" w:type="dxa"/>
          </w:tcPr>
          <w:p>
            <w:pPr>
              <w:jc w:val="center"/>
              <w:rPr>
                <w:rFonts w:ascii="宋体" w:hAnsi="宋体" w:cs="宋体"/>
                <w:szCs w:val="21"/>
              </w:rPr>
            </w:pPr>
            <w:r>
              <w:rPr>
                <w:rFonts w:hint="eastAsia" w:ascii="宋体" w:hAnsi="宋体" w:cs="宋体"/>
                <w:szCs w:val="21"/>
              </w:rPr>
              <w:t>技术参数</w:t>
            </w:r>
          </w:p>
        </w:tc>
        <w:tc>
          <w:tcPr>
            <w:tcW w:w="1260" w:type="dxa"/>
          </w:tcPr>
          <w:p>
            <w:pPr>
              <w:jc w:val="center"/>
              <w:rPr>
                <w:rFonts w:ascii="宋体" w:hAnsi="宋体" w:cs="宋体"/>
                <w:szCs w:val="21"/>
              </w:rPr>
            </w:pPr>
            <w:r>
              <w:rPr>
                <w:rFonts w:hint="eastAsia" w:ascii="宋体" w:hAnsi="宋体" w:cs="宋体"/>
                <w:szCs w:val="21"/>
              </w:rPr>
              <w:t>数量</w:t>
            </w:r>
          </w:p>
        </w:tc>
        <w:tc>
          <w:tcPr>
            <w:tcW w:w="1344" w:type="dxa"/>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rPr>
                <w:rFonts w:ascii="宋体" w:hAnsi="宋体" w:cs="宋体"/>
                <w:szCs w:val="21"/>
              </w:rPr>
            </w:pPr>
          </w:p>
        </w:tc>
        <w:tc>
          <w:tcPr>
            <w:tcW w:w="1620" w:type="dxa"/>
          </w:tcPr>
          <w:p>
            <w:pPr>
              <w:rPr>
                <w:rFonts w:ascii="宋体" w:hAnsi="宋体" w:cs="宋体"/>
                <w:szCs w:val="21"/>
              </w:rPr>
            </w:pPr>
          </w:p>
        </w:tc>
        <w:tc>
          <w:tcPr>
            <w:tcW w:w="1260" w:type="dxa"/>
          </w:tcPr>
          <w:p>
            <w:pPr>
              <w:rPr>
                <w:rFonts w:ascii="宋体" w:hAnsi="宋体" w:cs="宋体"/>
                <w:szCs w:val="21"/>
              </w:rPr>
            </w:pPr>
          </w:p>
        </w:tc>
        <w:tc>
          <w:tcPr>
            <w:tcW w:w="1980" w:type="dxa"/>
          </w:tcPr>
          <w:p>
            <w:pPr>
              <w:rPr>
                <w:rFonts w:ascii="宋体" w:hAnsi="宋体" w:cs="宋体"/>
                <w:szCs w:val="21"/>
              </w:rPr>
            </w:pPr>
          </w:p>
        </w:tc>
        <w:tc>
          <w:tcPr>
            <w:tcW w:w="1260" w:type="dxa"/>
          </w:tcPr>
          <w:p>
            <w:pPr>
              <w:rPr>
                <w:rFonts w:ascii="宋体" w:hAnsi="宋体" w:cs="宋体"/>
                <w:szCs w:val="21"/>
              </w:rPr>
            </w:pPr>
          </w:p>
        </w:tc>
        <w:tc>
          <w:tcPr>
            <w:tcW w:w="1344" w:type="dxa"/>
          </w:tcPr>
          <w:p>
            <w:pP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注：提供</w:t>
      </w:r>
      <w:r>
        <w:rPr>
          <w:rFonts w:hint="eastAsia" w:ascii="宋体" w:hAnsi="宋体" w:cs="宋体"/>
          <w:b/>
          <w:bCs/>
          <w:szCs w:val="21"/>
        </w:rPr>
        <w:t>制造商出具的产品中文说明书、彩页、照片等</w:t>
      </w:r>
      <w:r>
        <w:rPr>
          <w:rFonts w:hint="eastAsia" w:ascii="宋体" w:hAnsi="宋体" w:cs="宋体"/>
          <w:szCs w:val="21"/>
        </w:rPr>
        <w:t>相关资料</w:t>
      </w:r>
    </w:p>
    <w:p>
      <w:pPr>
        <w:rPr>
          <w:rFonts w:ascii="宋体" w:hAnsi="宋体" w:cs="宋体"/>
          <w:sz w:val="24"/>
        </w:rPr>
      </w:pPr>
    </w:p>
    <w:p>
      <w:pPr>
        <w:pStyle w:val="4"/>
        <w:jc w:val="center"/>
        <w:rPr>
          <w:rFonts w:cs="宋体"/>
          <w:bCs w:val="0"/>
          <w:szCs w:val="28"/>
        </w:rPr>
      </w:pPr>
      <w:r>
        <w:rPr>
          <w:rFonts w:hint="eastAsia" w:cs="宋体"/>
          <w:bCs w:val="0"/>
          <w:szCs w:val="28"/>
        </w:rPr>
        <w:t>八、技术规格偏离表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p>
    <w:p>
      <w:pPr>
        <w:pStyle w:val="2"/>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pStyle w:val="4"/>
        <w:jc w:val="center"/>
        <w:rPr>
          <w:rFonts w:cs="宋体"/>
          <w:bCs w:val="0"/>
          <w:szCs w:val="28"/>
        </w:rPr>
      </w:pPr>
      <w:r>
        <w:rPr>
          <w:rFonts w:hint="eastAsia" w:cs="宋体"/>
          <w:bCs w:val="0"/>
          <w:szCs w:val="28"/>
        </w:rPr>
        <w:t>九、商务需求偏离表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p>
    <w:p>
      <w:pPr>
        <w:rPr>
          <w:rFonts w:ascii="宋体" w:hAnsi="宋体" w:cs="宋体"/>
          <w:szCs w:val="21"/>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p>
    <w:p>
      <w:pPr>
        <w:rPr>
          <w:rFonts w:ascii="宋体" w:hAnsi="宋体" w:cs="宋体"/>
        </w:rPr>
      </w:pPr>
    </w:p>
    <w:p>
      <w:pPr>
        <w:pStyle w:val="4"/>
        <w:jc w:val="center"/>
        <w:rPr>
          <w:rFonts w:cs="宋体"/>
          <w:kern w:val="0"/>
          <w:szCs w:val="28"/>
        </w:rPr>
      </w:pPr>
      <w:r>
        <w:rPr>
          <w:rFonts w:hint="eastAsia" w:cs="宋体"/>
          <w:kern w:val="0"/>
          <w:szCs w:val="28"/>
        </w:rPr>
        <w:t>十、</w:t>
      </w:r>
      <w:r>
        <w:rPr>
          <w:rFonts w:hint="eastAsia" w:ascii="宋体" w:hAnsi="宋体" w:cs="宋体"/>
          <w:lang w:val="en-US" w:eastAsia="zh-CN"/>
        </w:rPr>
        <w:t>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pStyle w:val="4"/>
        <w:jc w:val="center"/>
        <w:rPr>
          <w:rFonts w:hint="default" w:eastAsia="宋体" w:cs="宋体"/>
          <w:kern w:val="0"/>
          <w:szCs w:val="28"/>
          <w:lang w:val="en-US" w:eastAsia="zh-CN"/>
        </w:rPr>
      </w:pPr>
      <w:r>
        <w:rPr>
          <w:rFonts w:hint="eastAsia" w:cs="宋体"/>
          <w:kern w:val="0"/>
          <w:szCs w:val="28"/>
        </w:rPr>
        <w:t>十一、</w:t>
      </w:r>
      <w:r>
        <w:rPr>
          <w:rFonts w:hint="eastAsia" w:cs="宋体"/>
          <w:lang w:val="en-US" w:eastAsia="zh-CN"/>
        </w:rPr>
        <w:t>售后服务方案</w:t>
      </w:r>
    </w:p>
    <w:p>
      <w:pPr>
        <w:rPr>
          <w:rFonts w:ascii="宋体" w:hAnsi="宋体" w:cs="宋体"/>
          <w:sz w:val="24"/>
        </w:rPr>
      </w:pPr>
    </w:p>
    <w:p>
      <w:pPr>
        <w:rPr>
          <w:rFonts w:ascii="宋体" w:hAnsi="宋体" w:cs="宋体"/>
          <w:szCs w:val="21"/>
        </w:rPr>
      </w:pPr>
    </w:p>
    <w:p>
      <w:pPr>
        <w:rPr>
          <w:rFonts w:ascii="宋体" w:hAnsi="宋体" w:cs="宋体"/>
          <w:b/>
          <w:szCs w:val="21"/>
        </w:rPr>
      </w:pPr>
      <w:r>
        <w:rPr>
          <w:rFonts w:hint="eastAsia" w:ascii="宋体" w:hAnsi="宋体" w:cs="宋体"/>
          <w:b/>
          <w:szCs w:val="21"/>
        </w:rPr>
        <w:t>（备注：该部分须与“</w:t>
      </w:r>
      <w:r>
        <w:rPr>
          <w:rFonts w:hint="eastAsia" w:ascii="宋体" w:hAnsi="宋体" w:cs="宋体"/>
          <w:b/>
          <w:szCs w:val="21"/>
          <w:lang w:val="en-US" w:eastAsia="zh-CN"/>
        </w:rPr>
        <w:t>技术部分</w:t>
      </w:r>
      <w:r>
        <w:rPr>
          <w:rFonts w:hint="eastAsia" w:ascii="宋体" w:hAnsi="宋体" w:cs="宋体"/>
          <w:b/>
          <w:szCs w:val="21"/>
        </w:rPr>
        <w:t>”承诺的内容相呼应，不得前后矛盾。）</w:t>
      </w:r>
    </w:p>
    <w:p>
      <w:pPr>
        <w:pStyle w:val="9"/>
        <w:ind w:firstLine="422"/>
        <w:rPr>
          <w:rFonts w:ascii="宋体" w:hAnsi="宋体" w:cs="宋体"/>
          <w:b/>
        </w:rPr>
      </w:pPr>
    </w:p>
    <w:p>
      <w:pPr>
        <w:pStyle w:val="5"/>
      </w:pPr>
    </w:p>
    <w:p>
      <w:pPr>
        <w:pStyle w:val="9"/>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18C321E5"/>
    <w:multiLevelType w:val="singleLevel"/>
    <w:tmpl w:val="18C321E5"/>
    <w:lvl w:ilvl="0" w:tentative="0">
      <w:start w:val="1"/>
      <w:numFmt w:val="decimal"/>
      <w:lvlText w:val="%1."/>
      <w:lvlJc w:val="left"/>
      <w:pPr>
        <w:ind w:left="635" w:hanging="425"/>
      </w:pPr>
      <w:rPr>
        <w:rFonts w:hint="default"/>
      </w:r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54EE7431"/>
    <w:multiLevelType w:val="singleLevel"/>
    <w:tmpl w:val="54EE7431"/>
    <w:lvl w:ilvl="0" w:tentative="0">
      <w:start w:val="1"/>
      <w:numFmt w:val="chineseCounting"/>
      <w:suff w:val="nothing"/>
      <w:lvlText w:val="（%1）"/>
      <w:lvlJc w:val="left"/>
      <w:rPr>
        <w:rFonts w:hint="eastAsia"/>
      </w:rPr>
    </w:lvl>
  </w:abstractNum>
  <w:abstractNum w:abstractNumId="4">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ZmI1MjQxOTQ3ZjExZDUyYTMxZDQ0NTRhZmMzNzQifQ=="/>
    <w:docVar w:name="KSO_WPS_MARK_KEY" w:val="756e16de-e7df-4634-93e2-c7ce6f72b5f4"/>
  </w:docVars>
  <w:rsids>
    <w:rsidRoot w:val="008E06EA"/>
    <w:rsid w:val="000958E5"/>
    <w:rsid w:val="001338D7"/>
    <w:rsid w:val="001543A8"/>
    <w:rsid w:val="002B1235"/>
    <w:rsid w:val="002D1886"/>
    <w:rsid w:val="00390C90"/>
    <w:rsid w:val="003C1F11"/>
    <w:rsid w:val="003C75D3"/>
    <w:rsid w:val="00414C11"/>
    <w:rsid w:val="005821A2"/>
    <w:rsid w:val="006E43F1"/>
    <w:rsid w:val="0079565D"/>
    <w:rsid w:val="007F151F"/>
    <w:rsid w:val="008E06EA"/>
    <w:rsid w:val="008E5767"/>
    <w:rsid w:val="00960C58"/>
    <w:rsid w:val="009C137A"/>
    <w:rsid w:val="00A151C1"/>
    <w:rsid w:val="00A2554D"/>
    <w:rsid w:val="00A72C32"/>
    <w:rsid w:val="00AF491E"/>
    <w:rsid w:val="00B626E5"/>
    <w:rsid w:val="00BD34F2"/>
    <w:rsid w:val="00C815FC"/>
    <w:rsid w:val="00CC7DC0"/>
    <w:rsid w:val="00CF7933"/>
    <w:rsid w:val="00D02822"/>
    <w:rsid w:val="00D22651"/>
    <w:rsid w:val="00D415BF"/>
    <w:rsid w:val="00D7132D"/>
    <w:rsid w:val="00DF0DCB"/>
    <w:rsid w:val="00E645A8"/>
    <w:rsid w:val="00F553C3"/>
    <w:rsid w:val="00F820B8"/>
    <w:rsid w:val="0159466B"/>
    <w:rsid w:val="03BE6FC6"/>
    <w:rsid w:val="04224B47"/>
    <w:rsid w:val="0A124452"/>
    <w:rsid w:val="0AF17FEF"/>
    <w:rsid w:val="14A050D5"/>
    <w:rsid w:val="231F3C6E"/>
    <w:rsid w:val="26B82091"/>
    <w:rsid w:val="26D24ED1"/>
    <w:rsid w:val="29D55F6E"/>
    <w:rsid w:val="29E1282E"/>
    <w:rsid w:val="303B1EF9"/>
    <w:rsid w:val="368B45CF"/>
    <w:rsid w:val="3C602787"/>
    <w:rsid w:val="3DD61CDB"/>
    <w:rsid w:val="411F02FE"/>
    <w:rsid w:val="4E273257"/>
    <w:rsid w:val="508A5624"/>
    <w:rsid w:val="52B37A56"/>
    <w:rsid w:val="52F106D1"/>
    <w:rsid w:val="565A0366"/>
    <w:rsid w:val="56D92D97"/>
    <w:rsid w:val="65166159"/>
    <w:rsid w:val="660F7458"/>
    <w:rsid w:val="665004E8"/>
    <w:rsid w:val="685130EA"/>
    <w:rsid w:val="6BBD7F7B"/>
    <w:rsid w:val="6D5C69C9"/>
    <w:rsid w:val="6EE92007"/>
    <w:rsid w:val="6F6B4296"/>
    <w:rsid w:val="772174F0"/>
    <w:rsid w:val="795F31E2"/>
    <w:rsid w:val="7A450189"/>
    <w:rsid w:val="7E1C689D"/>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kern w:val="44"/>
      <w:sz w:val="32"/>
      <w:szCs w:val="36"/>
    </w:rPr>
  </w:style>
  <w:style w:type="paragraph" w:styleId="6">
    <w:name w:val="heading 2"/>
    <w:basedOn w:val="4"/>
    <w:next w:val="5"/>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firstLineChars="200"/>
    </w:pPr>
  </w:style>
  <w:style w:type="paragraph" w:styleId="8">
    <w:name w:val="Body Text Indent"/>
    <w:basedOn w:val="1"/>
    <w:next w:val="9"/>
    <w:qFormat/>
    <w:uiPriority w:val="0"/>
    <w:pPr>
      <w:spacing w:line="360" w:lineRule="auto"/>
      <w:ind w:firstLine="420" w:firstLineChars="200"/>
    </w:pPr>
  </w:style>
  <w:style w:type="paragraph" w:styleId="9">
    <w:name w:val="Body Text First Indent 2"/>
    <w:basedOn w:val="8"/>
    <w:unhideWhenUsed/>
    <w:qFormat/>
    <w:uiPriority w:val="99"/>
    <w:pPr>
      <w:spacing w:after="120"/>
      <w:ind w:left="420" w:leftChars="200"/>
    </w:pPr>
    <w:rPr>
      <w:rFonts w:ascii="Calibri" w:hAnsi="Calibri"/>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0"/>
    <w:rPr>
      <w:sz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正文正"/>
    <w:basedOn w:val="1"/>
    <w:qFormat/>
    <w:uiPriority w:val="0"/>
    <w:pPr>
      <w:spacing w:line="560" w:lineRule="exact"/>
      <w:ind w:firstLine="561"/>
    </w:pPr>
    <w:rPr>
      <w:rFonts w:ascii="Calibri" w:hAnsi="Calibri"/>
      <w:sz w:val="28"/>
      <w:szCs w:val="28"/>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表格文字"/>
    <w:basedOn w:val="1"/>
    <w:qFormat/>
    <w:uiPriority w:val="99"/>
    <w:pPr>
      <w:spacing w:before="25" w:after="25"/>
    </w:pPr>
    <w:rPr>
      <w:spacing w:val="10"/>
      <w:sz w:val="24"/>
    </w:rPr>
  </w:style>
  <w:style w:type="character" w:customStyle="1" w:styleId="23">
    <w:name w:val="标题 3 Char"/>
    <w:qFormat/>
    <w:uiPriority w:val="0"/>
    <w:rPr>
      <w:rFonts w:ascii="黑体" w:eastAsia="黑体"/>
      <w:bCs/>
      <w:sz w:val="30"/>
    </w:rPr>
  </w:style>
  <w:style w:type="character" w:customStyle="1" w:styleId="24">
    <w:name w:val="未处理的提及1"/>
    <w:basedOn w:val="15"/>
    <w:semiHidden/>
    <w:unhideWhenUsed/>
    <w:qFormat/>
    <w:uiPriority w:val="99"/>
    <w:rPr>
      <w:color w:val="605E5C"/>
      <w:shd w:val="clear" w:color="auto" w:fill="E1DFDD"/>
    </w:rPr>
  </w:style>
  <w:style w:type="paragraph" w:styleId="2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11239</Words>
  <Characters>11921</Characters>
  <Lines>100</Lines>
  <Paragraphs>28</Paragraphs>
  <TotalTime>5</TotalTime>
  <ScaleCrop>false</ScaleCrop>
  <LinksUpToDate>false</LinksUpToDate>
  <CharactersWithSpaces>11973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2024-04-12T02:34:00Z</dcterms:created>
  <dc:creator>Administrator</dc:creator>
  <cp:lastModifiedBy>010</cp:lastModifiedBy>
  <dcterms:modified xsi:type="dcterms:W3CDTF">2024-11-20T05:12:35Z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F9498E169AC740998724669364F0982B_13</vt:lpwstr>
  </property>
</Properties>
</file>