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jc w:val="center"/>
        <w:rPr>
          <w:rFonts w:hint="eastAsia" w:ascii="宋体" w:hAnsi="宋体" w:cs="宋体"/>
          <w:b/>
          <w:bCs/>
          <w:sz w:val="44"/>
          <w:szCs w:val="44"/>
        </w:rPr>
      </w:pPr>
      <w:r>
        <w:rPr>
          <w:rFonts w:hint="eastAsia" w:ascii="宋体" w:hAnsi="宋体" w:cs="宋体"/>
          <w:b/>
          <w:bCs/>
          <w:sz w:val="44"/>
          <w:szCs w:val="44"/>
        </w:rPr>
        <w:t>深圳市第一职业技术学校</w:t>
      </w:r>
    </w:p>
    <w:p>
      <w:pPr>
        <w:adjustRightInd w:val="0"/>
        <w:snapToGrid w:val="0"/>
        <w:jc w:val="center"/>
        <w:rPr>
          <w:rFonts w:ascii="宋体" w:hAnsi="宋体" w:cs="宋体"/>
          <w:b/>
          <w:bCs/>
          <w:sz w:val="44"/>
          <w:szCs w:val="44"/>
        </w:rPr>
      </w:pPr>
      <w:r>
        <w:rPr>
          <w:rFonts w:hint="eastAsia" w:ascii="宋体" w:hAnsi="宋体" w:cs="宋体"/>
          <w:b/>
          <w:bCs/>
          <w:sz w:val="44"/>
          <w:szCs w:val="44"/>
        </w:rPr>
        <w:t>《化学分析技术》</w:t>
      </w:r>
      <w:r>
        <w:rPr>
          <w:rFonts w:hint="eastAsia" w:ascii="宋体" w:hAnsi="宋体" w:cs="宋体"/>
          <w:b/>
          <w:bCs/>
          <w:sz w:val="44"/>
          <w:szCs w:val="44"/>
          <w:lang w:val="en-US" w:eastAsia="zh-CN"/>
        </w:rPr>
        <w:t>及配套资源出版服务项目</w:t>
      </w:r>
      <w:r>
        <w:rPr>
          <w:rFonts w:ascii="宋体" w:hAnsi="宋体" w:cs="宋体"/>
          <w:b/>
          <w:bCs/>
          <w:sz w:val="44"/>
          <w:szCs w:val="44"/>
        </w:rPr>
        <w:t xml:space="preserve">                       </w:t>
      </w:r>
    </w:p>
    <w:p>
      <w:pPr>
        <w:pStyle w:val="13"/>
      </w:pPr>
    </w:p>
    <w:p/>
    <w:p>
      <w:pPr>
        <w:adjustRightInd w:val="0"/>
        <w:snapToGrid w:val="0"/>
        <w:jc w:val="center"/>
        <w:rPr>
          <w:rFonts w:ascii="宋体" w:hAnsi="宋体" w:cs="宋体"/>
          <w:b/>
          <w:bCs/>
          <w:sz w:val="50"/>
          <w:szCs w:val="44"/>
        </w:rPr>
      </w:pPr>
      <w:r>
        <w:rPr>
          <w:rFonts w:hint="eastAsia" w:ascii="宋体" w:hAnsi="宋体" w:cs="宋体"/>
          <w:b/>
          <w:bCs/>
          <w:sz w:val="50"/>
          <w:szCs w:val="44"/>
        </w:rPr>
        <w:t>招标文件</w:t>
      </w:r>
    </w:p>
    <w:p>
      <w:pPr>
        <w:adjustRightInd w:val="0"/>
        <w:snapToGrid w:val="0"/>
        <w:spacing w:line="560" w:lineRule="exact"/>
        <w:jc w:val="center"/>
        <w:rPr>
          <w:rFonts w:ascii="宋体" w:hAnsi="宋体" w:cs="宋体"/>
          <w:b/>
          <w:bCs/>
          <w:sz w:val="36"/>
          <w:szCs w:val="36"/>
        </w:rPr>
      </w:pPr>
    </w:p>
    <w:p>
      <w:pPr>
        <w:adjustRightInd w:val="0"/>
        <w:snapToGrid w:val="0"/>
        <w:spacing w:line="560" w:lineRule="exact"/>
        <w:jc w:val="center"/>
        <w:rPr>
          <w:rFonts w:ascii="宋体" w:hAnsi="宋体" w:cs="宋体"/>
          <w:b/>
          <w:bCs/>
          <w:sz w:val="36"/>
          <w:szCs w:val="36"/>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spacing w:after="156" w:afterLines="50" w:line="560" w:lineRule="exact"/>
        <w:jc w:val="center"/>
        <w:rPr>
          <w:rFonts w:ascii="宋体" w:hAnsi="宋体" w:cs="宋体"/>
          <w:b/>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widowControl/>
        <w:spacing w:line="560" w:lineRule="exact"/>
        <w:jc w:val="center"/>
        <w:rPr>
          <w:rFonts w:ascii="宋体" w:hAnsi="宋体" w:cs="宋体"/>
          <w:b/>
          <w:bCs/>
          <w:sz w:val="32"/>
          <w:szCs w:val="32"/>
        </w:rPr>
      </w:pPr>
      <w:r>
        <w:rPr>
          <w:rFonts w:hint="eastAsia" w:ascii="宋体" w:hAnsi="宋体" w:cs="宋体"/>
          <w:b/>
          <w:bCs/>
          <w:sz w:val="32"/>
          <w:szCs w:val="32"/>
        </w:rPr>
        <w:t>深圳市第一职业技术学校</w:t>
      </w:r>
    </w:p>
    <w:p>
      <w:pPr>
        <w:widowControl/>
        <w:spacing w:line="560" w:lineRule="exact"/>
        <w:jc w:val="center"/>
        <w:rPr>
          <w:rFonts w:ascii="宋体" w:hAnsi="宋体" w:cs="宋体"/>
          <w:szCs w:val="21"/>
        </w:rPr>
      </w:pPr>
      <w:r>
        <w:rPr>
          <w:rFonts w:hint="eastAsia" w:ascii="宋体" w:hAnsi="宋体" w:cs="宋体"/>
          <w:b/>
          <w:bCs/>
          <w:sz w:val="32"/>
          <w:szCs w:val="32"/>
        </w:rPr>
        <w:t>二○二</w:t>
      </w:r>
      <w:r>
        <w:rPr>
          <w:rFonts w:hint="eastAsia" w:ascii="宋体" w:hAnsi="宋体" w:cs="宋体"/>
          <w:b/>
          <w:bCs/>
          <w:sz w:val="32"/>
          <w:szCs w:val="32"/>
          <w:lang w:val="en-US" w:eastAsia="zh-CN"/>
        </w:rPr>
        <w:t>四</w:t>
      </w:r>
      <w:r>
        <w:rPr>
          <w:rFonts w:hint="eastAsia" w:ascii="宋体" w:hAnsi="宋体" w:cs="宋体"/>
          <w:b/>
          <w:bCs/>
          <w:sz w:val="32"/>
          <w:szCs w:val="32"/>
        </w:rPr>
        <w:t>年十月</w:t>
      </w:r>
      <w:r>
        <w:rPr>
          <w:rFonts w:hint="eastAsia" w:ascii="宋体" w:hAnsi="宋体" w:cs="宋体"/>
          <w:szCs w:val="21"/>
        </w:rPr>
        <w:br w:type="page"/>
      </w:r>
    </w:p>
    <w:p>
      <w:pPr>
        <w:pStyle w:val="2"/>
        <w:numPr>
          <w:numId w:val="0"/>
        </w:numPr>
        <w:spacing w:line="320" w:lineRule="exact"/>
        <w:ind w:leftChars="0"/>
        <w:rPr>
          <w:rFonts w:cs="宋体"/>
          <w:sz w:val="28"/>
          <w:szCs w:val="28"/>
        </w:rPr>
      </w:pPr>
      <w:r>
        <w:rPr>
          <w:rFonts w:hint="eastAsia" w:cs="宋体"/>
          <w:sz w:val="28"/>
          <w:szCs w:val="28"/>
          <w:lang w:val="en-US" w:eastAsia="zh-CN"/>
        </w:rPr>
        <w:t xml:space="preserve">第一章  </w:t>
      </w:r>
      <w:r>
        <w:rPr>
          <w:rFonts w:hint="eastAsia" w:cs="宋体"/>
          <w:sz w:val="28"/>
          <w:szCs w:val="28"/>
        </w:rPr>
        <w:t>项目评审信息</w:t>
      </w:r>
    </w:p>
    <w:p>
      <w:pPr>
        <w:adjustRightInd w:val="0"/>
        <w:snapToGrid w:val="0"/>
        <w:spacing w:line="320" w:lineRule="exact"/>
        <w:rPr>
          <w:rFonts w:hint="eastAsia" w:ascii="宋体" w:hAnsi="宋体" w:cs="宋体"/>
          <w:szCs w:val="21"/>
        </w:rPr>
      </w:pPr>
      <w:r>
        <w:rPr>
          <w:rFonts w:hint="eastAsia" w:ascii="宋体" w:hAnsi="宋体" w:cs="宋体"/>
          <w:szCs w:val="21"/>
        </w:rPr>
        <w:t xml:space="preserve">      项目名称：《化学分析技术》及配套资源</w:t>
      </w:r>
      <w:r>
        <w:rPr>
          <w:rFonts w:hint="eastAsia" w:ascii="宋体" w:hAnsi="宋体" w:cs="宋体"/>
          <w:szCs w:val="21"/>
          <w:lang w:val="en-US" w:eastAsia="zh-CN"/>
        </w:rPr>
        <w:t>出版</w:t>
      </w:r>
      <w:r>
        <w:rPr>
          <w:rFonts w:hint="eastAsia" w:ascii="宋体" w:hAnsi="宋体" w:cs="宋体"/>
          <w:szCs w:val="21"/>
        </w:rPr>
        <w:t>服务项目</w:t>
      </w:r>
    </w:p>
    <w:p>
      <w:pPr>
        <w:adjustRightInd w:val="0"/>
        <w:snapToGrid w:val="0"/>
        <w:spacing w:line="320" w:lineRule="exact"/>
        <w:rPr>
          <w:rFonts w:ascii="宋体" w:hAnsi="宋体" w:cs="宋体"/>
          <w:szCs w:val="21"/>
        </w:rPr>
      </w:pPr>
      <w:r>
        <w:rPr>
          <w:rFonts w:hint="eastAsia" w:ascii="宋体" w:hAnsi="宋体" w:cs="宋体"/>
          <w:szCs w:val="21"/>
        </w:rPr>
        <w:t xml:space="preserve">      项目类型：  服务类</w:t>
      </w:r>
    </w:p>
    <w:p>
      <w:pPr>
        <w:adjustRightInd w:val="0"/>
        <w:snapToGrid w:val="0"/>
        <w:spacing w:line="320" w:lineRule="exact"/>
        <w:rPr>
          <w:rFonts w:ascii="宋体" w:hAnsi="宋体" w:cs="宋体"/>
          <w:szCs w:val="21"/>
        </w:rPr>
      </w:pPr>
      <w:r>
        <w:rPr>
          <w:rFonts w:hint="eastAsia" w:ascii="宋体" w:hAnsi="宋体" w:cs="宋体"/>
          <w:szCs w:val="21"/>
        </w:rPr>
        <w:t xml:space="preserve">      采购方式：  公开招标</w:t>
      </w:r>
    </w:p>
    <w:p>
      <w:pPr>
        <w:adjustRightInd w:val="0"/>
        <w:snapToGrid w:val="0"/>
        <w:spacing w:line="320" w:lineRule="exact"/>
        <w:rPr>
          <w:rFonts w:ascii="宋体" w:hAnsi="宋体" w:cs="宋体"/>
          <w:szCs w:val="21"/>
        </w:rPr>
      </w:pPr>
      <w:r>
        <w:rPr>
          <w:rFonts w:hint="eastAsia" w:ascii="宋体" w:hAnsi="宋体" w:cs="宋体"/>
          <w:szCs w:val="21"/>
        </w:rPr>
        <w:t xml:space="preserve">      货币类型：  人民币</w:t>
      </w:r>
    </w:p>
    <w:p>
      <w:pPr>
        <w:adjustRightInd w:val="0"/>
        <w:snapToGrid w:val="0"/>
        <w:spacing w:line="320" w:lineRule="exact"/>
        <w:rPr>
          <w:rFonts w:hint="eastAsia" w:eastAsia="宋体"/>
          <w:lang w:val="en-US" w:eastAsia="zh-CN"/>
        </w:rPr>
      </w:pPr>
      <w:r>
        <w:rPr>
          <w:rFonts w:hint="eastAsia"/>
        </w:rPr>
        <w:t xml:space="preserve"> </w:t>
      </w:r>
      <w:r>
        <w:t xml:space="preserve">     </w:t>
      </w:r>
      <w:r>
        <w:rPr>
          <w:rFonts w:hint="eastAsia" w:ascii="宋体" w:hAnsi="宋体" w:cs="宋体"/>
          <w:szCs w:val="21"/>
        </w:rPr>
        <w:t xml:space="preserve">项目预算： </w:t>
      </w:r>
      <w:r>
        <w:rPr>
          <w:rFonts w:ascii="宋体" w:hAnsi="宋体" w:cs="宋体"/>
          <w:szCs w:val="21"/>
        </w:rPr>
        <w:t xml:space="preserve"> 1</w:t>
      </w:r>
      <w:r>
        <w:rPr>
          <w:rFonts w:hint="eastAsia" w:ascii="宋体" w:hAnsi="宋体" w:cs="宋体"/>
          <w:szCs w:val="21"/>
          <w:lang w:val="en-US" w:eastAsia="zh-CN"/>
        </w:rPr>
        <w:t>0</w:t>
      </w:r>
      <w:r>
        <w:rPr>
          <w:rFonts w:hint="eastAsia" w:ascii="宋体" w:hAnsi="宋体" w:cs="宋体"/>
          <w:szCs w:val="21"/>
        </w:rPr>
        <w:t>万</w:t>
      </w:r>
      <w:r>
        <w:rPr>
          <w:rFonts w:hint="eastAsia" w:ascii="宋体" w:hAnsi="宋体" w:cs="宋体"/>
          <w:szCs w:val="21"/>
          <w:lang w:val="en-US" w:eastAsia="zh-CN"/>
        </w:rPr>
        <w:t>元</w:t>
      </w:r>
    </w:p>
    <w:p>
      <w:pPr>
        <w:pStyle w:val="5"/>
        <w:spacing w:line="320" w:lineRule="exact"/>
        <w:rPr>
          <w:rFonts w:cs="宋体"/>
          <w:sz w:val="24"/>
          <w:szCs w:val="24"/>
        </w:rPr>
      </w:pPr>
      <w:r>
        <w:rPr>
          <w:rFonts w:hint="eastAsia" w:cs="宋体"/>
          <w:sz w:val="24"/>
          <w:szCs w:val="24"/>
        </w:rPr>
        <w:t>投标文件初审表</w:t>
      </w:r>
    </w:p>
    <w:p>
      <w:pPr>
        <w:spacing w:after="112" w:afterLines="36" w:line="320" w:lineRule="exact"/>
        <w:jc w:val="center"/>
        <w:rPr>
          <w:rFonts w:ascii="宋体" w:hAnsi="宋体" w:cs="宋体"/>
          <w:b/>
          <w:szCs w:val="21"/>
        </w:rPr>
      </w:pPr>
      <w:r>
        <w:rPr>
          <w:rFonts w:hint="eastAsia" w:ascii="宋体" w:hAnsi="宋体" w:cs="宋体"/>
          <w:b/>
          <w:szCs w:val="21"/>
        </w:rPr>
        <w:t>(凡有下列情形之一的，投标文件无效，投标作废标处理)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ascii="宋体" w:hAnsi="宋体" w:cs="宋体"/>
                <w:szCs w:val="21"/>
              </w:rPr>
            </w:pPr>
            <w:r>
              <w:rPr>
                <w:rFonts w:hint="eastAsia" w:ascii="宋体" w:hAnsi="宋体" w:cs="宋体"/>
                <w:szCs w:val="21"/>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1</w:t>
            </w:r>
          </w:p>
        </w:tc>
        <w:tc>
          <w:tcPr>
            <w:tcW w:w="7988" w:type="dxa"/>
            <w:vAlign w:val="center"/>
          </w:tcPr>
          <w:p>
            <w:pPr>
              <w:spacing w:line="320" w:lineRule="exac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ascii="宋体" w:hAnsi="宋体" w:cs="宋体"/>
                <w:szCs w:val="21"/>
              </w:rPr>
            </w:pPr>
            <w:r>
              <w:rPr>
                <w:rFonts w:hint="eastAsia" w:ascii="宋体" w:hAnsi="宋体" w:cs="宋体"/>
                <w:szCs w:val="21"/>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2</w:t>
            </w:r>
          </w:p>
        </w:tc>
        <w:tc>
          <w:tcPr>
            <w:tcW w:w="7988" w:type="dxa"/>
            <w:vAlign w:val="center"/>
          </w:tcPr>
          <w:p>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w:t>
            </w:r>
            <w:r>
              <w:rPr>
                <w:rFonts w:hint="eastAsia" w:ascii="宋体" w:hAnsi="宋体" w:cs="宋体"/>
                <w:b/>
                <w:szCs w:val="21"/>
              </w:rPr>
              <w:t>或</w:t>
            </w:r>
            <w:r>
              <w:rPr>
                <w:rFonts w:hint="eastAsia" w:ascii="宋体" w:hAnsi="宋体" w:cs="宋体"/>
                <w:szCs w:val="21"/>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3</w:t>
            </w:r>
          </w:p>
        </w:tc>
        <w:tc>
          <w:tcPr>
            <w:tcW w:w="7988" w:type="dxa"/>
            <w:vAlign w:val="center"/>
          </w:tcPr>
          <w:p>
            <w:pPr>
              <w:spacing w:line="320" w:lineRule="exact"/>
              <w:rPr>
                <w:rFonts w:ascii="宋体" w:hAnsi="宋体" w:cs="宋体"/>
                <w:szCs w:val="21"/>
              </w:rPr>
            </w:pPr>
            <w:r>
              <w:rPr>
                <w:rFonts w:hint="eastAsia" w:ascii="宋体" w:hAnsi="宋体" w:cs="宋体"/>
                <w:szCs w:val="21"/>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4</w:t>
            </w:r>
          </w:p>
        </w:tc>
        <w:tc>
          <w:tcPr>
            <w:tcW w:w="7988" w:type="dxa"/>
            <w:vAlign w:val="center"/>
          </w:tcPr>
          <w:p>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5</w:t>
            </w:r>
          </w:p>
        </w:tc>
        <w:tc>
          <w:tcPr>
            <w:tcW w:w="7988" w:type="dxa"/>
            <w:vAlign w:val="center"/>
          </w:tcPr>
          <w:p>
            <w:pPr>
              <w:spacing w:line="320" w:lineRule="exact"/>
              <w:rPr>
                <w:rFonts w:ascii="宋体" w:hAnsi="宋体" w:cs="宋体"/>
                <w:szCs w:val="21"/>
              </w:rPr>
            </w:pPr>
            <w:r>
              <w:rPr>
                <w:rFonts w:hint="eastAsia" w:ascii="宋体" w:hAnsi="宋体" w:cs="宋体"/>
                <w:szCs w:val="21"/>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6</w:t>
            </w:r>
          </w:p>
        </w:tc>
        <w:tc>
          <w:tcPr>
            <w:tcW w:w="7988" w:type="dxa"/>
            <w:vAlign w:val="center"/>
          </w:tcPr>
          <w:p>
            <w:pPr>
              <w:spacing w:line="320" w:lineRule="exact"/>
              <w:rPr>
                <w:rFonts w:ascii="宋体" w:hAnsi="宋体" w:cs="宋体"/>
                <w:szCs w:val="21"/>
              </w:rPr>
            </w:pPr>
            <w:r>
              <w:rPr>
                <w:rFonts w:hint="eastAsia" w:ascii="宋体" w:hAnsi="宋体" w:cs="宋体"/>
                <w:szCs w:val="21"/>
              </w:rPr>
              <w:t>投标文件载明的交货期超过招标文件规定的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vAlign w:val="center"/>
          </w:tcPr>
          <w:p>
            <w:pPr>
              <w:spacing w:line="320" w:lineRule="exact"/>
              <w:rPr>
                <w:rFonts w:ascii="宋体" w:hAnsi="宋体" w:cs="宋体"/>
                <w:szCs w:val="21"/>
              </w:rPr>
            </w:pPr>
            <w:r>
              <w:rPr>
                <w:rFonts w:hint="eastAsia" w:ascii="宋体" w:hAnsi="宋体" w:cs="宋体"/>
                <w:szCs w:val="21"/>
              </w:rPr>
              <w:t>7</w:t>
            </w:r>
          </w:p>
        </w:tc>
        <w:tc>
          <w:tcPr>
            <w:tcW w:w="7988" w:type="dxa"/>
            <w:vAlign w:val="center"/>
          </w:tcPr>
          <w:p>
            <w:pPr>
              <w:spacing w:line="320" w:lineRule="exact"/>
              <w:rPr>
                <w:rFonts w:ascii="宋体" w:hAnsi="宋体" w:cs="宋体"/>
                <w:szCs w:val="21"/>
              </w:rPr>
            </w:pPr>
            <w:r>
              <w:rPr>
                <w:rFonts w:hint="eastAsia" w:ascii="宋体" w:hAnsi="宋体" w:cs="宋体"/>
                <w:szCs w:val="21"/>
              </w:rPr>
              <w:t>所投产品在质量、技术、方案等方面没有实质性满足招标文件要求</w:t>
            </w:r>
          </w:p>
        </w:tc>
      </w:tr>
    </w:tbl>
    <w:p>
      <w:pPr>
        <w:pStyle w:val="5"/>
        <w:spacing w:line="320" w:lineRule="exact"/>
        <w:rPr>
          <w:rFonts w:cs="宋体"/>
          <w:sz w:val="24"/>
          <w:szCs w:val="24"/>
        </w:rPr>
      </w:pPr>
      <w:r>
        <w:rPr>
          <w:rFonts w:hint="eastAsia" w:cs="宋体"/>
          <w:sz w:val="24"/>
          <w:szCs w:val="24"/>
        </w:rPr>
        <w:t>评标信息</w:t>
      </w:r>
    </w:p>
    <w:p>
      <w:pPr>
        <w:spacing w:line="32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5"/>
        <w:spacing w:line="320" w:lineRule="exact"/>
        <w:jc w:val="both"/>
        <w:rPr>
          <w:rFonts w:cs="宋体"/>
          <w:sz w:val="21"/>
          <w:szCs w:val="21"/>
        </w:rPr>
      </w:pPr>
      <w:r>
        <w:rPr>
          <w:rFonts w:hint="eastAsia" w:cs="宋体"/>
          <w:sz w:val="24"/>
          <w:szCs w:val="24"/>
        </w:rPr>
        <w:t>评标方法</w:t>
      </w:r>
    </w:p>
    <w:tbl>
      <w:tblPr>
        <w:tblStyle w:val="22"/>
        <w:tblW w:w="9078" w:type="dxa"/>
        <w:jc w:val="center"/>
        <w:tblCellSpacing w:w="0" w:type="dxa"/>
        <w:tblLayout w:type="autofit"/>
        <w:tblCellMar>
          <w:top w:w="45" w:type="dxa"/>
          <w:left w:w="45" w:type="dxa"/>
          <w:bottom w:w="45" w:type="dxa"/>
          <w:right w:w="45" w:type="dxa"/>
        </w:tblCellMar>
      </w:tblPr>
      <w:tblGrid>
        <w:gridCol w:w="8683"/>
        <w:gridCol w:w="395"/>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spacing w:line="320" w:lineRule="exact"/>
              <w:jc w:val="left"/>
              <w:rPr>
                <w:rFonts w:ascii="宋体" w:hAnsi="宋体" w:cs="宋体"/>
                <w:b/>
                <w:bCs/>
                <w:szCs w:val="21"/>
              </w:rPr>
            </w:pPr>
            <w:r>
              <w:rPr>
                <w:rFonts w:hint="eastAsia" w:ascii="宋体" w:hAnsi="宋体" w:cs="宋体"/>
                <w:b/>
                <w:bCs/>
                <w:szCs w:val="21"/>
              </w:rPr>
              <w:t>评标方法：综合评分法</w:t>
            </w:r>
          </w:p>
        </w:tc>
        <w:tc>
          <w:tcPr>
            <w:tcW w:w="0" w:type="auto"/>
            <w:shd w:val="clear" w:color="auto" w:fill="auto"/>
            <w:vAlign w:val="center"/>
          </w:tcPr>
          <w:p>
            <w:pPr>
              <w:spacing w:line="320" w:lineRule="exact"/>
              <w:jc w:val="right"/>
              <w:rPr>
                <w:rFonts w:ascii="宋体" w:hAnsi="宋体" w:cs="宋体"/>
                <w:b/>
                <w:bCs/>
                <w:szCs w:val="21"/>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0" w:lineRule="exact"/>
              <w:ind w:firstLine="420"/>
              <w:rPr>
                <w:rFonts w:ascii="宋体" w:hAnsi="宋体" w:cs="宋体"/>
                <w:szCs w:val="21"/>
              </w:rPr>
            </w:pPr>
            <w:r>
              <w:rPr>
                <w:rFonts w:hint="eastAsia" w:ascii="宋体" w:hAnsi="宋体" w:cs="宋体"/>
                <w:szCs w:val="21"/>
              </w:rPr>
              <w:t xml:space="preserve">综合评分法。在最大限度地满足招标文件实质性要求的前提下，按照招标文件中规定的各项因素进行综合评审，评标总得分排名前列的投标人，作为推荐的候选中标供应商。 </w:t>
            </w:r>
          </w:p>
          <w:p>
            <w:pPr>
              <w:spacing w:line="320" w:lineRule="exact"/>
              <w:ind w:firstLine="420"/>
              <w:rPr>
                <w:rFonts w:ascii="宋体" w:hAnsi="宋体" w:cs="宋体"/>
                <w:szCs w:val="21"/>
              </w:rPr>
            </w:pPr>
            <w:r>
              <w:rPr>
                <w:rFonts w:hint="eastAsia" w:ascii="宋体" w:hAnsi="宋体" w:cs="宋体"/>
                <w:szCs w:val="21"/>
              </w:rPr>
              <w:t>价格分计算方法：</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采用低价优先法计算，即满足招标文件要求且投标价格最低的投标报价为评标基准价，其价格分为满分。其他投标人的价格分统一按照下列公式计算： </w:t>
            </w:r>
          </w:p>
          <w:p>
            <w:pPr>
              <w:pStyle w:val="19"/>
              <w:widowControl/>
              <w:spacing w:line="320" w:lineRule="exact"/>
              <w:ind w:left="420"/>
              <w:rPr>
                <w:rFonts w:ascii="宋体" w:hAnsi="宋体" w:cs="宋体"/>
                <w:sz w:val="21"/>
                <w:szCs w:val="21"/>
              </w:rPr>
            </w:pPr>
            <w:r>
              <w:rPr>
                <w:rFonts w:hint="eastAsia" w:ascii="宋体" w:hAnsi="宋体" w:cs="宋体"/>
                <w:sz w:val="21"/>
                <w:szCs w:val="21"/>
              </w:rPr>
              <w:t>投标报价得分=(评标基准价／投标报价)×100</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评标总得分＝F1×A1＋F2×A2＋……＋Fn×An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F1、F2……Fn分别为各项评审因素的得分；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A1、A2、……An 分别为各项评审因素所占的权重(A1＋A2＋……＋An＝1)。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评标过程中，不得去掉报价中的最高报价和最低报价。 </w:t>
            </w:r>
          </w:p>
          <w:p>
            <w:pPr>
              <w:pStyle w:val="19"/>
              <w:widowControl/>
              <w:spacing w:line="320" w:lineRule="exact"/>
              <w:ind w:left="420"/>
              <w:rPr>
                <w:rFonts w:ascii="宋体" w:hAnsi="宋体" w:cs="宋体"/>
                <w:sz w:val="21"/>
                <w:szCs w:val="21"/>
              </w:rPr>
            </w:pPr>
            <w:r>
              <w:rPr>
                <w:rFonts w:hint="eastAsia" w:ascii="宋体" w:hAnsi="宋体" w:cs="宋体"/>
                <w:sz w:val="21"/>
                <w:szCs w:val="21"/>
              </w:rPr>
              <w:t>此方法适用于货物类、服务类、工程类项目。</w:t>
            </w:r>
          </w:p>
        </w:tc>
      </w:tr>
    </w:tbl>
    <w:p>
      <w:pPr>
        <w:spacing w:line="320" w:lineRule="exact"/>
        <w:rPr>
          <w:rFonts w:ascii="宋体" w:hAnsi="宋体" w:cs="宋体"/>
          <w:szCs w:val="21"/>
        </w:rPr>
      </w:pPr>
    </w:p>
    <w:p>
      <w:pPr>
        <w:pStyle w:val="15"/>
        <w:spacing w:line="320" w:lineRule="exact"/>
        <w:rPr>
          <w:rFonts w:ascii="宋体" w:hAnsi="宋体" w:cs="宋体"/>
          <w:szCs w:val="21"/>
        </w:rPr>
      </w:pPr>
    </w:p>
    <w:tbl>
      <w:tblPr>
        <w:tblStyle w:val="22"/>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1677"/>
        <w:gridCol w:w="32"/>
        <w:gridCol w:w="114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1</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2</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spacing w:line="320" w:lineRule="exact"/>
              <w:jc w:val="center"/>
              <w:rPr>
                <w:rFonts w:ascii="宋体" w:hAnsi="宋体" w:cs="宋体"/>
                <w:szCs w:val="21"/>
              </w:rPr>
            </w:pPr>
          </w:p>
        </w:tc>
        <w:tc>
          <w:tcPr>
            <w:tcW w:w="733" w:type="dxa"/>
            <w:vAlign w:val="center"/>
          </w:tcPr>
          <w:p>
            <w:pPr>
              <w:spacing w:line="320" w:lineRule="exact"/>
              <w:jc w:val="center"/>
              <w:rPr>
                <w:rFonts w:ascii="宋体" w:hAnsi="宋体" w:cs="宋体"/>
                <w:b/>
                <w:bCs/>
                <w:szCs w:val="21"/>
              </w:rPr>
            </w:pPr>
            <w:r>
              <w:rPr>
                <w:rFonts w:hint="eastAsia" w:ascii="宋体" w:hAnsi="宋体" w:cs="宋体"/>
                <w:b/>
                <w:bCs/>
                <w:szCs w:val="21"/>
              </w:rPr>
              <w:t>序号</w:t>
            </w:r>
          </w:p>
        </w:tc>
        <w:tc>
          <w:tcPr>
            <w:tcW w:w="1677" w:type="dxa"/>
            <w:vAlign w:val="center"/>
          </w:tcPr>
          <w:p>
            <w:pPr>
              <w:spacing w:line="320" w:lineRule="exact"/>
              <w:jc w:val="center"/>
              <w:rPr>
                <w:rFonts w:ascii="宋体" w:hAnsi="宋体" w:cs="宋体"/>
                <w:b/>
                <w:bCs/>
                <w:szCs w:val="21"/>
              </w:rPr>
            </w:pPr>
            <w:r>
              <w:rPr>
                <w:rFonts w:hint="eastAsia" w:ascii="宋体" w:hAnsi="宋体" w:cs="宋体"/>
                <w:b/>
                <w:bCs/>
                <w:szCs w:val="21"/>
              </w:rPr>
              <w:t>评分因素</w:t>
            </w:r>
          </w:p>
        </w:tc>
        <w:tc>
          <w:tcPr>
            <w:tcW w:w="1176" w:type="dxa"/>
            <w:gridSpan w:val="2"/>
            <w:vAlign w:val="center"/>
          </w:tcPr>
          <w:p>
            <w:pPr>
              <w:spacing w:line="320" w:lineRule="exact"/>
              <w:jc w:val="center"/>
              <w:rPr>
                <w:rFonts w:ascii="宋体" w:hAnsi="宋体" w:cs="宋体"/>
                <w:b/>
                <w:bCs/>
                <w:szCs w:val="21"/>
              </w:rPr>
            </w:pPr>
            <w:r>
              <w:rPr>
                <w:rFonts w:hint="eastAsia" w:ascii="宋体" w:hAnsi="宋体" w:cs="宋体"/>
                <w:b/>
                <w:bCs/>
                <w:szCs w:val="21"/>
              </w:rPr>
              <w:t>权重</w:t>
            </w:r>
          </w:p>
        </w:tc>
        <w:tc>
          <w:tcPr>
            <w:tcW w:w="4678" w:type="dxa"/>
            <w:vAlign w:val="center"/>
          </w:tcPr>
          <w:p>
            <w:pPr>
              <w:spacing w:line="320" w:lineRule="exact"/>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677" w:type="dxa"/>
            <w:vAlign w:val="center"/>
          </w:tcPr>
          <w:p>
            <w:pPr>
              <w:spacing w:line="320" w:lineRule="exact"/>
              <w:ind w:firstLine="210" w:firstLineChars="100"/>
              <w:rPr>
                <w:rFonts w:ascii="宋体" w:hAnsi="宋体" w:cs="宋体"/>
                <w:bCs/>
                <w:szCs w:val="21"/>
              </w:rPr>
            </w:pPr>
            <w:r>
              <w:rPr>
                <w:rFonts w:hint="eastAsia" w:ascii="宋体" w:hAnsi="宋体" w:eastAsia="宋体" w:cs="宋体"/>
                <w:bCs/>
                <w:color w:val="000000"/>
                <w:szCs w:val="21"/>
              </w:rPr>
              <w:t>实施方案</w:t>
            </w:r>
          </w:p>
        </w:tc>
        <w:tc>
          <w:tcPr>
            <w:tcW w:w="1176" w:type="dxa"/>
            <w:gridSpan w:val="2"/>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4678" w:type="dxa"/>
            <w:vAlign w:val="center"/>
          </w:tcPr>
          <w:p>
            <w:r>
              <w:t>根据供应商对项目</w:t>
            </w:r>
            <w:r>
              <w:rPr>
                <w:rFonts w:hint="eastAsia"/>
              </w:rPr>
              <w:t>的</w:t>
            </w:r>
            <w:r>
              <w:t xml:space="preserve">实施计划、实施保障、进度安排、时间点控制等方案的可行性、可控性进行综合评审： </w:t>
            </w:r>
          </w:p>
          <w:p>
            <w:pPr>
              <w:rPr>
                <w:rFonts w:ascii="宋体" w:hAnsi="宋体" w:eastAsia="宋体" w:cs="宋体"/>
                <w:bCs/>
                <w:color w:val="000000"/>
                <w:szCs w:val="21"/>
              </w:rPr>
            </w:pPr>
            <w:r>
              <w:rPr>
                <w:rFonts w:hint="eastAsia" w:ascii="宋体" w:hAnsi="宋体" w:eastAsia="宋体" w:cs="宋体"/>
                <w:bCs/>
                <w:color w:val="000000"/>
                <w:szCs w:val="21"/>
              </w:rPr>
              <w:t>1.针对项目内容进行详尽分析、能客观、准确地编制项目关键点，实施内容编制完整、思路清晰无遗漏，对实施内容有优化及合理建议，方案内容逻辑清晰，有详细的步骤操作界面，交互功能满足要求，得13分；</w:t>
            </w:r>
          </w:p>
          <w:p>
            <w:pPr>
              <w:rPr>
                <w:rFonts w:ascii="宋体" w:hAnsi="宋体" w:eastAsia="宋体" w:cs="宋体"/>
                <w:bCs/>
                <w:color w:val="000000"/>
                <w:szCs w:val="21"/>
              </w:rPr>
            </w:pPr>
            <w:r>
              <w:rPr>
                <w:rFonts w:hint="eastAsia" w:ascii="宋体" w:hAnsi="宋体" w:eastAsia="宋体" w:cs="宋体"/>
                <w:bCs/>
                <w:color w:val="000000"/>
                <w:szCs w:val="21"/>
              </w:rPr>
              <w:t>2.针对项目内容进行基本分析、实施计划针对性良好，实施方案内容编制良好、思路比较清晰，交互功能满足要求，得8分；</w:t>
            </w:r>
          </w:p>
          <w:p>
            <w:pPr>
              <w:rPr>
                <w:rFonts w:ascii="宋体" w:hAnsi="宋体" w:eastAsia="宋体" w:cs="宋体"/>
                <w:bCs/>
                <w:color w:val="000000"/>
                <w:szCs w:val="21"/>
              </w:rPr>
            </w:pPr>
            <w:r>
              <w:rPr>
                <w:rFonts w:hint="eastAsia" w:ascii="宋体" w:hAnsi="宋体" w:eastAsia="宋体" w:cs="宋体"/>
                <w:bCs/>
                <w:color w:val="000000"/>
                <w:szCs w:val="21"/>
              </w:rPr>
              <w:t>3.针对项目内容进行较简单、实施计划针对性一般，实施方案内容编制一般、思路符合逻辑，得4分；</w:t>
            </w:r>
          </w:p>
          <w:p>
            <w:pPr>
              <w:rPr>
                <w:rFonts w:ascii="宋体" w:hAnsi="宋体" w:eastAsia="宋体" w:cs="宋体"/>
                <w:bCs/>
                <w:color w:val="000000"/>
                <w:szCs w:val="21"/>
              </w:rPr>
            </w:pPr>
            <w:r>
              <w:rPr>
                <w:rFonts w:hint="eastAsia" w:ascii="宋体" w:hAnsi="宋体" w:eastAsia="宋体" w:cs="宋体"/>
                <w:bCs/>
                <w:color w:val="000000"/>
                <w:szCs w:val="21"/>
              </w:rPr>
              <w:t>4.针对项目内容进行较简单、实施计划针对性较差，实施方案内容编制较差、思路不太符合逻辑，得1分；</w:t>
            </w:r>
          </w:p>
          <w:p>
            <w:pPr>
              <w:spacing w:line="320" w:lineRule="exact"/>
              <w:rPr>
                <w:rFonts w:ascii="宋体" w:hAnsi="宋体" w:cs="宋体"/>
                <w:szCs w:val="21"/>
              </w:rPr>
            </w:pPr>
            <w:r>
              <w:rPr>
                <w:rFonts w:hint="eastAsia" w:ascii="宋体" w:hAnsi="宋体" w:eastAsia="宋体" w:cs="宋体"/>
                <w:bCs/>
                <w:color w:val="000000"/>
                <w:szCs w:val="21"/>
              </w:rPr>
              <w:t>5.此项未提供不得分。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pacing w:line="320" w:lineRule="exact"/>
              <w:jc w:val="center"/>
              <w:rPr>
                <w:rFonts w:ascii="宋体" w:hAnsi="宋体" w:cs="宋体"/>
                <w:szCs w:val="21"/>
              </w:rPr>
            </w:pPr>
          </w:p>
        </w:tc>
        <w:tc>
          <w:tcPr>
            <w:tcW w:w="733"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677" w:type="dxa"/>
            <w:vAlign w:val="center"/>
          </w:tcPr>
          <w:p>
            <w:pPr>
              <w:jc w:val="center"/>
              <w:rPr>
                <w:rFonts w:ascii="宋体" w:hAnsi="宋体" w:cs="宋体"/>
                <w:szCs w:val="21"/>
              </w:rPr>
            </w:pPr>
            <w:r>
              <w:rPr>
                <w:rFonts w:hint="eastAsia" w:ascii="宋体" w:hAnsi="宋体" w:eastAsia="宋体" w:cs="宋体"/>
                <w:bCs/>
                <w:szCs w:val="21"/>
              </w:rPr>
              <w:t>技术响应</w:t>
            </w:r>
          </w:p>
        </w:tc>
        <w:tc>
          <w:tcPr>
            <w:tcW w:w="1176" w:type="dxa"/>
            <w:gridSpan w:val="2"/>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4678" w:type="dxa"/>
            <w:vAlign w:val="center"/>
          </w:tcPr>
          <w:p>
            <w:pPr>
              <w:rPr>
                <w:rFonts w:ascii="宋体" w:hAnsi="宋体" w:eastAsia="宋体" w:cs="宋体"/>
                <w:szCs w:val="21"/>
              </w:rPr>
            </w:pPr>
            <w:r>
              <w:rPr>
                <w:rFonts w:hint="eastAsia" w:ascii="宋体" w:hAnsi="宋体" w:eastAsia="宋体" w:cs="宋体"/>
                <w:szCs w:val="21"/>
              </w:rPr>
              <w:t>（一）评审内容：</w:t>
            </w:r>
          </w:p>
          <w:p>
            <w:pPr>
              <w:rPr>
                <w:rFonts w:ascii="宋体" w:hAnsi="宋体" w:eastAsia="宋体" w:cs="宋体"/>
                <w:szCs w:val="21"/>
              </w:rPr>
            </w:pPr>
            <w:r>
              <w:rPr>
                <w:rFonts w:hint="eastAsia" w:ascii="宋体" w:hAnsi="宋体" w:eastAsia="宋体" w:cs="宋体"/>
                <w:szCs w:val="21"/>
              </w:rPr>
              <w:t>投标人应如实填写《用户需求书条款响应一览表》，评审专家根据技术需求参数响应情况进行评审。</w:t>
            </w:r>
          </w:p>
          <w:p>
            <w:pPr>
              <w:rPr>
                <w:rFonts w:ascii="宋体" w:hAnsi="宋体" w:eastAsia="宋体" w:cs="宋体"/>
                <w:szCs w:val="21"/>
              </w:rPr>
            </w:pPr>
            <w:r>
              <w:rPr>
                <w:rFonts w:hint="eastAsia" w:ascii="宋体" w:hAnsi="宋体" w:eastAsia="宋体" w:cs="宋体"/>
                <w:szCs w:val="21"/>
              </w:rPr>
              <w:t xml:space="preserve">（二）评分标准与依据： </w:t>
            </w:r>
          </w:p>
          <w:p>
            <w:pPr>
              <w:rPr>
                <w:rFonts w:hint="eastAsia" w:ascii="宋体" w:hAnsi="宋体" w:eastAsia="宋体" w:cs="宋体"/>
                <w:szCs w:val="21"/>
                <w:lang w:eastAsia="zh-CN"/>
              </w:rPr>
            </w:pPr>
            <w:r>
              <w:rPr>
                <w:rFonts w:hint="eastAsia" w:ascii="宋体" w:hAnsi="宋体" w:eastAsia="宋体" w:cs="宋体"/>
                <w:szCs w:val="21"/>
              </w:rPr>
              <w:t>完全满足招标文件要求的得2</w:t>
            </w:r>
            <w:r>
              <w:rPr>
                <w:rFonts w:hint="eastAsia" w:ascii="宋体" w:hAnsi="宋体" w:cs="宋体"/>
                <w:szCs w:val="21"/>
                <w:lang w:val="en-US" w:eastAsia="zh-CN"/>
              </w:rPr>
              <w:t>4</w:t>
            </w:r>
            <w:r>
              <w:rPr>
                <w:rFonts w:hint="eastAsia" w:ascii="宋体" w:hAnsi="宋体" w:eastAsia="宋体" w:cs="宋体"/>
                <w:szCs w:val="21"/>
              </w:rPr>
              <w:t>分，标注“▲”条款总分</w:t>
            </w:r>
            <w:r>
              <w:rPr>
                <w:rFonts w:hint="eastAsia" w:ascii="宋体" w:hAnsi="宋体" w:cs="宋体"/>
                <w:szCs w:val="21"/>
                <w:lang w:val="en-US" w:eastAsia="zh-CN"/>
              </w:rPr>
              <w:t>24</w:t>
            </w:r>
            <w:r>
              <w:rPr>
                <w:rFonts w:hint="eastAsia" w:ascii="宋体" w:hAnsi="宋体" w:eastAsia="宋体" w:cs="宋体"/>
                <w:szCs w:val="21"/>
              </w:rPr>
              <w:t>分，每负偏离一项扣</w:t>
            </w:r>
            <w:r>
              <w:rPr>
                <w:rFonts w:hint="eastAsia" w:ascii="宋体" w:hAnsi="宋体" w:cs="宋体"/>
                <w:szCs w:val="21"/>
                <w:lang w:val="en-US" w:eastAsia="zh-CN"/>
              </w:rPr>
              <w:t>3</w:t>
            </w:r>
            <w:r>
              <w:rPr>
                <w:rFonts w:hint="eastAsia" w:ascii="宋体" w:hAnsi="宋体" w:eastAsia="宋体" w:cs="宋体"/>
                <w:szCs w:val="21"/>
              </w:rPr>
              <w:t>分，负偏离达</w:t>
            </w:r>
            <w:r>
              <w:rPr>
                <w:rFonts w:hint="eastAsia" w:ascii="宋体" w:hAnsi="宋体" w:cs="宋体"/>
                <w:szCs w:val="21"/>
                <w:lang w:val="en-US" w:eastAsia="zh-CN"/>
              </w:rPr>
              <w:t>8</w:t>
            </w:r>
            <w:r>
              <w:rPr>
                <w:rFonts w:hint="eastAsia" w:ascii="宋体" w:hAnsi="宋体" w:eastAsia="宋体" w:cs="宋体"/>
                <w:szCs w:val="21"/>
              </w:rPr>
              <w:t>项本小项不得分</w:t>
            </w:r>
            <w:r>
              <w:rPr>
                <w:rFonts w:hint="eastAsia" w:ascii="宋体" w:hAnsi="宋体" w:cs="宋体"/>
                <w:szCs w:val="21"/>
                <w:lang w:eastAsia="zh-CN"/>
              </w:rPr>
              <w:t>。</w:t>
            </w:r>
          </w:p>
          <w:p>
            <w:pPr>
              <w:rPr>
                <w:rFonts w:ascii="宋体" w:hAnsi="宋体" w:cs="宋体"/>
                <w:color w:val="000000"/>
                <w:kern w:val="0"/>
                <w:szCs w:val="21"/>
              </w:rPr>
            </w:pPr>
            <w:r>
              <w:rPr>
                <w:rFonts w:hint="eastAsia" w:ascii="宋体" w:hAnsi="宋体" w:eastAsia="宋体" w:cs="宋体"/>
                <w:szCs w:val="21"/>
              </w:rPr>
              <w:t>注：带“▲”为重要技术参数条款须提供技术参数中要求提供证明资料的，则须提供对应参数的证明资料。否则作负偏离处理。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3</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商务部分</w:t>
            </w:r>
          </w:p>
        </w:tc>
        <w:tc>
          <w:tcPr>
            <w:tcW w:w="4678" w:type="dxa"/>
            <w:vAlign w:val="center"/>
          </w:tcPr>
          <w:p>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vMerge w:val="restart"/>
            <w:vAlign w:val="center"/>
          </w:tcPr>
          <w:p>
            <w:pPr>
              <w:keepNext/>
              <w:keepLines/>
              <w:spacing w:before="340" w:after="330" w:line="320" w:lineRule="exact"/>
              <w:jc w:val="center"/>
              <w:outlineLvl w:val="0"/>
              <w:rPr>
                <w:rFonts w:ascii="宋体" w:hAnsi="宋体" w:cs="宋体"/>
                <w:b/>
                <w:szCs w:val="21"/>
              </w:rPr>
            </w:pPr>
          </w:p>
        </w:tc>
        <w:tc>
          <w:tcPr>
            <w:tcW w:w="733"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677" w:type="dxa"/>
            <w:vAlign w:val="center"/>
          </w:tcPr>
          <w:p>
            <w:pPr>
              <w:spacing w:line="320" w:lineRule="exact"/>
              <w:jc w:val="center"/>
              <w:rPr>
                <w:rFonts w:ascii="宋体" w:hAnsi="宋体" w:cs="宋体"/>
                <w:b/>
                <w:szCs w:val="21"/>
              </w:rPr>
            </w:pPr>
            <w:r>
              <w:rPr>
                <w:rFonts w:hint="eastAsia" w:ascii="宋体" w:hAnsi="宋体" w:cs="宋体"/>
                <w:b/>
                <w:szCs w:val="21"/>
              </w:rPr>
              <w:t>评分因素</w:t>
            </w:r>
          </w:p>
        </w:tc>
        <w:tc>
          <w:tcPr>
            <w:tcW w:w="1176" w:type="dxa"/>
            <w:gridSpan w:val="2"/>
            <w:vAlign w:val="center"/>
          </w:tcPr>
          <w:p>
            <w:pPr>
              <w:spacing w:line="320" w:lineRule="exact"/>
              <w:jc w:val="center"/>
              <w:rPr>
                <w:rFonts w:ascii="宋体" w:hAnsi="宋体" w:cs="宋体"/>
                <w:b/>
                <w:szCs w:val="21"/>
              </w:rPr>
            </w:pPr>
            <w:r>
              <w:rPr>
                <w:rFonts w:hint="eastAsia" w:ascii="宋体" w:hAnsi="宋体" w:cs="宋体"/>
                <w:b/>
                <w:szCs w:val="21"/>
              </w:rPr>
              <w:t>权重</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677" w:type="dxa"/>
            <w:vAlign w:val="center"/>
          </w:tcPr>
          <w:p>
            <w:pPr>
              <w:spacing w:line="320" w:lineRule="exact"/>
              <w:jc w:val="center"/>
              <w:rPr>
                <w:rFonts w:ascii="宋体" w:hAnsi="宋体" w:cs="宋体"/>
                <w:szCs w:val="21"/>
              </w:rPr>
            </w:pPr>
            <w:r>
              <w:rPr>
                <w:rFonts w:hint="eastAsia" w:ascii="宋体" w:hAnsi="宋体" w:eastAsia="宋体" w:cs="宋体"/>
                <w:bCs/>
                <w:color w:val="000000"/>
                <w:szCs w:val="21"/>
              </w:rPr>
              <w:t>商务要求响应程度</w:t>
            </w:r>
          </w:p>
        </w:tc>
        <w:tc>
          <w:tcPr>
            <w:tcW w:w="1176" w:type="dxa"/>
            <w:gridSpan w:val="2"/>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4678" w:type="dxa"/>
          </w:tcPr>
          <w:p>
            <w:pPr>
              <w:spacing w:line="320" w:lineRule="exact"/>
              <w:ind w:right="31" w:rightChars="15"/>
              <w:jc w:val="left"/>
              <w:rPr>
                <w:rFonts w:ascii="宋体" w:hAnsi="宋体" w:cs="宋体"/>
                <w:szCs w:val="21"/>
              </w:rPr>
            </w:pPr>
            <w:r>
              <w:rPr>
                <w:rFonts w:hint="eastAsia"/>
              </w:rPr>
              <w:t>根据供应商对招标文件（采购文件）商务要求的响应情况进行评审：全部无偏离或优于（正偏离）得</w:t>
            </w:r>
            <w:r>
              <w:rPr>
                <w:rFonts w:hint="eastAsia"/>
                <w:lang w:val="en-US" w:eastAsia="zh-CN"/>
              </w:rPr>
              <w:t>8</w:t>
            </w:r>
            <w:r>
              <w:rPr>
                <w:rFonts w:hint="eastAsia"/>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hint="default" w:ascii="宋体" w:hAnsi="宋体" w:cs="宋体"/>
                <w:szCs w:val="21"/>
                <w:lang w:val="en-US" w:eastAsia="zh-CN"/>
              </w:rPr>
            </w:pPr>
            <w:r>
              <w:rPr>
                <w:rFonts w:hint="eastAsia" w:ascii="宋体" w:hAnsi="宋体" w:cs="宋体"/>
                <w:szCs w:val="21"/>
                <w:lang w:val="en-US" w:eastAsia="zh-CN"/>
              </w:rPr>
              <w:t>2</w:t>
            </w:r>
          </w:p>
        </w:tc>
        <w:tc>
          <w:tcPr>
            <w:tcW w:w="1677" w:type="dxa"/>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rPr>
              <w:t>投标人同类项目业绩情况</w:t>
            </w:r>
          </w:p>
        </w:tc>
        <w:tc>
          <w:tcPr>
            <w:tcW w:w="1176" w:type="dxa"/>
            <w:gridSpan w:val="2"/>
            <w:vAlign w:val="center"/>
          </w:tcPr>
          <w:p>
            <w:pPr>
              <w:spacing w:line="32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10</w:t>
            </w:r>
          </w:p>
        </w:tc>
        <w:tc>
          <w:tcPr>
            <w:tcW w:w="4678" w:type="dxa"/>
            <w:vAlign w:val="top"/>
          </w:tcPr>
          <w:p>
            <w:pPr>
              <w:rPr>
                <w:rFonts w:ascii="宋体" w:hAnsi="宋体" w:cs="宋体"/>
                <w:b/>
              </w:rPr>
            </w:pPr>
            <w:r>
              <w:rPr>
                <w:rFonts w:hint="eastAsia" w:ascii="宋体" w:hAnsi="宋体" w:cs="宋体"/>
                <w:b/>
              </w:rPr>
              <w:t>（一）评分内容：</w:t>
            </w:r>
          </w:p>
          <w:p>
            <w:pPr>
              <w:rPr>
                <w:rFonts w:ascii="宋体" w:hAnsi="宋体" w:cs="宋体"/>
              </w:rPr>
            </w:pPr>
            <w:r>
              <w:rPr>
                <w:rFonts w:hint="eastAsia" w:ascii="宋体" w:hAnsi="宋体" w:cs="宋体"/>
              </w:rPr>
              <w:t>投标人20</w:t>
            </w:r>
            <w:r>
              <w:rPr>
                <w:rFonts w:ascii="宋体" w:hAnsi="宋体" w:cs="宋体"/>
              </w:rPr>
              <w:t>2</w:t>
            </w:r>
            <w:r>
              <w:rPr>
                <w:rFonts w:hint="eastAsia" w:ascii="宋体" w:hAnsi="宋体" w:cs="宋体"/>
                <w:lang w:val="en-US" w:eastAsia="zh-CN"/>
              </w:rPr>
              <w:t>1</w:t>
            </w:r>
            <w:r>
              <w:rPr>
                <w:rFonts w:hint="eastAsia" w:ascii="宋体" w:hAnsi="宋体" w:cs="宋体"/>
              </w:rPr>
              <w:t>年1月1日至本项目投标截止日（以合同签订日期为准），具有同类项目业绩。每提供1个项目得</w:t>
            </w:r>
            <w:r>
              <w:rPr>
                <w:rFonts w:hint="eastAsia" w:ascii="宋体" w:hAnsi="宋体" w:cs="宋体"/>
                <w:lang w:val="en-US" w:eastAsia="zh-CN"/>
              </w:rPr>
              <w:t>2</w:t>
            </w:r>
            <w:r>
              <w:rPr>
                <w:rFonts w:hint="eastAsia" w:ascii="宋体" w:hAnsi="宋体" w:cs="宋体"/>
              </w:rPr>
              <w:t>分，最高得1</w:t>
            </w:r>
            <w:r>
              <w:rPr>
                <w:rFonts w:hint="eastAsia" w:ascii="宋体" w:hAnsi="宋体" w:cs="宋体"/>
                <w:lang w:val="en-US" w:eastAsia="zh-CN"/>
              </w:rPr>
              <w:t>0</w:t>
            </w:r>
            <w:r>
              <w:rPr>
                <w:rFonts w:hint="eastAsia" w:ascii="宋体" w:hAnsi="宋体" w:cs="宋体"/>
              </w:rPr>
              <w:t>分。同一项目续签合同的不可重复得分。</w:t>
            </w:r>
          </w:p>
          <w:p>
            <w:pPr>
              <w:rPr>
                <w:rFonts w:ascii="宋体" w:hAnsi="宋体" w:cs="宋体"/>
                <w:b/>
              </w:rPr>
            </w:pPr>
            <w:r>
              <w:rPr>
                <w:rFonts w:hint="eastAsia" w:ascii="宋体" w:hAnsi="宋体" w:cs="宋体"/>
                <w:b/>
              </w:rPr>
              <w:t>（二）评分依据：</w:t>
            </w:r>
          </w:p>
          <w:p>
            <w:pPr>
              <w:rPr>
                <w:rFonts w:ascii="宋体" w:hAnsi="宋体" w:cs="宋体"/>
              </w:rPr>
            </w:pPr>
            <w:r>
              <w:rPr>
                <w:rFonts w:hint="eastAsia" w:ascii="宋体" w:hAnsi="宋体" w:cs="宋体"/>
              </w:rPr>
              <w:t>1.提供合同关键页，合同需体现签订日期；</w:t>
            </w:r>
          </w:p>
          <w:p>
            <w:pPr>
              <w:rPr>
                <w:rFonts w:ascii="宋体" w:hAnsi="宋体" w:cs="宋体"/>
              </w:rPr>
            </w:pPr>
            <w:r>
              <w:rPr>
                <w:rFonts w:hint="eastAsia" w:ascii="宋体" w:hAnsi="宋体" w:cs="宋体"/>
              </w:rPr>
              <w:t>2.通过合同关键信息无法判断是否得分的，也可以提供能证明得分的其它证明资料，如项目报告或合同甲方出具的证明文件；</w:t>
            </w:r>
          </w:p>
          <w:p>
            <w:pPr>
              <w:spacing w:line="320" w:lineRule="exact"/>
              <w:ind w:right="31" w:rightChars="15"/>
              <w:jc w:val="left"/>
              <w:rPr>
                <w:rFonts w:hint="eastAsia" w:ascii="宋体" w:hAnsi="宋体" w:eastAsia="宋体" w:cs="宋体"/>
                <w:kern w:val="2"/>
                <w:sz w:val="21"/>
                <w:szCs w:val="21"/>
                <w:lang w:val="en-US" w:eastAsia="zh-CN" w:bidi="ar-SA"/>
              </w:rPr>
            </w:pPr>
            <w:r>
              <w:rPr>
                <w:rFonts w:hint="eastAsia" w:ascii="宋体" w:hAnsi="宋体" w:cs="宋体"/>
              </w:rPr>
              <w:t>3.以上证明文件均提供复印件或扫描件加盖投标人公章，原件备查。未按要求提供有效证明材料或提供不清晰导致评委无法识别的不计得分。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677" w:type="dxa"/>
            <w:vAlign w:val="center"/>
          </w:tcPr>
          <w:p>
            <w:pPr>
              <w:jc w:val="center"/>
              <w:rPr>
                <w:rFonts w:ascii="宋体" w:hAnsi="宋体" w:eastAsia="宋体" w:cs="宋体"/>
                <w:bCs/>
                <w:color w:val="000000"/>
                <w:szCs w:val="21"/>
              </w:rPr>
            </w:pPr>
            <w:r>
              <w:rPr>
                <w:rFonts w:hint="eastAsia" w:ascii="宋体" w:hAnsi="宋体" w:eastAsia="宋体" w:cs="宋体"/>
                <w:bCs/>
                <w:color w:val="000000"/>
                <w:szCs w:val="21"/>
              </w:rPr>
              <w:t xml:space="preserve">售后服务方案 </w:t>
            </w:r>
          </w:p>
          <w:p>
            <w:pPr>
              <w:spacing w:line="320" w:lineRule="exact"/>
              <w:jc w:val="center"/>
              <w:rPr>
                <w:rFonts w:hint="default" w:ascii="宋体" w:hAnsi="宋体" w:cs="宋体"/>
                <w:lang w:val="en-US"/>
              </w:rPr>
            </w:pPr>
          </w:p>
        </w:tc>
        <w:tc>
          <w:tcPr>
            <w:tcW w:w="1176" w:type="dxa"/>
            <w:gridSpan w:val="2"/>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678" w:type="dxa"/>
          </w:tcPr>
          <w:p>
            <w:r>
              <w:rPr>
                <w:rFonts w:hint="eastAsia"/>
              </w:rPr>
              <w:t xml:space="preserve">根据供应商提供的售后服务方案（包括响应时间、售后服务团队、应急维护方案等）进行综合评审。 </w:t>
            </w:r>
          </w:p>
          <w:p>
            <w:r>
              <w:rPr>
                <w:rFonts w:hint="eastAsia"/>
              </w:rPr>
              <w:t xml:space="preserve">1.方案科学合理，针对性强，具备实际可操作性，能够保证业务系统的可靠、稳定运行，得10分； </w:t>
            </w:r>
          </w:p>
          <w:p>
            <w:r>
              <w:rPr>
                <w:rFonts w:hint="eastAsia"/>
              </w:rPr>
              <w:t xml:space="preserve">2.方案基本合理，针对性较强，基本具备实际可操作性，能够保证业务系统的运行，得6分； </w:t>
            </w:r>
          </w:p>
          <w:p>
            <w:r>
              <w:rPr>
                <w:rFonts w:hint="eastAsia"/>
              </w:rPr>
              <w:t>3.方案合理性一般，针对性较强，可实际操作性不强，但能够保证业务系统的运行，得3分；</w:t>
            </w:r>
          </w:p>
          <w:p>
            <w:r>
              <w:rPr>
                <w:rFonts w:hint="eastAsia"/>
              </w:rPr>
              <w:t>4.方案不合理，针对性差，不具备实际可操作性，不能够保证业务系统的可靠、稳定运行，得1分。</w:t>
            </w:r>
          </w:p>
          <w:p>
            <w:pPr>
              <w:spacing w:line="320" w:lineRule="exact"/>
              <w:ind w:right="31" w:rightChars="15"/>
              <w:jc w:val="left"/>
              <w:rPr>
                <w:rFonts w:ascii="宋体" w:hAnsi="宋体" w:cs="宋体"/>
                <w:szCs w:val="21"/>
              </w:rPr>
            </w:pPr>
            <w:r>
              <w:rPr>
                <w:rFonts w:hint="eastAsia"/>
              </w:rPr>
              <w:t>5.</w:t>
            </w:r>
            <w:r>
              <w:rPr>
                <w:rFonts w:hint="eastAsia" w:ascii="宋体" w:hAnsi="宋体" w:eastAsia="宋体" w:cs="宋体"/>
                <w:bCs/>
                <w:color w:val="000000"/>
                <w:szCs w:val="21"/>
              </w:rPr>
              <w:t>此项未提供不得分</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4</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8"/>
              <w:pBdr>
                <w:bottom w:val="none" w:color="auto" w:sz="0" w:space="0"/>
              </w:pBdr>
              <w:tabs>
                <w:tab w:val="clear" w:pos="4153"/>
                <w:tab w:val="clear" w:pos="8306"/>
              </w:tabs>
              <w:spacing w:line="320" w:lineRule="exact"/>
              <w:rPr>
                <w:rFonts w:ascii="宋体" w:hAnsi="宋体" w:cs="宋体"/>
                <w:b/>
                <w:kern w:val="2"/>
                <w:sz w:val="21"/>
                <w:szCs w:val="21"/>
              </w:rPr>
            </w:pPr>
            <w:r>
              <w:rPr>
                <w:rFonts w:hint="eastAsia" w:ascii="宋体" w:hAnsi="宋体" w:cs="宋体"/>
                <w:b/>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restart"/>
            <w:vAlign w:val="center"/>
          </w:tcPr>
          <w:p>
            <w:pPr>
              <w:spacing w:line="320" w:lineRule="exact"/>
              <w:jc w:val="center"/>
              <w:rPr>
                <w:rFonts w:ascii="宋体" w:hAnsi="宋体" w:cs="宋体"/>
                <w:b/>
                <w:szCs w:val="21"/>
              </w:rPr>
            </w:pPr>
          </w:p>
        </w:tc>
        <w:tc>
          <w:tcPr>
            <w:tcW w:w="733"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709" w:type="dxa"/>
            <w:gridSpan w:val="2"/>
            <w:vAlign w:val="center"/>
          </w:tcPr>
          <w:p>
            <w:pPr>
              <w:spacing w:line="320" w:lineRule="exact"/>
              <w:jc w:val="center"/>
              <w:rPr>
                <w:rFonts w:ascii="宋体" w:hAnsi="宋体" w:cs="宋体"/>
                <w:b/>
                <w:szCs w:val="21"/>
              </w:rPr>
            </w:pPr>
            <w:r>
              <w:rPr>
                <w:rFonts w:hint="eastAsia" w:ascii="宋体" w:hAnsi="宋体" w:cs="宋体"/>
                <w:b/>
                <w:szCs w:val="21"/>
              </w:rPr>
              <w:t>评分因素</w:t>
            </w:r>
          </w:p>
        </w:tc>
        <w:tc>
          <w:tcPr>
            <w:tcW w:w="1144" w:type="dxa"/>
            <w:vAlign w:val="center"/>
          </w:tcPr>
          <w:p>
            <w:pPr>
              <w:spacing w:line="320" w:lineRule="exact"/>
              <w:jc w:val="center"/>
              <w:rPr>
                <w:rFonts w:ascii="宋体" w:hAnsi="宋体" w:cs="宋体"/>
                <w:b/>
                <w:szCs w:val="21"/>
              </w:rPr>
            </w:pPr>
            <w:r>
              <w:rPr>
                <w:rFonts w:hint="eastAsia" w:ascii="宋体" w:hAnsi="宋体" w:cs="宋体"/>
                <w:b/>
                <w:szCs w:val="21"/>
              </w:rPr>
              <w:t>权重</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709" w:type="dxa"/>
            <w:gridSpan w:val="2"/>
            <w:vAlign w:val="center"/>
          </w:tcPr>
          <w:p>
            <w:pPr>
              <w:spacing w:line="320" w:lineRule="exact"/>
              <w:jc w:val="center"/>
              <w:rPr>
                <w:rFonts w:ascii="宋体" w:hAnsi="宋体" w:cs="宋体"/>
                <w:szCs w:val="21"/>
              </w:rPr>
            </w:pPr>
          </w:p>
          <w:p>
            <w:pPr>
              <w:spacing w:line="320" w:lineRule="exact"/>
              <w:jc w:val="center"/>
              <w:rPr>
                <w:rFonts w:ascii="宋体" w:hAnsi="宋体" w:cs="宋体"/>
                <w:szCs w:val="21"/>
              </w:rPr>
            </w:pPr>
            <w:r>
              <w:rPr>
                <w:rFonts w:hint="eastAsia" w:ascii="宋体" w:hAnsi="宋体" w:cs="宋体"/>
                <w:szCs w:val="21"/>
              </w:rPr>
              <w:t>诚信评价</w:t>
            </w:r>
          </w:p>
          <w:p>
            <w:pPr>
              <w:spacing w:line="320" w:lineRule="exact"/>
              <w:jc w:val="center"/>
              <w:rPr>
                <w:rFonts w:ascii="宋体" w:hAnsi="宋体" w:cs="宋体"/>
                <w:szCs w:val="21"/>
              </w:rPr>
            </w:pPr>
          </w:p>
        </w:tc>
        <w:tc>
          <w:tcPr>
            <w:tcW w:w="1144" w:type="dxa"/>
            <w:vAlign w:val="center"/>
          </w:tcPr>
          <w:p>
            <w:pPr>
              <w:spacing w:line="320" w:lineRule="exact"/>
              <w:jc w:val="center"/>
              <w:rPr>
                <w:rFonts w:ascii="宋体" w:hAnsi="宋体" w:cs="宋体"/>
                <w:szCs w:val="21"/>
              </w:rPr>
            </w:pPr>
            <w:r>
              <w:rPr>
                <w:rFonts w:hint="eastAsia" w:ascii="宋体" w:hAnsi="宋体" w:cs="宋体"/>
                <w:szCs w:val="21"/>
              </w:rPr>
              <w:t xml:space="preserve">5 </w:t>
            </w:r>
          </w:p>
        </w:tc>
        <w:tc>
          <w:tcPr>
            <w:tcW w:w="4678" w:type="dxa"/>
          </w:tcPr>
          <w:p>
            <w:pPr>
              <w:spacing w:line="320" w:lineRule="exact"/>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2"/>
        <w:numPr>
          <w:numId w:val="0"/>
        </w:numPr>
        <w:spacing w:line="320" w:lineRule="exact"/>
        <w:ind w:leftChars="0"/>
        <w:rPr>
          <w:rFonts w:hint="eastAsia" w:cs="宋体"/>
          <w:sz w:val="28"/>
          <w:szCs w:val="28"/>
          <w:lang w:val="en-US" w:eastAsia="zh-CN"/>
        </w:rPr>
      </w:pPr>
    </w:p>
    <w:p>
      <w:pPr>
        <w:pStyle w:val="2"/>
        <w:numPr>
          <w:numId w:val="0"/>
        </w:numPr>
        <w:spacing w:line="320" w:lineRule="exact"/>
        <w:ind w:leftChars="0"/>
        <w:rPr>
          <w:rFonts w:cs="宋体"/>
          <w:sz w:val="28"/>
          <w:szCs w:val="28"/>
        </w:rPr>
      </w:pPr>
      <w:r>
        <w:rPr>
          <w:rFonts w:hint="eastAsia" w:cs="宋体"/>
          <w:sz w:val="28"/>
          <w:szCs w:val="28"/>
          <w:lang w:val="en-US" w:eastAsia="zh-CN"/>
        </w:rPr>
        <w:t xml:space="preserve">第二章  </w:t>
      </w:r>
      <w:r>
        <w:rPr>
          <w:rFonts w:hint="eastAsia" w:cs="宋体"/>
          <w:sz w:val="28"/>
          <w:szCs w:val="28"/>
        </w:rPr>
        <w:t>项目需求</w:t>
      </w:r>
    </w:p>
    <w:p>
      <w:pPr>
        <w:spacing w:after="156"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w:t>
      </w:r>
      <w:r>
        <w:rPr>
          <w:rFonts w:hint="eastAsia" w:ascii="仿宋_GB2312" w:eastAsia="仿宋_GB2312"/>
          <w:sz w:val="24"/>
          <w:lang w:val="en-US" w:eastAsia="zh-CN"/>
        </w:rPr>
        <w:t>一</w:t>
      </w:r>
      <w:r>
        <w:rPr>
          <w:rFonts w:hint="eastAsia" w:ascii="仿宋_GB2312" w:eastAsia="仿宋_GB2312"/>
          <w:sz w:val="24"/>
        </w:rPr>
        <w:t>章“评标</w:t>
      </w:r>
      <w:r>
        <w:rPr>
          <w:rFonts w:hint="eastAsia" w:ascii="仿宋_GB2312" w:eastAsia="仿宋_GB2312"/>
          <w:sz w:val="24"/>
          <w:lang w:val="en-US" w:eastAsia="zh-CN"/>
        </w:rPr>
        <w:t>方法</w:t>
      </w:r>
      <w:r>
        <w:rPr>
          <w:rFonts w:hint="eastAsia" w:ascii="仿宋_GB2312" w:eastAsia="仿宋_GB2312"/>
          <w:sz w:val="24"/>
        </w:rPr>
        <w:t>”进行扣分。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5"/>
        <w:numPr>
          <w:numId w:val="2"/>
        </w:numPr>
        <w:jc w:val="both"/>
        <w:rPr>
          <w:sz w:val="24"/>
          <w:szCs w:val="24"/>
        </w:rPr>
      </w:pPr>
      <w:bookmarkStart w:id="0" w:name="_Toc73521547"/>
      <w:bookmarkStart w:id="1" w:name="_Toc100052364"/>
      <w:bookmarkStart w:id="2" w:name="_Toc60560625"/>
      <w:bookmarkStart w:id="3" w:name="_Toc73517639"/>
      <w:bookmarkStart w:id="4" w:name="_Toc60631620"/>
      <w:bookmarkStart w:id="5" w:name="_Toc73521635"/>
      <w:bookmarkStart w:id="6" w:name="_Toc101074876"/>
      <w:bookmarkStart w:id="7" w:name="_Toc73518117"/>
      <w:r>
        <w:rPr>
          <w:rFonts w:hint="eastAsia"/>
          <w:sz w:val="24"/>
          <w:szCs w:val="24"/>
        </w:rPr>
        <w:t>项目概况</w:t>
      </w:r>
    </w:p>
    <w:bookmarkEnd w:id="0"/>
    <w:bookmarkEnd w:id="1"/>
    <w:bookmarkEnd w:id="2"/>
    <w:bookmarkEnd w:id="3"/>
    <w:bookmarkEnd w:id="4"/>
    <w:bookmarkEnd w:id="5"/>
    <w:bookmarkEnd w:id="6"/>
    <w:bookmarkEnd w:id="7"/>
    <w:p>
      <w:pPr>
        <w:spacing w:line="400" w:lineRule="exact"/>
        <w:ind w:left="2" w:right="-6" w:rightChars="-3" w:firstLine="523" w:firstLineChars="218"/>
        <w:jc w:val="left"/>
        <w:rPr>
          <w:rFonts w:hint="default" w:asciiTheme="minorEastAsia" w:hAnsiTheme="minorEastAsia" w:eastAsiaTheme="minorEastAsia"/>
          <w:sz w:val="24"/>
          <w:lang w:val="en-US"/>
        </w:rPr>
      </w:pPr>
      <w:r>
        <w:rPr>
          <w:rFonts w:hint="eastAsia" w:asciiTheme="minorEastAsia" w:hAnsiTheme="minorEastAsia" w:eastAsiaTheme="minorEastAsia"/>
          <w:sz w:val="24"/>
        </w:rPr>
        <w:t>因环境与检测部专业基础课《化学分析技术》教学内容紧密结合广东省中等职业技术教育《化学》技能考证要求，而目前市售教材内容未能完全满足</w:t>
      </w:r>
      <w:r>
        <w:rPr>
          <w:rFonts w:hint="eastAsia" w:asciiTheme="minorEastAsia" w:hAnsiTheme="minorEastAsia" w:eastAsiaTheme="minorEastAsia"/>
          <w:sz w:val="24"/>
          <w:lang w:val="en-US" w:eastAsia="zh-CN"/>
        </w:rPr>
        <w:t>其</w:t>
      </w:r>
      <w:r>
        <w:rPr>
          <w:rFonts w:hint="eastAsia" w:asciiTheme="minorEastAsia" w:hAnsiTheme="minorEastAsia" w:eastAsiaTheme="minorEastAsia"/>
          <w:sz w:val="24"/>
        </w:rPr>
        <w:t>课程需求，为实现该课程内容与考证内容一致性，该专业部教师根据教学大纲和考证内容共同编写了《化学分析技术》教材。</w:t>
      </w:r>
      <w:r>
        <w:rPr>
          <w:rFonts w:hint="eastAsia" w:asciiTheme="minorEastAsia" w:hAnsiTheme="minorEastAsia" w:eastAsiaTheme="minorEastAsia"/>
          <w:sz w:val="24"/>
          <w:lang w:val="en-US" w:eastAsia="zh-CN"/>
        </w:rPr>
        <w:t>现需对</w:t>
      </w:r>
      <w:r>
        <w:rPr>
          <w:rFonts w:hint="eastAsia" w:asciiTheme="minorEastAsia" w:hAnsiTheme="minorEastAsia" w:eastAsiaTheme="minorEastAsia"/>
          <w:sz w:val="24"/>
        </w:rPr>
        <w:t>《化学分析技术》教材</w:t>
      </w:r>
      <w:r>
        <w:rPr>
          <w:rFonts w:hint="eastAsia" w:asciiTheme="minorEastAsia" w:hAnsiTheme="minorEastAsia" w:eastAsiaTheme="minorEastAsia"/>
          <w:sz w:val="24"/>
          <w:lang w:val="en-US" w:eastAsia="zh-CN"/>
        </w:rPr>
        <w:t>及相关配套手册等出版。</w:t>
      </w:r>
    </w:p>
    <w:p>
      <w:pPr>
        <w:pStyle w:val="5"/>
        <w:numPr>
          <w:ilvl w:val="1"/>
          <w:numId w:val="2"/>
        </w:numPr>
        <w:jc w:val="both"/>
        <w:rPr>
          <w:rFonts w:hint="eastAsia"/>
          <w:sz w:val="24"/>
          <w:szCs w:val="24"/>
        </w:rPr>
      </w:pPr>
      <w:r>
        <w:rPr>
          <w:rFonts w:hint="eastAsia"/>
          <w:sz w:val="24"/>
          <w:szCs w:val="24"/>
        </w:rPr>
        <w:t>货物清单</w:t>
      </w:r>
    </w:p>
    <w:tbl>
      <w:tblPr>
        <w:tblStyle w:val="22"/>
        <w:tblW w:w="8789"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412"/>
        <w:gridCol w:w="2479"/>
        <w:gridCol w:w="1155"/>
        <w:gridCol w:w="99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dxa"/>
            <w:noWrap/>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序号</w:t>
            </w:r>
          </w:p>
        </w:tc>
        <w:tc>
          <w:tcPr>
            <w:tcW w:w="2412" w:type="dxa"/>
            <w:noWrap/>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产品名称</w:t>
            </w:r>
          </w:p>
        </w:tc>
        <w:tc>
          <w:tcPr>
            <w:tcW w:w="2479" w:type="dxa"/>
            <w:noWrap/>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型号规格</w:t>
            </w:r>
          </w:p>
        </w:tc>
        <w:tc>
          <w:tcPr>
            <w:tcW w:w="1155" w:type="dxa"/>
            <w:noWrap/>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数量</w:t>
            </w:r>
          </w:p>
        </w:tc>
        <w:tc>
          <w:tcPr>
            <w:tcW w:w="990" w:type="dxa"/>
            <w:noWrap/>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单位</w:t>
            </w:r>
          </w:p>
        </w:tc>
        <w:tc>
          <w:tcPr>
            <w:tcW w:w="1050" w:type="dxa"/>
            <w:noWrap/>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2412" w:type="dxa"/>
            <w:vAlign w:val="center"/>
          </w:tcPr>
          <w:p>
            <w:pPr>
              <w:widowControl/>
              <w:jc w:val="center"/>
              <w:textAlignment w:val="center"/>
              <w:rPr>
                <w:rFonts w:ascii="宋体" w:hAnsi="宋体" w:eastAsia="宋体" w:cs="宋体"/>
                <w:color w:val="000000"/>
                <w:kern w:val="0"/>
                <w:sz w:val="22"/>
                <w:lang w:bidi="ar"/>
              </w:rPr>
            </w:pPr>
            <w:r>
              <w:rPr>
                <w:rFonts w:hint="eastAsia" w:ascii="Times New Roman" w:hAnsi="Times New Roman" w:eastAsia="宋体" w:cs="Times New Roman"/>
                <w:color w:val="000000"/>
                <w:sz w:val="22"/>
              </w:rPr>
              <w:t>教材《化学分析技术》</w:t>
            </w:r>
          </w:p>
        </w:tc>
        <w:tc>
          <w:tcPr>
            <w:tcW w:w="2479" w:type="dxa"/>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787 mm*1092 mm</w:t>
            </w:r>
          </w:p>
        </w:tc>
        <w:tc>
          <w:tcPr>
            <w:tcW w:w="1155" w:type="dxa"/>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val="en-US" w:eastAsia="zh-CN" w:bidi="ar"/>
              </w:rPr>
              <w:t>1</w:t>
            </w:r>
          </w:p>
        </w:tc>
        <w:tc>
          <w:tcPr>
            <w:tcW w:w="990" w:type="dxa"/>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项</w:t>
            </w:r>
          </w:p>
        </w:tc>
        <w:tc>
          <w:tcPr>
            <w:tcW w:w="1050" w:type="dxa"/>
            <w:vAlign w:val="center"/>
          </w:tcPr>
          <w:p>
            <w:pPr>
              <w:widowControl/>
              <w:jc w:val="center"/>
              <w:textAlignment w:val="center"/>
              <w:rPr>
                <w:rFonts w:ascii="宋体" w:hAnsi="宋体" w:eastAsia="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2412"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sz w:val="22"/>
              </w:rPr>
              <w:t>配套操作手册</w:t>
            </w:r>
          </w:p>
        </w:tc>
        <w:tc>
          <w:tcPr>
            <w:tcW w:w="2479" w:type="dxa"/>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787 mm*1092 mm</w:t>
            </w:r>
          </w:p>
        </w:tc>
        <w:tc>
          <w:tcPr>
            <w:tcW w:w="1155" w:type="dxa"/>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val="en-US" w:eastAsia="zh-CN" w:bidi="ar"/>
              </w:rPr>
              <w:t>1</w:t>
            </w:r>
          </w:p>
        </w:tc>
        <w:tc>
          <w:tcPr>
            <w:tcW w:w="990" w:type="dxa"/>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项</w:t>
            </w:r>
          </w:p>
        </w:tc>
        <w:tc>
          <w:tcPr>
            <w:tcW w:w="1050" w:type="dxa"/>
            <w:vAlign w:val="center"/>
          </w:tcPr>
          <w:p>
            <w:pPr>
              <w:widowControl/>
              <w:jc w:val="center"/>
              <w:textAlignment w:val="center"/>
              <w:rPr>
                <w:rFonts w:ascii="宋体" w:hAnsi="宋体" w:eastAsia="宋体" w:cs="宋体"/>
                <w:color w:val="000000"/>
                <w:kern w:val="0"/>
                <w:sz w:val="22"/>
                <w:lang w:bidi="ar"/>
              </w:rPr>
            </w:pPr>
          </w:p>
        </w:tc>
      </w:tr>
    </w:tbl>
    <w:p>
      <w:pPr>
        <w:pStyle w:val="5"/>
        <w:numPr>
          <w:ilvl w:val="1"/>
          <w:numId w:val="2"/>
        </w:numPr>
        <w:jc w:val="both"/>
        <w:rPr>
          <w:rFonts w:hint="eastAsia"/>
          <w:sz w:val="24"/>
          <w:szCs w:val="24"/>
        </w:rPr>
      </w:pPr>
      <w:r>
        <w:rPr>
          <w:rFonts w:hint="eastAsia"/>
          <w:sz w:val="24"/>
          <w:szCs w:val="24"/>
        </w:rPr>
        <w:t>具体采购要求</w:t>
      </w:r>
    </w:p>
    <w:tbl>
      <w:tblPr>
        <w:tblStyle w:val="22"/>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73"/>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1078" w:type="dxa"/>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产品名称</w:t>
            </w:r>
          </w:p>
        </w:tc>
        <w:tc>
          <w:tcPr>
            <w:tcW w:w="7304" w:type="dxa"/>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0"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1078" w:type="dxa"/>
            <w:vAlign w:val="center"/>
          </w:tcPr>
          <w:p>
            <w:pPr>
              <w:widowControl/>
              <w:jc w:val="center"/>
              <w:textAlignment w:val="center"/>
              <w:rPr>
                <w:rFonts w:ascii="宋体" w:hAnsi="宋体" w:eastAsia="宋体" w:cs="宋体"/>
                <w:kern w:val="0"/>
                <w:szCs w:val="21"/>
                <w:lang w:bidi="ar"/>
              </w:rPr>
            </w:pPr>
            <w:r>
              <w:rPr>
                <w:rFonts w:hint="eastAsia" w:ascii="Times New Roman" w:hAnsi="Times New Roman" w:eastAsia="宋体" w:cs="Times New Roman"/>
                <w:color w:val="000000"/>
                <w:sz w:val="22"/>
              </w:rPr>
              <w:t>教材《化学分析技术》</w:t>
            </w:r>
          </w:p>
        </w:tc>
        <w:tc>
          <w:tcPr>
            <w:tcW w:w="7304" w:type="dxa"/>
            <w:vAlign w:val="center"/>
          </w:tcPr>
          <w:p>
            <w:pPr>
              <w:widowControl/>
              <w:jc w:val="left"/>
              <w:textAlignment w:val="center"/>
              <w:rPr>
                <w:rFonts w:hint="eastAsia" w:cs="Times New Roman"/>
                <w:color w:val="000000"/>
                <w:szCs w:val="21"/>
                <w:lang w:eastAsia="zh-CN"/>
              </w:rPr>
            </w:pPr>
            <w:r>
              <w:rPr>
                <w:rFonts w:hint="eastAsia"/>
              </w:rPr>
              <w:t>▲</w:t>
            </w:r>
            <w:r>
              <w:rPr>
                <w:rFonts w:hint="eastAsia" w:ascii="Times New Roman" w:hAnsi="Times New Roman" w:eastAsia="宋体" w:cs="Times New Roman"/>
                <w:color w:val="000000"/>
                <w:szCs w:val="21"/>
              </w:rPr>
              <w:t>此书要求由具有出版资质的国家正规省级及以上出版社出版</w:t>
            </w:r>
            <w:r>
              <w:rPr>
                <w:rFonts w:hint="eastAsia" w:cs="Times New Roman"/>
                <w:color w:val="000000"/>
                <w:szCs w:val="21"/>
                <w:lang w:eastAsia="zh-CN"/>
              </w:rPr>
              <w:t>。</w:t>
            </w:r>
          </w:p>
          <w:p>
            <w:pPr>
              <w:widowControl/>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★具有</w:t>
            </w:r>
            <w:r>
              <w:rPr>
                <w:rFonts w:ascii="Calibri" w:hAnsi="Calibri" w:eastAsia="宋体" w:cs="Calibri"/>
                <w:color w:val="000000"/>
                <w:szCs w:val="21"/>
              </w:rPr>
              <w:t>ISB</w:t>
            </w:r>
            <w:bookmarkStart w:id="8" w:name="_GoBack"/>
            <w:bookmarkEnd w:id="8"/>
            <w:r>
              <w:rPr>
                <w:rFonts w:ascii="Calibri" w:hAnsi="Calibri" w:eastAsia="宋体" w:cs="Calibri"/>
                <w:color w:val="000000"/>
                <w:szCs w:val="21"/>
              </w:rPr>
              <w:t>N</w:t>
            </w:r>
            <w:r>
              <w:rPr>
                <w:rFonts w:hint="eastAsia" w:ascii="Times New Roman" w:hAnsi="Times New Roman" w:eastAsia="宋体" w:cs="Times New Roman"/>
                <w:color w:val="000000"/>
                <w:szCs w:val="21"/>
              </w:rPr>
              <w:t>统一书号</w:t>
            </w:r>
            <w:r>
              <w:rPr>
                <w:rFonts w:hint="eastAsia" w:cs="Times New Roman"/>
                <w:color w:val="000000"/>
                <w:szCs w:val="21"/>
                <w:lang w:val="en-US" w:eastAsia="zh-CN"/>
              </w:rPr>
              <w:t>及图书在版编目（CIP）数据</w:t>
            </w:r>
            <w:r>
              <w:rPr>
                <w:rFonts w:hint="eastAsia" w:ascii="Times New Roman" w:hAnsi="Times New Roman" w:eastAsia="宋体" w:cs="Times New Roman"/>
                <w:color w:val="000000"/>
                <w:szCs w:val="21"/>
              </w:rPr>
              <w:t>。</w:t>
            </w:r>
          </w:p>
          <w:p>
            <w:pPr>
              <w:widowControl/>
              <w:jc w:val="left"/>
              <w:textAlignment w:val="center"/>
              <w:rPr>
                <w:rFonts w:hint="eastAsia" w:eastAsia="宋体" w:cs="Times New Roman"/>
                <w:color w:val="000000"/>
                <w:sz w:val="22"/>
                <w:lang w:eastAsia="zh-CN"/>
              </w:rPr>
            </w:pPr>
            <w:r>
              <w:rPr>
                <w:rFonts w:hint="eastAsia"/>
              </w:rPr>
              <w:t>▲</w:t>
            </w:r>
            <w:r>
              <w:rPr>
                <w:rFonts w:hint="eastAsia" w:ascii="Times New Roman" w:hAnsi="Times New Roman" w:eastAsia="宋体" w:cs="Times New Roman"/>
                <w:color w:val="000000"/>
                <w:szCs w:val="21"/>
              </w:rPr>
              <w:t>开本</w:t>
            </w:r>
            <w:r>
              <w:rPr>
                <w:rFonts w:ascii="Calibri" w:hAnsi="Calibri" w:eastAsia="宋体" w:cs="Calibri"/>
                <w:color w:val="000000"/>
                <w:szCs w:val="21"/>
              </w:rPr>
              <w:t>787</w:t>
            </w:r>
            <w:r>
              <w:rPr>
                <w:rFonts w:hint="eastAsia" w:ascii="Calibri" w:hAnsi="Calibri" w:eastAsia="宋体" w:cs="Calibri"/>
                <w:color w:val="000000"/>
                <w:szCs w:val="21"/>
              </w:rPr>
              <w:t xml:space="preserve"> </w:t>
            </w:r>
            <w:r>
              <w:rPr>
                <w:rFonts w:ascii="Calibri" w:hAnsi="Calibri" w:eastAsia="宋体" w:cs="Calibri"/>
                <w:color w:val="000000"/>
                <w:szCs w:val="21"/>
              </w:rPr>
              <w:t>mm*1</w:t>
            </w:r>
            <w:r>
              <w:rPr>
                <w:rFonts w:hint="eastAsia" w:ascii="Calibri" w:hAnsi="Calibri" w:eastAsia="宋体" w:cs="Calibri"/>
                <w:color w:val="000000"/>
                <w:szCs w:val="21"/>
              </w:rPr>
              <w:t xml:space="preserve"> </w:t>
            </w:r>
            <w:r>
              <w:rPr>
                <w:rFonts w:ascii="Calibri" w:hAnsi="Calibri" w:eastAsia="宋体" w:cs="Calibri"/>
                <w:color w:val="000000"/>
                <w:szCs w:val="21"/>
              </w:rPr>
              <w:t>092</w:t>
            </w:r>
            <w:r>
              <w:rPr>
                <w:rFonts w:hint="eastAsia" w:ascii="Calibri" w:hAnsi="Calibri" w:eastAsia="宋体" w:cs="Calibri"/>
                <w:color w:val="000000"/>
                <w:szCs w:val="21"/>
              </w:rPr>
              <w:t xml:space="preserve"> </w:t>
            </w:r>
            <w:r>
              <w:rPr>
                <w:rFonts w:ascii="Calibri" w:hAnsi="Calibri" w:eastAsia="宋体" w:cs="Calibri"/>
                <w:color w:val="000000"/>
                <w:szCs w:val="21"/>
              </w:rPr>
              <w:t>mm</w:t>
            </w:r>
            <w:r>
              <w:rPr>
                <w:rFonts w:hint="eastAsia" w:ascii="Calibri" w:hAnsi="Calibri" w:eastAsia="宋体" w:cs="Calibri"/>
                <w:color w:val="000000"/>
                <w:szCs w:val="21"/>
              </w:rPr>
              <w:t>，</w:t>
            </w:r>
            <w:r>
              <w:rPr>
                <w:rFonts w:hint="eastAsia" w:ascii="Times New Roman" w:hAnsi="Times New Roman" w:eastAsia="宋体" w:cs="Times New Roman"/>
                <w:color w:val="000000"/>
                <w:szCs w:val="21"/>
              </w:rPr>
              <w:t>字数300千字。</w:t>
            </w:r>
            <w:r>
              <w:rPr>
                <w:rFonts w:hint="eastAsia" w:ascii="Times New Roman" w:hAnsi="Times New Roman" w:eastAsia="宋体" w:cs="Times New Roman"/>
                <w:color w:val="000000"/>
                <w:sz w:val="22"/>
              </w:rPr>
              <w:t>长26 cm*宽18.5 cm，200页左右（正反面70克印刷纸印刷），封面为250克铜版纸并压膜</w:t>
            </w:r>
            <w:r>
              <w:rPr>
                <w:rFonts w:hint="eastAsia" w:cs="Times New Roman"/>
                <w:color w:val="000000"/>
                <w:sz w:val="22"/>
                <w:lang w:eastAsia="zh-CN"/>
              </w:rPr>
              <w:t>。</w:t>
            </w:r>
          </w:p>
          <w:p>
            <w:pPr>
              <w:widowControl/>
              <w:jc w:val="left"/>
              <w:textAlignment w:val="center"/>
              <w:rPr>
                <w:rFonts w:hint="eastAsia" w:ascii="宋体" w:hAnsi="宋体" w:eastAsia="宋体" w:cs="宋体"/>
                <w:kern w:val="0"/>
                <w:szCs w:val="21"/>
                <w:lang w:eastAsia="zh-CN" w:bidi="ar"/>
              </w:rPr>
            </w:pPr>
            <w:r>
              <w:rPr>
                <w:rFonts w:hint="eastAsia"/>
              </w:rPr>
              <w:t>▲</w:t>
            </w:r>
            <w:r>
              <w:rPr>
                <w:rFonts w:hint="eastAsia" w:ascii="Times New Roman" w:hAnsi="Times New Roman" w:eastAsia="宋体" w:cs="Times New Roman"/>
                <w:color w:val="000000"/>
                <w:szCs w:val="21"/>
              </w:rPr>
              <w:t>书稿内容由学校提供，要求出版社安排具有专业背景的责任编辑进行审稿，美术编辑进行封面和封底设计。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0"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w:t>
            </w:r>
          </w:p>
        </w:tc>
        <w:tc>
          <w:tcPr>
            <w:tcW w:w="1078" w:type="dxa"/>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color w:val="000000"/>
                <w:sz w:val="22"/>
              </w:rPr>
              <w:t>配套操作手册</w:t>
            </w:r>
          </w:p>
        </w:tc>
        <w:tc>
          <w:tcPr>
            <w:tcW w:w="7304" w:type="dxa"/>
            <w:vAlign w:val="center"/>
          </w:tcPr>
          <w:p>
            <w:pPr>
              <w:widowControl/>
              <w:jc w:val="left"/>
              <w:textAlignment w:val="center"/>
              <w:rPr>
                <w:rFonts w:hint="eastAsia" w:ascii="Times New Roman" w:hAnsi="Times New Roman" w:eastAsia="宋体" w:cs="Times New Roman"/>
                <w:color w:val="000000"/>
                <w:szCs w:val="21"/>
              </w:rPr>
            </w:pPr>
            <w:r>
              <w:rPr>
                <w:rFonts w:hint="eastAsia"/>
              </w:rPr>
              <w:t>▲</w:t>
            </w:r>
            <w:r>
              <w:rPr>
                <w:rFonts w:hint="eastAsia" w:ascii="Times New Roman" w:hAnsi="Times New Roman" w:eastAsia="宋体" w:cs="Times New Roman"/>
                <w:color w:val="000000"/>
                <w:szCs w:val="21"/>
              </w:rPr>
              <w:t>此书要求由具有出版资质的国家正规省级及以上出版社出版</w:t>
            </w:r>
          </w:p>
          <w:p>
            <w:pPr>
              <w:widowControl/>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★具有</w:t>
            </w:r>
            <w:r>
              <w:rPr>
                <w:rFonts w:ascii="Calibri" w:hAnsi="Calibri" w:eastAsia="宋体" w:cs="Calibri"/>
                <w:color w:val="000000"/>
                <w:szCs w:val="21"/>
              </w:rPr>
              <w:t>ISBN</w:t>
            </w:r>
            <w:r>
              <w:rPr>
                <w:rFonts w:hint="eastAsia" w:ascii="Times New Roman" w:hAnsi="Times New Roman" w:eastAsia="宋体" w:cs="Times New Roman"/>
                <w:color w:val="000000"/>
                <w:szCs w:val="21"/>
              </w:rPr>
              <w:t>统一书号</w:t>
            </w:r>
            <w:r>
              <w:rPr>
                <w:rFonts w:hint="eastAsia" w:cs="Times New Roman"/>
                <w:color w:val="000000"/>
                <w:szCs w:val="21"/>
                <w:lang w:val="en-US" w:eastAsia="zh-CN"/>
              </w:rPr>
              <w:t>及图书在版编目（CIP）数据</w:t>
            </w:r>
            <w:r>
              <w:rPr>
                <w:rFonts w:hint="eastAsia" w:ascii="Times New Roman" w:hAnsi="Times New Roman" w:eastAsia="宋体" w:cs="Times New Roman"/>
                <w:color w:val="000000"/>
                <w:szCs w:val="21"/>
              </w:rPr>
              <w:t>。</w:t>
            </w:r>
          </w:p>
          <w:p>
            <w:pPr>
              <w:widowControl/>
              <w:jc w:val="left"/>
              <w:textAlignment w:val="center"/>
              <w:rPr>
                <w:rFonts w:hint="eastAsia" w:cs="Times New Roman"/>
                <w:color w:val="000000"/>
                <w:sz w:val="22"/>
                <w:lang w:eastAsia="zh-CN"/>
              </w:rPr>
            </w:pPr>
            <w:r>
              <w:rPr>
                <w:rFonts w:hint="eastAsia"/>
              </w:rPr>
              <w:t>▲</w:t>
            </w:r>
            <w:r>
              <w:rPr>
                <w:rFonts w:hint="eastAsia" w:ascii="Times New Roman" w:hAnsi="Times New Roman" w:eastAsia="宋体" w:cs="Times New Roman"/>
                <w:color w:val="000000"/>
                <w:szCs w:val="21"/>
              </w:rPr>
              <w:t>开本</w:t>
            </w:r>
            <w:r>
              <w:rPr>
                <w:rFonts w:ascii="Calibri" w:hAnsi="Calibri" w:eastAsia="宋体" w:cs="Calibri"/>
                <w:color w:val="000000"/>
                <w:szCs w:val="21"/>
              </w:rPr>
              <w:t>787</w:t>
            </w:r>
            <w:r>
              <w:rPr>
                <w:rFonts w:hint="eastAsia" w:ascii="Calibri" w:hAnsi="Calibri" w:eastAsia="宋体" w:cs="Calibri"/>
                <w:color w:val="000000"/>
                <w:szCs w:val="21"/>
              </w:rPr>
              <w:t xml:space="preserve"> </w:t>
            </w:r>
            <w:r>
              <w:rPr>
                <w:rFonts w:ascii="Calibri" w:hAnsi="Calibri" w:eastAsia="宋体" w:cs="Calibri"/>
                <w:color w:val="000000"/>
                <w:szCs w:val="21"/>
              </w:rPr>
              <w:t>mm*1</w:t>
            </w:r>
            <w:r>
              <w:rPr>
                <w:rFonts w:hint="eastAsia" w:ascii="Calibri" w:hAnsi="Calibri" w:eastAsia="宋体" w:cs="Calibri"/>
                <w:color w:val="000000"/>
                <w:szCs w:val="21"/>
              </w:rPr>
              <w:t xml:space="preserve"> </w:t>
            </w:r>
            <w:r>
              <w:rPr>
                <w:rFonts w:ascii="Calibri" w:hAnsi="Calibri" w:eastAsia="宋体" w:cs="Calibri"/>
                <w:color w:val="000000"/>
                <w:szCs w:val="21"/>
              </w:rPr>
              <w:t>092</w:t>
            </w:r>
            <w:r>
              <w:rPr>
                <w:rFonts w:hint="eastAsia" w:ascii="Calibri" w:hAnsi="Calibri" w:eastAsia="宋体" w:cs="Calibri"/>
                <w:color w:val="000000"/>
                <w:szCs w:val="21"/>
              </w:rPr>
              <w:t xml:space="preserve"> </w:t>
            </w:r>
            <w:r>
              <w:rPr>
                <w:rFonts w:ascii="Calibri" w:hAnsi="Calibri" w:eastAsia="宋体" w:cs="Calibri"/>
                <w:color w:val="000000"/>
                <w:szCs w:val="21"/>
              </w:rPr>
              <w:t>mm</w:t>
            </w:r>
            <w:r>
              <w:rPr>
                <w:rFonts w:hint="eastAsia" w:ascii="Calibri" w:hAnsi="Calibri" w:eastAsia="宋体" w:cs="Calibri"/>
                <w:color w:val="000000"/>
                <w:szCs w:val="21"/>
              </w:rPr>
              <w:t>，</w:t>
            </w:r>
            <w:r>
              <w:rPr>
                <w:rFonts w:hint="eastAsia" w:ascii="Times New Roman" w:hAnsi="Times New Roman" w:eastAsia="宋体" w:cs="Times New Roman"/>
                <w:color w:val="000000"/>
                <w:szCs w:val="21"/>
              </w:rPr>
              <w:t>字数300千字。</w:t>
            </w:r>
            <w:r>
              <w:rPr>
                <w:rFonts w:hint="eastAsia" w:ascii="Times New Roman" w:hAnsi="Times New Roman" w:eastAsia="宋体" w:cs="Times New Roman"/>
                <w:color w:val="000000"/>
                <w:sz w:val="22"/>
              </w:rPr>
              <w:t>长26 cm*宽18.5 cm，200页左右（正反面70克印刷纸印刷），封面为250克铜版纸并压膜</w:t>
            </w:r>
            <w:r>
              <w:rPr>
                <w:rFonts w:hint="eastAsia" w:cs="Times New Roman"/>
                <w:color w:val="000000"/>
                <w:sz w:val="22"/>
                <w:lang w:eastAsia="zh-CN"/>
              </w:rPr>
              <w:t>。</w:t>
            </w:r>
          </w:p>
          <w:p>
            <w:pPr>
              <w:widowControl/>
              <w:jc w:val="left"/>
              <w:textAlignment w:val="center"/>
              <w:rPr>
                <w:rFonts w:ascii="宋体" w:hAnsi="宋体" w:eastAsia="宋体" w:cs="宋体"/>
                <w:kern w:val="0"/>
                <w:szCs w:val="21"/>
                <w:lang w:bidi="ar"/>
              </w:rPr>
            </w:pPr>
            <w:r>
              <w:rPr>
                <w:rFonts w:hint="eastAsia"/>
              </w:rPr>
              <w:t>▲</w:t>
            </w:r>
            <w:r>
              <w:rPr>
                <w:rFonts w:hint="eastAsia" w:ascii="Times New Roman" w:hAnsi="Times New Roman" w:eastAsia="宋体" w:cs="Times New Roman"/>
                <w:color w:val="000000"/>
                <w:szCs w:val="21"/>
              </w:rPr>
              <w:t>书稿内容由学校提供，要求出版社安排具有专业背景的责任编辑进行审稿，美术编辑进行封面和封底设计。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0" w:type="dxa"/>
            <w:vAlign w:val="center"/>
          </w:tcPr>
          <w:p>
            <w:pPr>
              <w:widowControl/>
              <w:jc w:val="center"/>
              <w:textAlignment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3</w:t>
            </w:r>
          </w:p>
        </w:tc>
        <w:tc>
          <w:tcPr>
            <w:tcW w:w="1078" w:type="dxa"/>
            <w:vAlign w:val="center"/>
          </w:tcPr>
          <w:p>
            <w:pPr>
              <w:widowControl/>
              <w:jc w:val="center"/>
              <w:textAlignment w:val="center"/>
              <w:rPr>
                <w:rFonts w:hint="default" w:ascii="宋体" w:hAnsi="宋体" w:cs="宋体"/>
                <w:color w:val="000000"/>
                <w:sz w:val="22"/>
                <w:lang w:val="en-US" w:eastAsia="zh-CN"/>
              </w:rPr>
            </w:pPr>
            <w:r>
              <w:rPr>
                <w:rFonts w:hint="eastAsia" w:ascii="宋体" w:hAnsi="宋体" w:cs="宋体"/>
                <w:color w:val="000000"/>
                <w:sz w:val="22"/>
                <w:lang w:val="en-US" w:eastAsia="zh-CN"/>
              </w:rPr>
              <w:t>出版要求</w:t>
            </w:r>
          </w:p>
        </w:tc>
        <w:tc>
          <w:tcPr>
            <w:tcW w:w="7304" w:type="dxa"/>
            <w:vAlign w:val="center"/>
          </w:tcPr>
          <w:p>
            <w:pPr>
              <w:widowControl/>
              <w:jc w:val="left"/>
              <w:textAlignment w:val="center"/>
              <w:rPr>
                <w:rFonts w:hint="eastAsia"/>
                <w:lang w:val="en-US" w:eastAsia="zh-CN"/>
              </w:rPr>
            </w:pPr>
            <w:r>
              <w:rPr>
                <w:rFonts w:hint="eastAsia"/>
              </w:rPr>
              <w:t>▲</w:t>
            </w:r>
            <w:r>
              <w:rPr>
                <w:rFonts w:hint="eastAsia"/>
                <w:lang w:val="en-US" w:eastAsia="zh-CN"/>
              </w:rPr>
              <w:t>根据学校提供的书稿内容，在2024年12月20日以前出版社须出具书面的接收确认函（或其他能确定出版进度的证明、合同等），根据相关书号排期等要求，确保2025年教材及配套手册的出版。</w:t>
            </w:r>
          </w:p>
          <w:p>
            <w:pPr>
              <w:widowControl/>
              <w:jc w:val="left"/>
              <w:textAlignment w:val="center"/>
              <w:rPr>
                <w:rFonts w:hint="default"/>
                <w:lang w:val="en-US" w:eastAsia="zh-CN"/>
              </w:rPr>
            </w:pPr>
            <w:r>
              <w:rPr>
                <w:rFonts w:hint="eastAsia"/>
              </w:rPr>
              <w:t>▲</w:t>
            </w:r>
            <w:r>
              <w:rPr>
                <w:rFonts w:hint="eastAsia"/>
                <w:lang w:val="en-US" w:eastAsia="zh-CN"/>
              </w:rPr>
              <w:t>出版后，要求提供符合采购要求的</w:t>
            </w:r>
            <w:r>
              <w:rPr>
                <w:rFonts w:hint="eastAsia" w:ascii="Times New Roman" w:hAnsi="Times New Roman" w:eastAsia="宋体" w:cs="Times New Roman"/>
                <w:color w:val="000000"/>
                <w:sz w:val="22"/>
              </w:rPr>
              <w:t>教材《化学分析技术》</w:t>
            </w:r>
            <w:r>
              <w:rPr>
                <w:rFonts w:hint="eastAsia" w:cs="Times New Roman"/>
                <w:color w:val="000000"/>
                <w:sz w:val="22"/>
                <w:lang w:val="en-US" w:eastAsia="zh-CN"/>
              </w:rPr>
              <w:t>及</w:t>
            </w:r>
            <w:r>
              <w:rPr>
                <w:rFonts w:hint="eastAsia" w:ascii="宋体" w:hAnsi="宋体" w:eastAsia="宋体" w:cs="宋体"/>
                <w:color w:val="000000"/>
                <w:sz w:val="22"/>
              </w:rPr>
              <w:t>配套操作手册</w:t>
            </w:r>
            <w:r>
              <w:rPr>
                <w:rFonts w:hint="eastAsia" w:ascii="宋体" w:hAnsi="宋体" w:cs="宋体"/>
                <w:color w:val="000000"/>
                <w:sz w:val="22"/>
                <w:lang w:val="en-US" w:eastAsia="zh-CN"/>
              </w:rPr>
              <w:t>各200本。</w:t>
            </w:r>
          </w:p>
        </w:tc>
      </w:tr>
    </w:tbl>
    <w:p>
      <w:pPr>
        <w:rPr>
          <w:rFonts w:ascii="宋体" w:hAnsi="宋体" w:cs="宋体"/>
        </w:rPr>
      </w:pPr>
    </w:p>
    <w:p>
      <w:pPr>
        <w:pStyle w:val="5"/>
        <w:numPr>
          <w:numId w:val="2"/>
        </w:numPr>
        <w:spacing w:before="156" w:beforeLines="50" w:after="156" w:afterLines="50" w:line="320" w:lineRule="exact"/>
        <w:jc w:val="both"/>
        <w:rPr>
          <w:rFonts w:cs="宋体"/>
          <w:sz w:val="24"/>
          <w:szCs w:val="24"/>
        </w:rPr>
      </w:pPr>
      <w:r>
        <w:rPr>
          <w:rFonts w:hint="eastAsia" w:cs="宋体"/>
          <w:sz w:val="24"/>
          <w:szCs w:val="24"/>
        </w:rPr>
        <w:t>商务需求</w:t>
      </w:r>
    </w:p>
    <w:tbl>
      <w:tblPr>
        <w:tblStyle w:val="22"/>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990"/>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990" w:type="dxa"/>
            <w:vAlign w:val="center"/>
          </w:tcPr>
          <w:p>
            <w:pPr>
              <w:spacing w:line="320" w:lineRule="exact"/>
              <w:jc w:val="center"/>
              <w:rPr>
                <w:rFonts w:ascii="宋体" w:hAnsi="宋体" w:cs="宋体"/>
                <w:b/>
                <w:szCs w:val="21"/>
              </w:rPr>
            </w:pPr>
            <w:r>
              <w:rPr>
                <w:rFonts w:hint="eastAsia" w:ascii="宋体" w:hAnsi="宋体" w:cs="宋体"/>
                <w:b/>
                <w:szCs w:val="21"/>
              </w:rPr>
              <w:t>目录</w:t>
            </w:r>
          </w:p>
        </w:tc>
        <w:tc>
          <w:tcPr>
            <w:tcW w:w="5600" w:type="dxa"/>
            <w:vAlign w:val="center"/>
          </w:tcPr>
          <w:p>
            <w:pPr>
              <w:spacing w:line="320" w:lineRule="exact"/>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2" w:type="dxa"/>
            <w:gridSpan w:val="3"/>
            <w:vAlign w:val="center"/>
          </w:tcPr>
          <w:p>
            <w:pPr>
              <w:spacing w:line="320" w:lineRule="exact"/>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990" w:type="dxa"/>
            <w:vAlign w:val="center"/>
          </w:tcPr>
          <w:p>
            <w:pPr>
              <w:spacing w:line="320" w:lineRule="exact"/>
              <w:jc w:val="center"/>
              <w:rPr>
                <w:rFonts w:ascii="宋体" w:hAnsi="宋体" w:cs="宋体"/>
                <w:szCs w:val="21"/>
              </w:rPr>
            </w:pPr>
            <w:r>
              <w:rPr>
                <w:rFonts w:hint="eastAsia" w:ascii="宋体" w:hAnsi="宋体" w:cs="宋体"/>
                <w:szCs w:val="21"/>
              </w:rPr>
              <w:t>关于交货</w:t>
            </w:r>
          </w:p>
        </w:tc>
        <w:tc>
          <w:tcPr>
            <w:tcW w:w="5600" w:type="dxa"/>
            <w:vAlign w:val="center"/>
          </w:tcPr>
          <w:p>
            <w:pPr>
              <w:spacing w:line="320" w:lineRule="exact"/>
              <w:rPr>
                <w:rFonts w:ascii="宋体" w:hAnsi="宋体" w:cs="宋体"/>
                <w:b/>
                <w:szCs w:val="21"/>
              </w:rPr>
            </w:pPr>
            <w:r>
              <w:rPr>
                <w:rFonts w:hint="eastAsia" w:ascii="宋体" w:hAnsi="宋体" w:cs="宋体"/>
                <w:bCs/>
                <w:szCs w:val="21"/>
              </w:rPr>
              <w:t>1.签订合同后</w:t>
            </w:r>
            <w:r>
              <w:rPr>
                <w:rFonts w:hint="eastAsia" w:ascii="宋体" w:hAnsi="宋体" w:cs="宋体"/>
                <w:bCs/>
                <w:szCs w:val="21"/>
                <w:lang w:val="en-US" w:eastAsia="zh-CN"/>
              </w:rPr>
              <w:t>12</w:t>
            </w:r>
            <w:r>
              <w:rPr>
                <w:rFonts w:hint="eastAsia" w:ascii="宋体" w:hAnsi="宋体" w:cs="宋体"/>
                <w:bCs/>
                <w:szCs w:val="21"/>
              </w:rPr>
              <w:t>个</w:t>
            </w:r>
            <w:r>
              <w:rPr>
                <w:rFonts w:hint="eastAsia" w:ascii="宋体" w:hAnsi="宋体" w:cs="宋体"/>
                <w:bCs/>
                <w:szCs w:val="21"/>
                <w:lang w:val="en-US" w:eastAsia="zh-CN"/>
              </w:rPr>
              <w:t>月内</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Merge w:val="restart"/>
            <w:vAlign w:val="center"/>
          </w:tcPr>
          <w:p>
            <w:pPr>
              <w:spacing w:line="320" w:lineRule="exact"/>
              <w:jc w:val="center"/>
              <w:rPr>
                <w:rFonts w:ascii="宋体" w:hAnsi="宋体" w:cs="宋体"/>
                <w:szCs w:val="21"/>
              </w:rPr>
            </w:pPr>
            <w:r>
              <w:rPr>
                <w:rFonts w:hint="eastAsia" w:ascii="宋体" w:hAnsi="宋体" w:cs="宋体"/>
                <w:szCs w:val="21"/>
              </w:rPr>
              <w:t>2</w:t>
            </w:r>
          </w:p>
        </w:tc>
        <w:tc>
          <w:tcPr>
            <w:tcW w:w="1990" w:type="dxa"/>
            <w:vMerge w:val="restart"/>
            <w:vAlign w:val="center"/>
          </w:tcPr>
          <w:p>
            <w:pPr>
              <w:spacing w:line="320" w:lineRule="exact"/>
              <w:jc w:val="center"/>
              <w:rPr>
                <w:rFonts w:ascii="宋体" w:hAnsi="宋体" w:cs="宋体"/>
                <w:szCs w:val="21"/>
              </w:rPr>
            </w:pPr>
            <w:r>
              <w:rPr>
                <w:rFonts w:hint="eastAsia" w:ascii="宋体" w:hAnsi="宋体" w:cs="宋体"/>
                <w:szCs w:val="21"/>
              </w:rPr>
              <w:t>关于验收</w:t>
            </w:r>
          </w:p>
        </w:tc>
        <w:tc>
          <w:tcPr>
            <w:tcW w:w="5600" w:type="dxa"/>
            <w:vAlign w:val="center"/>
          </w:tcPr>
          <w:p>
            <w:pPr>
              <w:spacing w:line="320" w:lineRule="exact"/>
              <w:rPr>
                <w:rFonts w:ascii="宋体" w:hAnsi="宋体" w:cs="宋体"/>
                <w:bCs/>
                <w:szCs w:val="21"/>
              </w:rPr>
            </w:pPr>
            <w:r>
              <w:rPr>
                <w:rFonts w:hint="eastAsia" w:ascii="宋体" w:hAnsi="宋体" w:cs="宋体"/>
                <w:bCs/>
                <w:szCs w:val="21"/>
              </w:rPr>
              <w:t xml:space="preserve">2.1经过双方认可后，签署验收报告。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Merge w:val="continue"/>
            <w:vAlign w:val="center"/>
          </w:tcPr>
          <w:p>
            <w:pPr>
              <w:spacing w:line="320" w:lineRule="exact"/>
              <w:jc w:val="center"/>
              <w:rPr>
                <w:rFonts w:ascii="宋体" w:hAnsi="宋体" w:cs="宋体"/>
                <w:szCs w:val="21"/>
              </w:rPr>
            </w:pPr>
          </w:p>
        </w:tc>
        <w:tc>
          <w:tcPr>
            <w:tcW w:w="1990" w:type="dxa"/>
            <w:vMerge w:val="continue"/>
            <w:vAlign w:val="center"/>
          </w:tcPr>
          <w:p>
            <w:pPr>
              <w:spacing w:line="320" w:lineRule="exact"/>
              <w:rPr>
                <w:rFonts w:ascii="宋体" w:hAnsi="宋体" w:cs="宋体"/>
                <w:b/>
                <w:szCs w:val="21"/>
              </w:rPr>
            </w:pPr>
          </w:p>
        </w:tc>
        <w:tc>
          <w:tcPr>
            <w:tcW w:w="5600" w:type="dxa"/>
            <w:vAlign w:val="center"/>
          </w:tcPr>
          <w:p>
            <w:pPr>
              <w:spacing w:line="320" w:lineRule="exact"/>
              <w:rPr>
                <w:rFonts w:ascii="宋体" w:hAnsi="宋体" w:cs="宋体"/>
                <w:bCs/>
                <w:szCs w:val="21"/>
              </w:rPr>
            </w:pPr>
            <w:r>
              <w:rPr>
                <w:rFonts w:hint="eastAsia" w:ascii="宋体" w:hAnsi="宋体" w:cs="宋体"/>
                <w:bCs/>
                <w:szCs w:val="21"/>
              </w:rPr>
              <w:t>2.2当满足以下条件时，采购人才向中标人签发验收报告：</w:t>
            </w:r>
          </w:p>
          <w:p>
            <w:pPr>
              <w:tabs>
                <w:tab w:val="left" w:pos="1260"/>
              </w:tabs>
              <w:spacing w:line="320" w:lineRule="exact"/>
              <w:rPr>
                <w:rFonts w:ascii="宋体" w:hAnsi="宋体" w:cs="宋体"/>
                <w:bCs/>
                <w:szCs w:val="21"/>
              </w:rPr>
            </w:pPr>
            <w:r>
              <w:rPr>
                <w:rFonts w:hint="eastAsia" w:ascii="宋体" w:hAnsi="宋体" w:cs="宋体"/>
                <w:bCs/>
                <w:szCs w:val="21"/>
              </w:rPr>
              <w:t>a、中标人已按照合同规定提供了全部验收相关资料。</w:t>
            </w:r>
          </w:p>
          <w:p>
            <w:pPr>
              <w:tabs>
                <w:tab w:val="left" w:pos="1260"/>
              </w:tabs>
              <w:spacing w:line="320" w:lineRule="exact"/>
              <w:rPr>
                <w:rFonts w:ascii="宋体" w:hAnsi="宋体" w:cs="宋体"/>
                <w:bCs/>
                <w:szCs w:val="21"/>
              </w:rPr>
            </w:pPr>
            <w:r>
              <w:rPr>
                <w:rFonts w:hint="eastAsia" w:ascii="宋体" w:hAnsi="宋体" w:cs="宋体"/>
                <w:bCs/>
                <w:szCs w:val="21"/>
              </w:rPr>
              <w:t>b、符合招标文件采购内容及技术、质量等规格的要求。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990"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质保期</w:t>
            </w:r>
          </w:p>
        </w:tc>
        <w:tc>
          <w:tcPr>
            <w:tcW w:w="5600" w:type="dxa"/>
            <w:vAlign w:val="center"/>
          </w:tcPr>
          <w:p>
            <w:pPr>
              <w:pStyle w:val="32"/>
              <w:ind w:firstLine="0" w:firstLineChars="0"/>
              <w:jc w:val="left"/>
              <w:rPr>
                <w:rFonts w:hint="eastAsia" w:ascii="宋体" w:hAnsi="宋体" w:cs="宋体"/>
                <w:bCs/>
                <w:szCs w:val="21"/>
              </w:rPr>
            </w:pPr>
            <w:r>
              <w:rPr>
                <w:rFonts w:hint="eastAsia" w:ascii="宋体" w:hAnsi="宋体" w:eastAsia="宋体" w:cs="宋体"/>
                <w:bCs/>
                <w:szCs w:val="21"/>
              </w:rPr>
              <w:t>投标供应商必须承诺对项目的质保期至少为1年。保证所提供的产品均为符合国家标准的合格产品，且承诺提供符合或高于国家标准的质保时间。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990" w:type="dxa"/>
            <w:vAlign w:val="center"/>
          </w:tcPr>
          <w:p>
            <w:pPr>
              <w:spacing w:line="320" w:lineRule="exact"/>
              <w:jc w:val="center"/>
              <w:rPr>
                <w:rFonts w:hint="eastAsia" w:ascii="宋体" w:hAnsi="宋体" w:cs="宋体"/>
                <w:szCs w:val="21"/>
              </w:rPr>
            </w:pPr>
            <w:r>
              <w:rPr>
                <w:rFonts w:hint="eastAsia" w:ascii="宋体" w:hAnsi="宋体" w:eastAsia="宋体" w:cs="宋体"/>
                <w:bCs/>
                <w:szCs w:val="21"/>
              </w:rPr>
              <w:t>售后服务要求</w:t>
            </w:r>
          </w:p>
        </w:tc>
        <w:tc>
          <w:tcPr>
            <w:tcW w:w="5600" w:type="dxa"/>
            <w:vAlign w:val="center"/>
          </w:tcPr>
          <w:p>
            <w:pPr>
              <w:spacing w:line="320" w:lineRule="exact"/>
              <w:rPr>
                <w:rFonts w:hint="eastAsia" w:ascii="宋体" w:hAnsi="宋体" w:cs="宋体"/>
                <w:bCs/>
                <w:szCs w:val="21"/>
              </w:rPr>
            </w:pPr>
            <w:r>
              <w:t>验收合格后，</w:t>
            </w:r>
            <w:r>
              <w:rPr>
                <w:rFonts w:hint="eastAsia"/>
              </w:rPr>
              <w:t>采购方</w:t>
            </w:r>
            <w:r>
              <w:t>如果发现图书有漏页、缺页、破页，印刷字迹不清等不符合要求的情况（人为因素除外），</w:t>
            </w:r>
            <w:r>
              <w:rPr>
                <w:rFonts w:hint="eastAsia"/>
              </w:rPr>
              <w:t>供应商</w:t>
            </w:r>
            <w:r>
              <w:t>负责免费更换。如有其他问题，</w:t>
            </w:r>
            <w:r>
              <w:rPr>
                <w:rFonts w:hint="eastAsia"/>
              </w:rPr>
              <w:t>供应商在</w:t>
            </w:r>
            <w:r>
              <w:t>接到</w:t>
            </w:r>
            <w:r>
              <w:rPr>
                <w:rFonts w:hint="eastAsia"/>
              </w:rPr>
              <w:t>采购商</w:t>
            </w:r>
            <w:r>
              <w:t>通知后24小时内予以答复，28天内免费更换有缺陷的图书。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990" w:type="dxa"/>
            <w:vAlign w:val="center"/>
          </w:tcPr>
          <w:p>
            <w:pPr>
              <w:spacing w:line="320" w:lineRule="exact"/>
              <w:jc w:val="center"/>
              <w:rPr>
                <w:rFonts w:ascii="宋体" w:hAnsi="宋体" w:cs="宋体"/>
                <w:b/>
                <w:szCs w:val="21"/>
              </w:rPr>
            </w:pPr>
            <w:r>
              <w:rPr>
                <w:rFonts w:hint="eastAsia" w:ascii="宋体" w:hAnsi="宋体" w:cs="宋体"/>
                <w:szCs w:val="21"/>
              </w:rPr>
              <w:t>合同签订</w:t>
            </w:r>
          </w:p>
        </w:tc>
        <w:tc>
          <w:tcPr>
            <w:tcW w:w="5600" w:type="dxa"/>
            <w:vAlign w:val="center"/>
          </w:tcPr>
          <w:p>
            <w:pPr>
              <w:spacing w:line="320" w:lineRule="exact"/>
              <w:rPr>
                <w:rFonts w:ascii="宋体" w:hAnsi="宋体" w:cs="宋体"/>
                <w:b/>
                <w:szCs w:val="21"/>
              </w:rPr>
            </w:pPr>
            <w:r>
              <w:rPr>
                <w:rFonts w:hint="eastAsia" w:ascii="宋体" w:hAnsi="宋体" w:cs="宋体"/>
                <w:bCs/>
                <w:szCs w:val="21"/>
              </w:rPr>
              <w:t>中标公告通过后10个工作日内签订合同。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1990" w:type="dxa"/>
            <w:vAlign w:val="center"/>
          </w:tcPr>
          <w:p>
            <w:pPr>
              <w:spacing w:line="320" w:lineRule="exact"/>
              <w:jc w:val="center"/>
              <w:rPr>
                <w:rFonts w:ascii="宋体" w:hAnsi="宋体" w:cs="宋体"/>
                <w:b/>
                <w:szCs w:val="21"/>
              </w:rPr>
            </w:pPr>
            <w:r>
              <w:rPr>
                <w:rFonts w:hint="eastAsia" w:ascii="宋体" w:hAnsi="宋体" w:cs="宋体"/>
                <w:bCs/>
                <w:szCs w:val="21"/>
              </w:rPr>
              <w:t>关于付款</w:t>
            </w:r>
          </w:p>
        </w:tc>
        <w:tc>
          <w:tcPr>
            <w:tcW w:w="5600" w:type="dxa"/>
            <w:vAlign w:val="center"/>
          </w:tcPr>
          <w:p>
            <w:pPr>
              <w:spacing w:line="320" w:lineRule="exact"/>
              <w:rPr>
                <w:rFonts w:ascii="宋体" w:hAnsi="宋体" w:cs="宋体"/>
                <w:b/>
                <w:szCs w:val="21"/>
              </w:rPr>
            </w:pPr>
            <w:r>
              <w:rPr>
                <w:rFonts w:hint="eastAsia" w:ascii="宋体" w:hAnsi="宋体" w:cs="宋体"/>
                <w:szCs w:val="21"/>
                <w:highlight w:val="none"/>
              </w:rPr>
              <w:t>合同签订并开具发票后，</w:t>
            </w:r>
            <w:r>
              <w:rPr>
                <w:rFonts w:hint="eastAsia" w:ascii="宋体" w:hAnsi="宋体" w:cs="宋体"/>
                <w:szCs w:val="21"/>
                <w:highlight w:val="none"/>
                <w:lang w:val="en-US" w:eastAsia="zh-CN"/>
              </w:rPr>
              <w:t>根据项目的实际进展情况，收到出版社出具的书面接收确认函（或其他能确定出版进度的证明、用稿通知书、合同等）及提供教材及配套手册各200本的承诺函，一次性支付服务费</w:t>
            </w:r>
            <w:r>
              <w:rPr>
                <w:rFonts w:hint="eastAsia" w:ascii="宋体" w:hAnsi="宋体" w:cs="宋体"/>
                <w:szCs w:val="21"/>
                <w:highlight w:val="none"/>
              </w:rPr>
              <w:t>给中标方。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990" w:type="dxa"/>
            <w:vAlign w:val="center"/>
          </w:tcPr>
          <w:p>
            <w:pPr>
              <w:spacing w:line="320" w:lineRule="exact"/>
              <w:jc w:val="center"/>
              <w:rPr>
                <w:rFonts w:ascii="宋体" w:hAnsi="宋体" w:cs="宋体"/>
                <w:b/>
                <w:szCs w:val="21"/>
              </w:rPr>
            </w:pPr>
            <w:r>
              <w:rPr>
                <w:rFonts w:hint="eastAsia" w:ascii="宋体" w:hAnsi="宋体" w:cs="宋体"/>
                <w:szCs w:val="21"/>
              </w:rPr>
              <w:t>原件核验</w:t>
            </w:r>
          </w:p>
        </w:tc>
        <w:tc>
          <w:tcPr>
            <w:tcW w:w="5600" w:type="dxa"/>
            <w:vAlign w:val="center"/>
          </w:tcPr>
          <w:p>
            <w:pPr>
              <w:spacing w:line="320" w:lineRule="exact"/>
              <w:rPr>
                <w:rFonts w:ascii="宋体" w:hAnsi="宋体" w:cs="宋体"/>
                <w:b/>
                <w:szCs w:val="21"/>
              </w:rPr>
            </w:pPr>
            <w:r>
              <w:rPr>
                <w:rFonts w:hint="eastAsia" w:ascii="宋体" w:hAnsi="宋体" w:cs="宋体"/>
                <w:szCs w:val="21"/>
              </w:rPr>
              <w:t>在合同签订前采购人有权要求中标人提供其在投标文件中针对技术评分部分、商务评分等部分响应的所有证明材料和证件的原件进行核验，若中标人不能提供原件或提供的原件有虚假则作废标处理，并移交政府采购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2" w:type="dxa"/>
            <w:vAlign w:val="center"/>
          </w:tcPr>
          <w:p>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990" w:type="dxa"/>
            <w:vAlign w:val="center"/>
          </w:tcPr>
          <w:p>
            <w:pPr>
              <w:spacing w:line="320" w:lineRule="exact"/>
              <w:jc w:val="center"/>
              <w:rPr>
                <w:rFonts w:ascii="宋体" w:hAnsi="宋体" w:cs="宋体"/>
                <w:szCs w:val="21"/>
              </w:rPr>
            </w:pPr>
            <w:r>
              <w:rPr>
                <w:rFonts w:hint="eastAsia" w:ascii="宋体" w:hAnsi="宋体" w:cs="宋体"/>
                <w:szCs w:val="21"/>
              </w:rPr>
              <w:t>其他</w:t>
            </w:r>
          </w:p>
        </w:tc>
        <w:tc>
          <w:tcPr>
            <w:tcW w:w="5600" w:type="dxa"/>
            <w:vAlign w:val="center"/>
          </w:tcPr>
          <w:p>
            <w:pPr>
              <w:spacing w:line="320" w:lineRule="exact"/>
              <w:rPr>
                <w:rFonts w:ascii="宋体" w:hAnsi="宋体" w:cs="宋体"/>
                <w:bCs/>
                <w:szCs w:val="21"/>
              </w:rPr>
            </w:pPr>
            <w:r>
              <w:rPr>
                <w:rFonts w:hint="eastAsia" w:ascii="宋体" w:hAnsi="宋体" w:cs="宋体"/>
                <w:szCs w:val="21"/>
              </w:rPr>
              <w:t>6.1</w:t>
            </w:r>
            <w:r>
              <w:rPr>
                <w:rFonts w:hint="eastAsia" w:ascii="宋体" w:hAnsi="宋体" w:cs="宋体"/>
                <w:bCs/>
                <w:szCs w:val="21"/>
              </w:rPr>
              <w:t>投标人保证招标文件中规定的产品或其中的任何一部分时，免受第三方提出侵犯其专利权、商标权或其它知识产权的起诉；如发生此类纠纷，由投标人承担一切责任。</w:t>
            </w:r>
          </w:p>
          <w:p>
            <w:pPr>
              <w:spacing w:line="320" w:lineRule="exact"/>
              <w:rPr>
                <w:rFonts w:ascii="宋体" w:hAnsi="宋体" w:cs="宋体"/>
                <w:szCs w:val="21"/>
              </w:rPr>
            </w:pPr>
            <w:r>
              <w:rPr>
                <w:rFonts w:hint="eastAsia" w:ascii="宋体" w:hAnsi="宋体" w:cs="宋体"/>
                <w:bCs/>
                <w:szCs w:val="21"/>
              </w:rPr>
              <w:t>6.2</w:t>
            </w:r>
            <w:r>
              <w:rPr>
                <w:rFonts w:hint="eastAsia" w:ascii="宋体" w:hAnsi="宋体" w:cs="宋体"/>
                <w:szCs w:val="21"/>
              </w:rPr>
              <w:t>出版教材的知识产权和使用权归采购人所有。</w:t>
            </w:r>
          </w:p>
        </w:tc>
      </w:tr>
    </w:tbl>
    <w:p>
      <w:pPr>
        <w:pStyle w:val="15"/>
        <w:spacing w:line="320" w:lineRule="exact"/>
        <w:ind w:left="0" w:leftChars="0" w:firstLine="0" w:firstLineChars="0"/>
        <w:rPr>
          <w:rFonts w:ascii="宋体" w:hAnsi="宋体" w:cs="宋体"/>
          <w:b/>
          <w:szCs w:val="21"/>
        </w:rPr>
      </w:pPr>
    </w:p>
    <w:p>
      <w:pPr>
        <w:rPr>
          <w:rFonts w:hint="eastAsia" w:ascii="宋体" w:hAnsi="宋体" w:cs="宋体"/>
          <w:b/>
          <w:szCs w:val="21"/>
        </w:rPr>
      </w:pPr>
      <w:r>
        <w:rPr>
          <w:rFonts w:hint="eastAsia" w:ascii="宋体" w:hAnsi="宋体" w:cs="宋体"/>
          <w:b/>
          <w:szCs w:val="21"/>
        </w:rPr>
        <w:t xml:space="preserve">                            </w:t>
      </w:r>
    </w:p>
    <w:p>
      <w:pPr>
        <w:rPr>
          <w:rFonts w:hint="eastAsia" w:ascii="宋体" w:hAnsi="宋体" w:cs="宋体"/>
          <w:b/>
          <w:szCs w:val="21"/>
        </w:rPr>
      </w:pPr>
    </w:p>
    <w:p>
      <w:pPr>
        <w:rPr>
          <w:rFonts w:hint="eastAsia" w:ascii="宋体" w:hAnsi="宋体" w:cs="宋体"/>
          <w:b/>
          <w:szCs w:val="21"/>
        </w:rPr>
      </w:pPr>
    </w:p>
    <w:p>
      <w:pPr>
        <w:ind w:firstLine="2951" w:firstLineChars="1400"/>
        <w:rPr>
          <w:rFonts w:ascii="宋体" w:hAnsi="宋体" w:cs="宋体"/>
          <w:b/>
          <w:bCs/>
          <w:kern w:val="0"/>
          <w:sz w:val="28"/>
          <w:szCs w:val="28"/>
        </w:rPr>
      </w:pPr>
      <w:r>
        <w:rPr>
          <w:rFonts w:hint="eastAsia" w:ascii="宋体" w:hAnsi="宋体" w:cs="宋体"/>
          <w:b/>
          <w:szCs w:val="21"/>
        </w:rPr>
        <w:t xml:space="preserve">    </w:t>
      </w:r>
      <w:r>
        <w:rPr>
          <w:rFonts w:hint="eastAsia" w:ascii="宋体" w:hAnsi="宋体" w:cs="宋体"/>
          <w:b/>
          <w:bCs/>
          <w:kern w:val="0"/>
          <w:sz w:val="28"/>
          <w:szCs w:val="28"/>
        </w:rPr>
        <w:t>第三章  投标文件格式</w:t>
      </w:r>
    </w:p>
    <w:p>
      <w:pPr>
        <w:spacing w:line="320" w:lineRule="exact"/>
        <w:rPr>
          <w:rStyle w:val="27"/>
          <w:rFonts w:ascii="宋体" w:hAnsi="宋体" w:eastAsia="宋体" w:cs="宋体"/>
          <w:sz w:val="24"/>
        </w:rPr>
      </w:pPr>
      <w:r>
        <w:rPr>
          <w:rStyle w:val="27"/>
          <w:rFonts w:hint="eastAsia" w:ascii="宋体" w:hAnsi="宋体" w:eastAsia="宋体" w:cs="宋体"/>
          <w:b/>
          <w:bCs w:val="0"/>
          <w:sz w:val="24"/>
        </w:rPr>
        <w:t>投标文件组成：</w:t>
      </w:r>
    </w:p>
    <w:p>
      <w:pPr>
        <w:spacing w:line="320" w:lineRule="exact"/>
        <w:rPr>
          <w:rFonts w:ascii="宋体" w:hAnsi="宋体" w:cs="宋体"/>
          <w:sz w:val="24"/>
        </w:rPr>
      </w:pPr>
    </w:p>
    <w:p>
      <w:pPr>
        <w:spacing w:line="320" w:lineRule="exact"/>
        <w:rPr>
          <w:rFonts w:ascii="宋体" w:hAnsi="宋体" w:cs="宋体"/>
          <w:szCs w:val="21"/>
        </w:rPr>
      </w:pPr>
      <w:r>
        <w:rPr>
          <w:rFonts w:hint="eastAsia" w:ascii="宋体" w:hAnsi="宋体" w:cs="宋体"/>
          <w:szCs w:val="21"/>
        </w:rPr>
        <w:t>目录</w:t>
      </w: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开标一览表</w:t>
      </w:r>
    </w:p>
    <w:p>
      <w:pPr>
        <w:spacing w:line="320" w:lineRule="exact"/>
        <w:rPr>
          <w:rFonts w:ascii="宋体" w:hAnsi="宋体" w:cs="宋体"/>
          <w:szCs w:val="21"/>
        </w:rPr>
      </w:pPr>
      <w:r>
        <w:rPr>
          <w:rFonts w:hint="eastAsia" w:ascii="宋体" w:hAnsi="宋体" w:cs="宋体"/>
          <w:szCs w:val="21"/>
        </w:rPr>
        <w:t>1、评标指引表</w:t>
      </w:r>
    </w:p>
    <w:p>
      <w:pPr>
        <w:spacing w:line="320" w:lineRule="exact"/>
        <w:rPr>
          <w:rFonts w:ascii="宋体" w:hAnsi="宋体" w:cs="宋体"/>
          <w:szCs w:val="21"/>
        </w:rPr>
      </w:pPr>
      <w:r>
        <w:rPr>
          <w:rFonts w:hint="eastAsia" w:ascii="宋体" w:hAnsi="宋体" w:cs="宋体"/>
          <w:szCs w:val="21"/>
        </w:rPr>
        <w:t>2、法定代表人证明书</w:t>
      </w:r>
    </w:p>
    <w:p>
      <w:pPr>
        <w:spacing w:line="320" w:lineRule="exact"/>
        <w:rPr>
          <w:rFonts w:ascii="宋体" w:hAnsi="宋体" w:cs="宋体"/>
          <w:szCs w:val="21"/>
        </w:rPr>
      </w:pPr>
      <w:r>
        <w:rPr>
          <w:rFonts w:hint="eastAsia" w:ascii="宋体" w:hAnsi="宋体" w:cs="宋体"/>
          <w:szCs w:val="21"/>
        </w:rPr>
        <w:t>3、投标文件签署授权委托书</w:t>
      </w:r>
    </w:p>
    <w:p>
      <w:pPr>
        <w:spacing w:line="320" w:lineRule="exact"/>
        <w:rPr>
          <w:rFonts w:ascii="宋体" w:hAnsi="宋体" w:cs="宋体"/>
          <w:szCs w:val="21"/>
        </w:rPr>
      </w:pPr>
      <w:r>
        <w:rPr>
          <w:rFonts w:hint="eastAsia" w:ascii="宋体" w:hAnsi="宋体" w:cs="宋体"/>
          <w:szCs w:val="21"/>
        </w:rPr>
        <w:t>4、投标承诺函</w:t>
      </w:r>
    </w:p>
    <w:p>
      <w:pPr>
        <w:spacing w:line="320" w:lineRule="exact"/>
        <w:rPr>
          <w:rFonts w:ascii="宋体" w:hAnsi="宋体" w:cs="宋体"/>
          <w:szCs w:val="21"/>
        </w:rPr>
      </w:pPr>
      <w:r>
        <w:rPr>
          <w:rFonts w:hint="eastAsia" w:ascii="宋体" w:hAnsi="宋体" w:cs="宋体"/>
          <w:szCs w:val="21"/>
        </w:rPr>
        <w:t>5、投标人情况介绍</w:t>
      </w:r>
    </w:p>
    <w:p>
      <w:pPr>
        <w:spacing w:line="320" w:lineRule="exact"/>
        <w:rPr>
          <w:rFonts w:ascii="宋体" w:hAnsi="宋体" w:cs="宋体"/>
          <w:szCs w:val="21"/>
        </w:rPr>
      </w:pPr>
      <w:r>
        <w:rPr>
          <w:rFonts w:hint="eastAsia" w:ascii="宋体" w:hAnsi="宋体" w:cs="宋体"/>
          <w:szCs w:val="21"/>
        </w:rPr>
        <w:t>6、分项报价清单表</w:t>
      </w:r>
    </w:p>
    <w:p>
      <w:pPr>
        <w:spacing w:line="320" w:lineRule="exact"/>
        <w:rPr>
          <w:rFonts w:ascii="宋体" w:hAnsi="宋体" w:cs="宋体"/>
          <w:szCs w:val="21"/>
        </w:rPr>
      </w:pPr>
      <w:r>
        <w:rPr>
          <w:rFonts w:hint="eastAsia" w:ascii="宋体" w:hAnsi="宋体" w:cs="宋体"/>
          <w:szCs w:val="21"/>
        </w:rPr>
        <w:t>7、技术规格偏离表</w:t>
      </w:r>
    </w:p>
    <w:p>
      <w:pPr>
        <w:spacing w:line="320" w:lineRule="exact"/>
        <w:rPr>
          <w:rFonts w:ascii="宋体" w:hAnsi="宋体" w:cs="宋体"/>
          <w:szCs w:val="21"/>
        </w:rPr>
      </w:pPr>
      <w:r>
        <w:rPr>
          <w:rFonts w:hint="eastAsia" w:ascii="宋体" w:hAnsi="宋体" w:cs="宋体"/>
          <w:szCs w:val="21"/>
        </w:rPr>
        <w:t>8、商务需求偏离表</w:t>
      </w:r>
    </w:p>
    <w:p>
      <w:pPr>
        <w:spacing w:line="320" w:lineRule="exact"/>
        <w:rPr>
          <w:rFonts w:ascii="宋体" w:hAnsi="宋体" w:cs="宋体"/>
          <w:szCs w:val="21"/>
        </w:rPr>
      </w:pPr>
      <w:r>
        <w:rPr>
          <w:rFonts w:hint="eastAsia" w:ascii="宋体" w:hAnsi="宋体" w:cs="宋体"/>
          <w:szCs w:val="21"/>
        </w:rPr>
        <w:t>9、技术保障措施</w:t>
      </w:r>
    </w:p>
    <w:p>
      <w:pPr>
        <w:spacing w:line="320" w:lineRule="exact"/>
        <w:rPr>
          <w:rFonts w:ascii="宋体" w:hAnsi="宋体" w:cs="宋体"/>
          <w:szCs w:val="21"/>
        </w:rPr>
      </w:pPr>
      <w:r>
        <w:rPr>
          <w:rFonts w:hint="eastAsia" w:ascii="宋体" w:hAnsi="宋体" w:cs="宋体"/>
          <w:szCs w:val="21"/>
        </w:rPr>
        <w:t>10、项目实施方案</w:t>
      </w:r>
    </w:p>
    <w:p>
      <w:pPr>
        <w:spacing w:line="320" w:lineRule="exact"/>
        <w:rPr>
          <w:rFonts w:ascii="宋体" w:hAnsi="宋体" w:cs="宋体"/>
          <w:szCs w:val="21"/>
        </w:rPr>
      </w:pPr>
      <w:r>
        <w:rPr>
          <w:rFonts w:hint="eastAsia" w:ascii="宋体" w:hAnsi="宋体" w:cs="宋体"/>
          <w:szCs w:val="21"/>
        </w:rPr>
        <w:t>11、售后服务方案</w:t>
      </w:r>
    </w:p>
    <w:p>
      <w:pPr>
        <w:spacing w:line="320" w:lineRule="exact"/>
        <w:rPr>
          <w:rFonts w:ascii="宋体" w:hAnsi="宋体" w:cs="宋体"/>
          <w:szCs w:val="21"/>
        </w:rPr>
      </w:pPr>
    </w:p>
    <w:p>
      <w:pPr>
        <w:spacing w:line="320" w:lineRule="exact"/>
        <w:rPr>
          <w:rFonts w:ascii="宋体" w:hAnsi="宋体" w:cs="宋体"/>
          <w:szCs w:val="21"/>
        </w:rPr>
      </w:pPr>
    </w:p>
    <w:p>
      <w:pPr>
        <w:pStyle w:val="2"/>
        <w:numPr>
          <w:ilvl w:val="0"/>
          <w:numId w:val="0"/>
        </w:numPr>
        <w:ind w:leftChars="0" w:firstLine="2891" w:firstLineChars="900"/>
        <w:jc w:val="both"/>
      </w:pPr>
      <w:r>
        <w:rPr>
          <w:rFonts w:hint="eastAsia"/>
        </w:rPr>
        <w:t>开标一览表</w:t>
      </w:r>
    </w:p>
    <w:p>
      <w:pPr>
        <w:spacing w:line="320" w:lineRule="exact"/>
        <w:jc w:val="right"/>
        <w:rPr>
          <w:rFonts w:ascii="宋体" w:hAnsi="宋体" w:cs="宋体"/>
          <w:bCs/>
          <w:snapToGrid w:val="0"/>
          <w:kern w:val="0"/>
          <w:szCs w:val="21"/>
        </w:rPr>
      </w:pPr>
      <w:r>
        <w:rPr>
          <w:rFonts w:hint="eastAsia" w:ascii="宋体" w:hAnsi="宋体" w:cs="宋体"/>
          <w:bCs/>
          <w:snapToGrid w:val="0"/>
          <w:kern w:val="0"/>
          <w:szCs w:val="21"/>
        </w:rPr>
        <w:t xml:space="preserve">                  单位： 人民币 元</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2603"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投标报价</w:t>
            </w:r>
          </w:p>
        </w:tc>
        <w:tc>
          <w:tcPr>
            <w:tcW w:w="2217"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工期</w:t>
            </w:r>
          </w:p>
        </w:tc>
        <w:tc>
          <w:tcPr>
            <w:tcW w:w="2013"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spacing w:line="320" w:lineRule="exact"/>
              <w:rPr>
                <w:rFonts w:ascii="宋体" w:hAnsi="宋体" w:cs="宋体"/>
                <w:snapToGrid w:val="0"/>
                <w:kern w:val="0"/>
                <w:szCs w:val="21"/>
                <w:u w:val="single"/>
              </w:rPr>
            </w:pPr>
          </w:p>
        </w:tc>
        <w:tc>
          <w:tcPr>
            <w:tcW w:w="2603" w:type="dxa"/>
            <w:tcBorders>
              <w:top w:val="single" w:color="auto" w:sz="4" w:space="0"/>
            </w:tcBorders>
            <w:vAlign w:val="center"/>
          </w:tcPr>
          <w:p>
            <w:pPr>
              <w:spacing w:line="320" w:lineRule="exact"/>
              <w:rPr>
                <w:rFonts w:ascii="宋体" w:hAnsi="宋体" w:cs="宋体"/>
                <w:szCs w:val="21"/>
              </w:rPr>
            </w:pPr>
            <w:r>
              <w:rPr>
                <w:rFonts w:hint="eastAsia" w:ascii="宋体" w:hAnsi="宋体" w:cs="宋体"/>
                <w:szCs w:val="21"/>
              </w:rPr>
              <w:t>大写：</w:t>
            </w:r>
          </w:p>
          <w:p>
            <w:pPr>
              <w:spacing w:line="320" w:lineRule="exact"/>
              <w:rPr>
                <w:rFonts w:ascii="宋体" w:hAnsi="宋体" w:cs="宋体"/>
                <w:szCs w:val="21"/>
              </w:rPr>
            </w:pPr>
            <w:r>
              <w:rPr>
                <w:rFonts w:hint="eastAsia" w:ascii="宋体" w:hAnsi="宋体" w:cs="宋体"/>
                <w:szCs w:val="21"/>
              </w:rPr>
              <w:t>小写：</w:t>
            </w:r>
          </w:p>
        </w:tc>
        <w:tc>
          <w:tcPr>
            <w:tcW w:w="2217" w:type="dxa"/>
            <w:tcBorders>
              <w:top w:val="single" w:color="auto" w:sz="4" w:space="0"/>
            </w:tcBorders>
            <w:vAlign w:val="center"/>
          </w:tcPr>
          <w:p>
            <w:pPr>
              <w:spacing w:line="320" w:lineRule="exact"/>
              <w:ind w:firstLine="211" w:firstLineChars="100"/>
              <w:rPr>
                <w:rFonts w:ascii="宋体" w:hAnsi="宋体" w:cs="宋体"/>
                <w:kern w:val="0"/>
                <w:szCs w:val="21"/>
                <w:lang w:val="zh-CN"/>
              </w:rPr>
            </w:pPr>
            <w:r>
              <w:rPr>
                <w:rFonts w:hint="eastAsia" w:ascii="宋体" w:hAnsi="宋体" w:cs="宋体"/>
                <w:b/>
                <w:bCs/>
                <w:kern w:val="0"/>
                <w:szCs w:val="21"/>
                <w:u w:val="single"/>
              </w:rPr>
              <w:t xml:space="preserve">    </w:t>
            </w:r>
            <w:r>
              <w:rPr>
                <w:rFonts w:hint="eastAsia" w:ascii="宋体" w:hAnsi="宋体" w:cs="宋体"/>
                <w:snapToGrid w:val="0"/>
                <w:kern w:val="0"/>
                <w:szCs w:val="21"/>
              </w:rPr>
              <w:t>日历日</w:t>
            </w:r>
          </w:p>
        </w:tc>
        <w:tc>
          <w:tcPr>
            <w:tcW w:w="2013" w:type="dxa"/>
            <w:tcBorders>
              <w:top w:val="single" w:color="auto" w:sz="4" w:space="0"/>
            </w:tcBorders>
            <w:vAlign w:val="center"/>
          </w:tcPr>
          <w:p>
            <w:pPr>
              <w:spacing w:line="320" w:lineRule="exact"/>
              <w:rPr>
                <w:rFonts w:ascii="宋体" w:hAnsi="宋体" w:cs="宋体"/>
                <w:snapToGrid w:val="0"/>
                <w:kern w:val="0"/>
                <w:szCs w:val="21"/>
              </w:rPr>
            </w:pPr>
          </w:p>
        </w:tc>
      </w:tr>
    </w:tbl>
    <w:p>
      <w:pPr>
        <w:spacing w:line="320" w:lineRule="exact"/>
        <w:rPr>
          <w:rFonts w:ascii="宋体" w:hAnsi="宋体" w:cs="宋体"/>
          <w:snapToGrid w:val="0"/>
          <w:kern w:val="0"/>
          <w:szCs w:val="21"/>
        </w:rPr>
      </w:pPr>
    </w:p>
    <w:p>
      <w:pPr>
        <w:spacing w:line="320" w:lineRule="exact"/>
        <w:rPr>
          <w:rFonts w:ascii="宋体" w:hAnsi="宋体" w:cs="宋体"/>
          <w:snapToGrid w:val="0"/>
          <w:kern w:val="0"/>
          <w:szCs w:val="21"/>
        </w:rPr>
      </w:pPr>
      <w:r>
        <w:rPr>
          <w:rFonts w:hint="eastAsia" w:ascii="宋体" w:hAnsi="宋体" w:cs="宋体"/>
          <w:snapToGrid w:val="0"/>
          <w:kern w:val="0"/>
          <w:szCs w:val="21"/>
        </w:rPr>
        <w:t>注：1、价格应按“招标文件”中规定的货币单位填写。</w:t>
      </w:r>
    </w:p>
    <w:p>
      <w:pPr>
        <w:spacing w:line="320" w:lineRule="exact"/>
        <w:ind w:firstLine="420"/>
        <w:rPr>
          <w:rFonts w:ascii="宋体" w:hAnsi="宋体" w:cs="宋体"/>
          <w:szCs w:val="21"/>
        </w:rPr>
      </w:pPr>
      <w:r>
        <w:rPr>
          <w:rFonts w:hint="eastAsia" w:ascii="宋体" w:hAnsi="宋体" w:cs="宋体"/>
          <w:snapToGrid w:val="0"/>
          <w:kern w:val="0"/>
          <w:szCs w:val="21"/>
        </w:rPr>
        <w:t>2、投标人如果需要对报价或其它内容加以说明，可在备注栏填写。</w:t>
      </w:r>
    </w:p>
    <w:p>
      <w:pPr>
        <w:spacing w:line="320" w:lineRule="exact"/>
        <w:ind w:firstLine="420"/>
        <w:rPr>
          <w:rFonts w:ascii="宋体" w:hAnsi="宋体" w:cs="宋体"/>
          <w:b/>
          <w:szCs w:val="21"/>
        </w:rPr>
      </w:pPr>
      <w:r>
        <w:rPr>
          <w:rFonts w:hint="eastAsia" w:ascii="宋体" w:hAnsi="宋体" w:cs="宋体"/>
          <w:b/>
          <w:szCs w:val="21"/>
        </w:rPr>
        <w:t>3、开标一览表和投标文件(含正本和副本）应分开独立密封包装。开标一览表未按规定密封、签字、盖章将导致废标。</w:t>
      </w:r>
    </w:p>
    <w:p>
      <w:pPr>
        <w:snapToGrid w:val="0"/>
        <w:spacing w:line="320" w:lineRule="exact"/>
        <w:ind w:firstLine="411" w:firstLineChars="196"/>
        <w:rPr>
          <w:rFonts w:ascii="宋体" w:hAnsi="宋体" w:cs="宋体"/>
          <w:szCs w:val="21"/>
        </w:rPr>
      </w:pPr>
      <w:r>
        <w:rPr>
          <w:rFonts w:hint="eastAsia" w:ascii="宋体" w:hAnsi="宋体" w:cs="宋体"/>
          <w:szCs w:val="21"/>
        </w:rPr>
        <w:t>4、若开标一览表中大写金额和小写金额不一致的，以大写金额为准。</w:t>
      </w:r>
    </w:p>
    <w:p>
      <w:pPr>
        <w:snapToGrid w:val="0"/>
        <w:spacing w:line="320" w:lineRule="exact"/>
        <w:ind w:firstLine="411" w:firstLineChars="196"/>
        <w:rPr>
          <w:rFonts w:ascii="宋体" w:hAnsi="宋体" w:cs="宋体"/>
          <w:szCs w:val="21"/>
        </w:rPr>
      </w:pPr>
    </w:p>
    <w:p>
      <w:pPr>
        <w:spacing w:line="320" w:lineRule="exact"/>
        <w:ind w:firstLine="420"/>
        <w:rPr>
          <w:rFonts w:ascii="宋体" w:hAnsi="宋体" w:cs="宋体"/>
          <w:szCs w:val="21"/>
        </w:rPr>
      </w:pPr>
    </w:p>
    <w:p>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法定代表人或被授权人签名：</w:t>
      </w:r>
    </w:p>
    <w:p>
      <w:pPr>
        <w:spacing w:line="320" w:lineRule="exact"/>
        <w:ind w:right="2100" w:rightChars="1000"/>
        <w:jc w:val="right"/>
        <w:rPr>
          <w:rFonts w:ascii="宋体" w:hAnsi="宋体" w:cs="宋体"/>
          <w:snapToGrid w:val="0"/>
          <w:kern w:val="0"/>
          <w:szCs w:val="21"/>
        </w:rPr>
      </w:pPr>
    </w:p>
    <w:p>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 xml:space="preserve">                         投标单位公章：</w:t>
      </w:r>
    </w:p>
    <w:p>
      <w:pPr>
        <w:pStyle w:val="15"/>
        <w:spacing w:line="320" w:lineRule="exact"/>
        <w:rPr>
          <w:rFonts w:ascii="宋体" w:hAnsi="宋体" w:cs="宋体"/>
          <w:szCs w:val="21"/>
        </w:rPr>
      </w:pPr>
    </w:p>
    <w:p>
      <w:pPr>
        <w:pStyle w:val="15"/>
        <w:spacing w:line="320" w:lineRule="exact"/>
        <w:rPr>
          <w:rFonts w:ascii="宋体" w:hAnsi="宋体" w:cs="宋体"/>
          <w:szCs w:val="21"/>
        </w:rPr>
      </w:pPr>
    </w:p>
    <w:p>
      <w:pPr>
        <w:pStyle w:val="15"/>
        <w:spacing w:line="320" w:lineRule="exact"/>
        <w:rPr>
          <w:rFonts w:ascii="宋体" w:hAnsi="宋体" w:cs="宋体"/>
          <w:szCs w:val="21"/>
        </w:rPr>
      </w:pPr>
    </w:p>
    <w:p>
      <w:pPr>
        <w:numPr>
          <w:ilvl w:val="0"/>
          <w:numId w:val="3"/>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评标指引表</w:t>
      </w:r>
    </w:p>
    <w:p>
      <w:pPr>
        <w:pStyle w:val="13"/>
        <w:numPr>
          <w:ilvl w:val="255"/>
          <w:numId w:val="0"/>
        </w:numPr>
        <w:jc w:val="center"/>
        <w:rPr>
          <w:rFonts w:ascii="宋体" w:hAnsi="宋体" w:cs="宋体"/>
        </w:rPr>
      </w:pPr>
    </w:p>
    <w:tbl>
      <w:tblPr>
        <w:tblStyle w:val="2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szCs w:val="21"/>
              </w:rPr>
            </w:pPr>
            <w:r>
              <w:rPr>
                <w:rFonts w:hint="eastAsia" w:ascii="宋体" w:hAnsi="宋体" w:cs="宋体"/>
                <w:b/>
                <w:bCs/>
                <w:szCs w:val="21"/>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rFonts w:ascii="宋体" w:hAnsi="宋体" w:cs="宋体"/>
                <w:b/>
                <w:szCs w:val="21"/>
              </w:rPr>
            </w:pPr>
            <w:r>
              <w:rPr>
                <w:rFonts w:hint="eastAsia" w:ascii="宋体" w:hAnsi="宋体" w:cs="宋体"/>
                <w:b/>
                <w:szCs w:val="21"/>
              </w:rPr>
              <w:t>序号</w:t>
            </w:r>
          </w:p>
        </w:tc>
        <w:tc>
          <w:tcPr>
            <w:tcW w:w="3786" w:type="dxa"/>
            <w:gridSpan w:val="2"/>
            <w:vAlign w:val="center"/>
          </w:tcPr>
          <w:p>
            <w:pPr>
              <w:spacing w:line="320" w:lineRule="exact"/>
              <w:jc w:val="center"/>
              <w:rPr>
                <w:rFonts w:ascii="宋体" w:hAnsi="宋体" w:cs="宋体"/>
                <w:b/>
                <w:szCs w:val="21"/>
              </w:rPr>
            </w:pPr>
            <w:r>
              <w:rPr>
                <w:rFonts w:hint="eastAsia" w:ascii="宋体" w:hAnsi="宋体" w:cs="宋体"/>
                <w:b/>
                <w:szCs w:val="21"/>
              </w:rPr>
              <w:t>资格性检查项目</w:t>
            </w:r>
          </w:p>
        </w:tc>
        <w:tc>
          <w:tcPr>
            <w:tcW w:w="3490" w:type="dxa"/>
            <w:gridSpan w:val="2"/>
            <w:vAlign w:val="center"/>
          </w:tcPr>
          <w:p>
            <w:pPr>
              <w:spacing w:line="320" w:lineRule="exact"/>
              <w:jc w:val="center"/>
              <w:rPr>
                <w:rFonts w:ascii="宋体" w:hAnsi="宋体" w:cs="宋体"/>
                <w:b/>
                <w:szCs w:val="21"/>
              </w:rPr>
            </w:pPr>
            <w:r>
              <w:rPr>
                <w:rFonts w:hint="eastAsia" w:ascii="宋体" w:hAnsi="宋体" w:cs="宋体"/>
                <w:b/>
                <w:szCs w:val="21"/>
              </w:rPr>
              <w:t>证明文件</w:t>
            </w:r>
          </w:p>
        </w:tc>
        <w:tc>
          <w:tcPr>
            <w:tcW w:w="1358" w:type="dxa"/>
            <w:gridSpan w:val="2"/>
            <w:vAlign w:val="center"/>
          </w:tcPr>
          <w:p>
            <w:pPr>
              <w:spacing w:line="32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spacing w:line="320" w:lineRule="exact"/>
              <w:jc w:val="center"/>
              <w:rPr>
                <w:rFonts w:ascii="宋体" w:hAnsi="宋体" w:cs="宋体"/>
                <w:bCs/>
                <w:szCs w:val="21"/>
              </w:rPr>
            </w:pPr>
          </w:p>
          <w:p>
            <w:pPr>
              <w:spacing w:line="320" w:lineRule="exact"/>
              <w:jc w:val="center"/>
              <w:rPr>
                <w:rFonts w:ascii="宋体" w:hAnsi="宋体" w:cs="宋体"/>
                <w:b/>
                <w:szCs w:val="21"/>
              </w:rPr>
            </w:pPr>
            <w:r>
              <w:rPr>
                <w:rFonts w:hint="eastAsia" w:ascii="宋体" w:hAnsi="宋体" w:cs="宋体"/>
                <w:bCs/>
                <w:szCs w:val="21"/>
              </w:rPr>
              <w:t>1</w:t>
            </w:r>
          </w:p>
        </w:tc>
        <w:tc>
          <w:tcPr>
            <w:tcW w:w="3786" w:type="dxa"/>
            <w:gridSpan w:val="2"/>
            <w:vMerge w:val="restart"/>
            <w:vAlign w:val="center"/>
          </w:tcPr>
          <w:p>
            <w:pPr>
              <w:spacing w:line="320" w:lineRule="exact"/>
              <w:jc w:val="lef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c>
          <w:tcPr>
            <w:tcW w:w="3490" w:type="dxa"/>
            <w:gridSpan w:val="2"/>
            <w:vAlign w:val="center"/>
          </w:tcPr>
          <w:p>
            <w:pPr>
              <w:spacing w:line="320" w:lineRule="exact"/>
              <w:jc w:val="center"/>
              <w:rPr>
                <w:rFonts w:ascii="宋体" w:hAnsi="宋体" w:cs="宋体"/>
                <w:szCs w:val="21"/>
              </w:rPr>
            </w:pPr>
            <w:r>
              <w:rPr>
                <w:rFonts w:hint="eastAsia" w:ascii="宋体" w:hAnsi="宋体" w:cs="宋体"/>
                <w:szCs w:val="21"/>
              </w:rPr>
              <w:t>营业执照</w:t>
            </w: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ascii="宋体" w:hAnsi="宋体" w:cs="宋体"/>
                <w:b/>
                <w:szCs w:val="21"/>
              </w:rPr>
            </w:pPr>
          </w:p>
        </w:tc>
        <w:tc>
          <w:tcPr>
            <w:tcW w:w="3786" w:type="dxa"/>
            <w:gridSpan w:val="2"/>
            <w:vMerge w:val="continue"/>
            <w:vAlign w:val="center"/>
          </w:tcPr>
          <w:p>
            <w:pPr>
              <w:spacing w:line="320" w:lineRule="exact"/>
              <w:jc w:val="center"/>
              <w:rPr>
                <w:rFonts w:ascii="宋体" w:hAnsi="宋体" w:cs="宋体"/>
                <w:szCs w:val="21"/>
              </w:rPr>
            </w:pPr>
          </w:p>
        </w:tc>
        <w:tc>
          <w:tcPr>
            <w:tcW w:w="3490" w:type="dxa"/>
            <w:gridSpan w:val="2"/>
            <w:vAlign w:val="center"/>
          </w:tcPr>
          <w:p>
            <w:pPr>
              <w:spacing w:line="320" w:lineRule="exact"/>
              <w:jc w:val="center"/>
              <w:rPr>
                <w:rFonts w:ascii="宋体" w:hAnsi="宋体" w:cs="宋体"/>
                <w:szCs w:val="21"/>
              </w:rPr>
            </w:pP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ascii="宋体" w:hAnsi="宋体" w:cs="宋体"/>
                <w:b/>
                <w:szCs w:val="21"/>
              </w:rPr>
            </w:pPr>
          </w:p>
        </w:tc>
        <w:tc>
          <w:tcPr>
            <w:tcW w:w="3786" w:type="dxa"/>
            <w:gridSpan w:val="2"/>
            <w:vMerge w:val="continue"/>
            <w:vAlign w:val="center"/>
          </w:tcPr>
          <w:p>
            <w:pPr>
              <w:spacing w:line="320" w:lineRule="exact"/>
              <w:jc w:val="center"/>
              <w:rPr>
                <w:rFonts w:ascii="宋体" w:hAnsi="宋体" w:cs="宋体"/>
                <w:szCs w:val="21"/>
              </w:rPr>
            </w:pPr>
          </w:p>
        </w:tc>
        <w:tc>
          <w:tcPr>
            <w:tcW w:w="3490" w:type="dxa"/>
            <w:gridSpan w:val="2"/>
            <w:vAlign w:val="center"/>
          </w:tcPr>
          <w:p>
            <w:pPr>
              <w:spacing w:line="320" w:lineRule="exact"/>
              <w:jc w:val="center"/>
              <w:rPr>
                <w:rFonts w:ascii="宋体" w:hAnsi="宋体" w:cs="宋体"/>
                <w:szCs w:val="21"/>
              </w:rPr>
            </w:pPr>
            <w:r>
              <w:rPr>
                <w:rFonts w:hint="eastAsia" w:ascii="宋体" w:hAnsi="宋体" w:cs="宋体"/>
                <w:szCs w:val="21"/>
              </w:rPr>
              <w:t>...</w:t>
            </w: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b/>
                <w:szCs w:val="21"/>
              </w:rPr>
            </w:pPr>
            <w:r>
              <w:rPr>
                <w:rFonts w:hint="eastAsia" w:ascii="宋体" w:hAnsi="宋体" w:cs="宋体"/>
                <w:b/>
                <w:bCs/>
                <w:szCs w:val="21"/>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rFonts w:ascii="宋体" w:hAnsi="宋体" w:cs="宋体"/>
                <w:b/>
                <w:szCs w:val="21"/>
              </w:rPr>
            </w:pPr>
          </w:p>
          <w:p>
            <w:pPr>
              <w:spacing w:line="320" w:lineRule="exact"/>
              <w:jc w:val="center"/>
              <w:rPr>
                <w:rFonts w:ascii="宋体" w:hAnsi="宋体" w:cs="宋体"/>
                <w:b/>
                <w:szCs w:val="21"/>
              </w:rPr>
            </w:pPr>
            <w:r>
              <w:rPr>
                <w:rFonts w:hint="eastAsia" w:ascii="宋体" w:hAnsi="宋体" w:cs="宋体"/>
                <w:b/>
                <w:szCs w:val="21"/>
              </w:rPr>
              <w:t>序号</w:t>
            </w:r>
          </w:p>
        </w:tc>
        <w:tc>
          <w:tcPr>
            <w:tcW w:w="5854" w:type="dxa"/>
            <w:gridSpan w:val="3"/>
            <w:vAlign w:val="center"/>
          </w:tcPr>
          <w:p>
            <w:pPr>
              <w:spacing w:line="320" w:lineRule="exact"/>
              <w:jc w:val="center"/>
              <w:rPr>
                <w:rFonts w:ascii="宋体" w:hAnsi="宋体" w:cs="宋体"/>
                <w:b/>
                <w:szCs w:val="21"/>
              </w:rPr>
            </w:pPr>
            <w:r>
              <w:rPr>
                <w:rFonts w:hint="eastAsia" w:ascii="宋体" w:hAnsi="宋体" w:cs="宋体"/>
                <w:b/>
                <w:szCs w:val="21"/>
              </w:rPr>
              <w:t>符合性审查项目</w:t>
            </w:r>
          </w:p>
        </w:tc>
        <w:tc>
          <w:tcPr>
            <w:tcW w:w="1566" w:type="dxa"/>
            <w:gridSpan w:val="2"/>
            <w:vAlign w:val="center"/>
          </w:tcPr>
          <w:p>
            <w:pPr>
              <w:spacing w:line="320" w:lineRule="exact"/>
              <w:jc w:val="center"/>
              <w:rPr>
                <w:rFonts w:ascii="宋体" w:hAnsi="宋体" w:cs="宋体"/>
                <w:b/>
                <w:szCs w:val="21"/>
              </w:rPr>
            </w:pPr>
            <w:r>
              <w:rPr>
                <w:rFonts w:hint="eastAsia" w:ascii="宋体" w:hAnsi="宋体" w:cs="宋体"/>
                <w:b/>
                <w:szCs w:val="21"/>
              </w:rPr>
              <w:t>说明</w:t>
            </w:r>
          </w:p>
          <w:p>
            <w:pPr>
              <w:spacing w:line="320" w:lineRule="exact"/>
              <w:jc w:val="center"/>
              <w:rPr>
                <w:rFonts w:ascii="宋体" w:hAnsi="宋体" w:cs="宋体"/>
                <w:b/>
                <w:szCs w:val="21"/>
              </w:rPr>
            </w:pPr>
            <w:r>
              <w:rPr>
                <w:rFonts w:hint="eastAsia" w:ascii="宋体" w:hAnsi="宋体" w:cs="宋体"/>
                <w:b/>
                <w:szCs w:val="21"/>
              </w:rPr>
              <w:t>(</w:t>
            </w:r>
            <w:r>
              <w:rPr>
                <w:rFonts w:hint="eastAsia" w:ascii="宋体" w:hAnsi="宋体" w:cs="宋体"/>
                <w:szCs w:val="21"/>
              </w:rPr>
              <w:t>存在/不存在）</w:t>
            </w:r>
          </w:p>
        </w:tc>
        <w:tc>
          <w:tcPr>
            <w:tcW w:w="1214" w:type="dxa"/>
            <w:vAlign w:val="center"/>
          </w:tcPr>
          <w:p>
            <w:pPr>
              <w:widowControl/>
              <w:spacing w:line="320" w:lineRule="exact"/>
              <w:jc w:val="left"/>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5854" w:type="dxa"/>
            <w:gridSpan w:val="3"/>
          </w:tcPr>
          <w:p>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未按招标文件对投标文件组成的要求提供投标文件的(投标文件组成不完整）或未按规定密封、签字、盖章；</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5854" w:type="dxa"/>
            <w:gridSpan w:val="3"/>
          </w:tcPr>
          <w:p>
            <w:pPr>
              <w:spacing w:line="320" w:lineRule="exact"/>
              <w:rPr>
                <w:rFonts w:ascii="宋体" w:hAnsi="宋体" w:cs="宋体"/>
                <w:szCs w:val="21"/>
              </w:rPr>
            </w:pPr>
            <w:r>
              <w:rPr>
                <w:rFonts w:hint="eastAsia" w:ascii="宋体" w:hAnsi="宋体" w:cs="宋体"/>
                <w:szCs w:val="21"/>
              </w:rPr>
              <w:t>《技术规格偏离表》或《商务需求偏离表》填写不全或不实</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5854" w:type="dxa"/>
            <w:gridSpan w:val="3"/>
          </w:tcPr>
          <w:p>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4</w:t>
            </w:r>
          </w:p>
        </w:tc>
        <w:tc>
          <w:tcPr>
            <w:tcW w:w="5854" w:type="dxa"/>
            <w:gridSpan w:val="3"/>
          </w:tcPr>
          <w:p>
            <w:pPr>
              <w:spacing w:line="320" w:lineRule="exact"/>
              <w:rPr>
                <w:rFonts w:ascii="宋体" w:hAnsi="宋体" w:cs="宋体"/>
                <w:szCs w:val="21"/>
              </w:rPr>
            </w:pPr>
            <w:r>
              <w:rPr>
                <w:rFonts w:hint="eastAsia" w:ascii="宋体" w:hAnsi="宋体" w:cs="宋体"/>
                <w:szCs w:val="21"/>
              </w:rPr>
              <w:t>投标报价有严重缺漏项目</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5854" w:type="dxa"/>
            <w:gridSpan w:val="3"/>
          </w:tcPr>
          <w:p>
            <w:pPr>
              <w:spacing w:line="320" w:lineRule="exact"/>
              <w:rPr>
                <w:rFonts w:ascii="宋体" w:hAnsi="宋体" w:cs="宋体"/>
                <w:szCs w:val="21"/>
              </w:rPr>
            </w:pPr>
            <w:r>
              <w:rPr>
                <w:rFonts w:hint="eastAsia" w:ascii="宋体" w:hAnsi="宋体" w:cs="宋体"/>
                <w:szCs w:val="21"/>
              </w:rPr>
              <w:t>投标文件载明的交货期超过招标文件规定的期限</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5854" w:type="dxa"/>
            <w:gridSpan w:val="3"/>
          </w:tcPr>
          <w:p>
            <w:pPr>
              <w:spacing w:line="320" w:lineRule="exact"/>
              <w:rPr>
                <w:rFonts w:ascii="宋体" w:hAnsi="宋体" w:cs="宋体"/>
                <w:szCs w:val="21"/>
              </w:rPr>
            </w:pPr>
            <w:r>
              <w:rPr>
                <w:rFonts w:hint="eastAsia" w:ascii="宋体" w:hAnsi="宋体" w:cs="宋体"/>
                <w:szCs w:val="21"/>
              </w:rPr>
              <w:t>所投产品、工程、服务在质量、技术、方案等方面没有实质性满足招标文件要求</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b/>
                <w:szCs w:val="21"/>
              </w:rPr>
            </w:pPr>
            <w:r>
              <w:rPr>
                <w:rFonts w:hint="eastAsia" w:ascii="宋体" w:hAnsi="宋体" w:cs="宋体"/>
                <w:b/>
                <w:szCs w:val="21"/>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spacing w:line="320" w:lineRule="exact"/>
              <w:jc w:val="center"/>
              <w:rPr>
                <w:rFonts w:ascii="宋体" w:hAnsi="宋体" w:cs="宋体"/>
                <w:b/>
                <w:szCs w:val="21"/>
              </w:rPr>
            </w:pPr>
            <w:r>
              <w:rPr>
                <w:rFonts w:hint="eastAsia" w:ascii="宋体" w:hAnsi="宋体" w:cs="宋体"/>
                <w:b/>
                <w:szCs w:val="21"/>
              </w:rPr>
              <w:t>评分类别</w:t>
            </w:r>
          </w:p>
        </w:tc>
        <w:tc>
          <w:tcPr>
            <w:tcW w:w="5510" w:type="dxa"/>
            <w:gridSpan w:val="2"/>
            <w:vAlign w:val="center"/>
          </w:tcPr>
          <w:p>
            <w:pPr>
              <w:spacing w:line="320" w:lineRule="exact"/>
              <w:jc w:val="center"/>
              <w:rPr>
                <w:rFonts w:ascii="宋体" w:hAnsi="宋体" w:cs="宋体"/>
                <w:b/>
                <w:szCs w:val="21"/>
              </w:rPr>
            </w:pPr>
            <w:r>
              <w:rPr>
                <w:rFonts w:hint="eastAsia" w:ascii="宋体" w:hAnsi="宋体" w:cs="宋体"/>
                <w:b/>
                <w:szCs w:val="21"/>
              </w:rPr>
              <w:t>评分项目</w:t>
            </w:r>
          </w:p>
        </w:tc>
        <w:tc>
          <w:tcPr>
            <w:tcW w:w="1422" w:type="dxa"/>
            <w:vAlign w:val="center"/>
          </w:tcPr>
          <w:p>
            <w:pPr>
              <w:spacing w:line="320" w:lineRule="exact"/>
              <w:jc w:val="center"/>
              <w:rPr>
                <w:rFonts w:ascii="宋体" w:hAnsi="宋体" w:cs="宋体"/>
                <w:b/>
                <w:szCs w:val="21"/>
              </w:rPr>
            </w:pPr>
            <w:r>
              <w:rPr>
                <w:rFonts w:hint="eastAsia" w:ascii="宋体" w:hAnsi="宋体" w:cs="宋体"/>
                <w:b/>
                <w:szCs w:val="21"/>
              </w:rPr>
              <w:t>对应章节</w:t>
            </w:r>
          </w:p>
        </w:tc>
        <w:tc>
          <w:tcPr>
            <w:tcW w:w="1358" w:type="dxa"/>
            <w:gridSpan w:val="2"/>
            <w:vAlign w:val="center"/>
          </w:tcPr>
          <w:p>
            <w:pPr>
              <w:spacing w:line="32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技术部分</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3....</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商务部分</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3....</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综合实力</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bl>
    <w:p>
      <w:pPr>
        <w:spacing w:line="320" w:lineRule="exact"/>
        <w:rPr>
          <w:rFonts w:ascii="宋体" w:hAnsi="宋体" w:cs="宋体"/>
          <w:szCs w:val="21"/>
        </w:rPr>
      </w:pPr>
    </w:p>
    <w:p>
      <w:pPr>
        <w:spacing w:line="320" w:lineRule="exact"/>
        <w:ind w:firstLine="422" w:firstLineChars="200"/>
        <w:rPr>
          <w:rFonts w:ascii="宋体" w:hAnsi="宋体" w:cs="宋体"/>
          <w:b/>
          <w:szCs w:val="21"/>
        </w:rPr>
      </w:pPr>
      <w:r>
        <w:rPr>
          <w:rFonts w:hint="eastAsia" w:ascii="宋体" w:hAnsi="宋体" w:cs="宋体"/>
          <w:b/>
          <w:szCs w:val="21"/>
        </w:rPr>
        <w:t>注：请投标人按照“评分方法和标准”的审查和评分内容，自上而下的顺序填写本表。因项目次序混乱而影响评标效率及评标结果者，投标人自负其责。</w:t>
      </w:r>
    </w:p>
    <w:p>
      <w:pPr>
        <w:spacing w:line="320" w:lineRule="exact"/>
        <w:jc w:val="center"/>
        <w:rPr>
          <w:rFonts w:ascii="宋体" w:hAnsi="宋体" w:cs="宋体"/>
          <w:b/>
          <w:szCs w:val="21"/>
        </w:rPr>
      </w:pPr>
    </w:p>
    <w:p>
      <w:pPr>
        <w:spacing w:line="320" w:lineRule="exact"/>
        <w:ind w:firstLine="2811" w:firstLineChars="1000"/>
        <w:jc w:val="center"/>
        <w:rPr>
          <w:rFonts w:ascii="宋体" w:hAnsi="宋体" w:cs="宋体"/>
          <w:b/>
          <w:bCs/>
          <w:kern w:val="0"/>
          <w:sz w:val="28"/>
          <w:szCs w:val="28"/>
        </w:rPr>
      </w:pPr>
    </w:p>
    <w:p>
      <w:pPr>
        <w:numPr>
          <w:ilvl w:val="0"/>
          <w:numId w:val="3"/>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法定代表人证明书</w:t>
      </w:r>
    </w:p>
    <w:p>
      <w:pPr>
        <w:pStyle w:val="21"/>
        <w:numPr>
          <w:ilvl w:val="255"/>
          <w:numId w:val="0"/>
        </w:numPr>
        <w:jc w:val="center"/>
        <w:rPr>
          <w:rFonts w:ascii="宋体" w:hAnsi="宋体" w:cs="宋体"/>
        </w:rPr>
      </w:pPr>
    </w:p>
    <w:p>
      <w:pPr>
        <w:spacing w:line="32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20" w:lineRule="exact"/>
        <w:rPr>
          <w:rFonts w:ascii="宋体" w:hAnsi="宋体" w:cs="宋体"/>
          <w:szCs w:val="21"/>
        </w:rPr>
      </w:pPr>
      <w:r>
        <w:rPr>
          <w:rFonts w:hint="eastAsia" w:ascii="宋体" w:hAnsi="宋体" w:cs="宋体"/>
          <w:szCs w:val="21"/>
        </w:rPr>
        <w:t xml:space="preserve">有效日期：         签发日期：         单位：              </w:t>
      </w:r>
    </w:p>
    <w:p>
      <w:pPr>
        <w:spacing w:line="320" w:lineRule="exact"/>
        <w:rPr>
          <w:rFonts w:ascii="宋体" w:hAnsi="宋体" w:cs="宋体"/>
          <w:szCs w:val="21"/>
        </w:rPr>
      </w:pPr>
      <w:r>
        <w:rPr>
          <w:rFonts w:hint="eastAsia" w:ascii="宋体" w:hAnsi="宋体" w:cs="宋体"/>
          <w:szCs w:val="21"/>
        </w:rPr>
        <w:t>附：代表人性别：   年龄：      身份证号码：</w:t>
      </w:r>
    </w:p>
    <w:p>
      <w:pPr>
        <w:spacing w:line="320" w:lineRule="exact"/>
        <w:rPr>
          <w:rFonts w:ascii="宋体" w:hAnsi="宋体" w:cs="宋体"/>
          <w:szCs w:val="21"/>
        </w:rPr>
      </w:pPr>
      <w:r>
        <w:rPr>
          <w:rFonts w:hint="eastAsia" w:ascii="宋体" w:hAnsi="宋体" w:cs="宋体"/>
          <w:szCs w:val="21"/>
        </w:rPr>
        <w:t>营业执照号码：                 经济性质：</w:t>
      </w:r>
    </w:p>
    <w:p>
      <w:pPr>
        <w:spacing w:line="320" w:lineRule="exact"/>
        <w:rPr>
          <w:rFonts w:ascii="宋体" w:hAnsi="宋体" w:cs="宋体"/>
          <w:szCs w:val="21"/>
        </w:rPr>
      </w:pPr>
      <w:r>
        <w:rPr>
          <w:rFonts w:hint="eastAsia" w:ascii="宋体" w:hAnsi="宋体" w:cs="宋体"/>
          <w:szCs w:val="21"/>
        </w:rPr>
        <w:t>主营：</w:t>
      </w:r>
    </w:p>
    <w:p>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spacing w:line="320" w:lineRule="exact"/>
        <w:rPr>
          <w:rFonts w:ascii="宋体" w:hAnsi="宋体" w:cs="宋体"/>
          <w:szCs w:val="21"/>
        </w:rPr>
      </w:pPr>
      <w:r>
        <w:rPr>
          <w:rFonts w:hint="eastAsia" w:ascii="宋体" w:hAnsi="宋体" w:cs="宋体"/>
          <w:szCs w:val="21"/>
        </w:rPr>
        <w:t xml:space="preserve">      2、内容必须填写真实、清楚，涂改无效，不得转让、买卖。</w:t>
      </w:r>
    </w:p>
    <w:p>
      <w:pPr>
        <w:spacing w:line="320" w:lineRule="exact"/>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spacing w:line="320" w:lineRule="exact"/>
        <w:ind w:firstLine="630" w:firstLineChars="300"/>
        <w:rPr>
          <w:rFonts w:ascii="宋体" w:hAnsi="宋体" w:cs="宋体"/>
          <w:szCs w:val="21"/>
        </w:rPr>
      </w:pPr>
      <w:r>
        <w:rPr>
          <w:rFonts w:hint="eastAsia" w:ascii="宋体" w:hAnsi="宋体" w:cs="宋体"/>
          <w:szCs w:val="21"/>
        </w:rPr>
        <w:t>4. 须提供法定代表人的身份证复印件</w:t>
      </w:r>
      <w:r>
        <w:rPr>
          <w:rFonts w:hint="eastAsia" w:ascii="宋体" w:hAnsi="宋体" w:cs="宋体"/>
          <w:szCs w:val="21"/>
          <w:lang w:val="en-US" w:eastAsia="zh-CN"/>
        </w:rPr>
        <w:t>及最近3个月社保证明</w:t>
      </w:r>
      <w:r>
        <w:rPr>
          <w:rFonts w:hint="eastAsia" w:ascii="宋体" w:hAnsi="宋体" w:cs="宋体"/>
          <w:szCs w:val="21"/>
        </w:rPr>
        <w:t>(附后</w:t>
      </w:r>
      <w:r>
        <w:rPr>
          <w:rFonts w:hint="eastAsia" w:ascii="宋体" w:hAnsi="宋体" w:cs="宋体"/>
          <w:szCs w:val="21"/>
          <w:lang w:eastAsia="zh-CN"/>
        </w:rPr>
        <w:t>，</w:t>
      </w:r>
      <w:r>
        <w:rPr>
          <w:rFonts w:hint="eastAsia" w:ascii="宋体" w:hAnsi="宋体" w:cs="宋体"/>
          <w:szCs w:val="21"/>
        </w:rPr>
        <w:t>网页截图或窗口打印资料或社保部门出具的证明均可）。</w:t>
      </w: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pStyle w:val="5"/>
        <w:numPr>
          <w:ilvl w:val="1"/>
          <w:numId w:val="0"/>
        </w:numPr>
        <w:ind w:firstLine="1968" w:firstLineChars="700"/>
        <w:jc w:val="both"/>
      </w:pPr>
      <w:r>
        <w:rPr>
          <w:rFonts w:hint="eastAsia"/>
        </w:rPr>
        <w:t>三、投标文件签署授权委托书</w:t>
      </w:r>
    </w:p>
    <w:p>
      <w:pPr>
        <w:spacing w:line="320" w:lineRule="exact"/>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20" w:lineRule="exact"/>
        <w:ind w:firstLine="420"/>
        <w:rPr>
          <w:rFonts w:ascii="宋体" w:hAnsi="宋体" w:cs="宋体"/>
          <w:szCs w:val="21"/>
        </w:rPr>
      </w:pPr>
      <w:r>
        <w:rPr>
          <w:rFonts w:hint="eastAsia" w:ascii="宋体" w:hAnsi="宋体" w:cs="宋体"/>
          <w:szCs w:val="21"/>
        </w:rPr>
        <w:t>代理人无转委托权，特此委托。</w:t>
      </w:r>
    </w:p>
    <w:p>
      <w:pPr>
        <w:spacing w:line="320" w:lineRule="exact"/>
        <w:ind w:firstLine="420"/>
        <w:rPr>
          <w:rFonts w:ascii="宋体" w:hAnsi="宋体" w:cs="宋体"/>
          <w:szCs w:val="21"/>
        </w:rPr>
      </w:pPr>
    </w:p>
    <w:p>
      <w:pPr>
        <w:spacing w:line="320" w:lineRule="exact"/>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20" w:lineRule="exact"/>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1.本授权委托书要求投标人提供有代理人签字、法定代表人的签字(或盖私章）和加盖公章后的原件方为有效；提供代理人的身份证复印件。</w:t>
      </w:r>
    </w:p>
    <w:p>
      <w:pPr>
        <w:spacing w:line="320" w:lineRule="exact"/>
        <w:ind w:firstLine="630" w:firstLineChars="300"/>
        <w:rPr>
          <w:rFonts w:ascii="宋体" w:hAnsi="宋体" w:cs="宋体"/>
          <w:szCs w:val="21"/>
        </w:rPr>
      </w:pPr>
      <w:r>
        <w:rPr>
          <w:rFonts w:hint="eastAsia" w:ascii="宋体" w:hAnsi="宋体" w:cs="宋体"/>
          <w:szCs w:val="21"/>
        </w:rPr>
        <w:t>2.提供代理人的身份证复印件及投标人为代理人缴交的最近3个月社保证明（网页截图或窗口打印资料或社保部门出具的证明均可）</w:t>
      </w:r>
    </w:p>
    <w:p>
      <w:pPr>
        <w:pStyle w:val="3"/>
        <w:numPr>
          <w:ilvl w:val="2"/>
          <w:numId w:val="0"/>
        </w:numPr>
        <w:ind w:left="2310" w:leftChars="1100" w:firstLine="843" w:firstLineChars="300"/>
        <w:rPr>
          <w:rFonts w:cs="宋体"/>
          <w:kern w:val="0"/>
          <w:szCs w:val="28"/>
        </w:rPr>
      </w:pPr>
      <w:r>
        <w:rPr>
          <w:rFonts w:hint="eastAsia" w:cs="宋体"/>
          <w:kern w:val="0"/>
          <w:szCs w:val="28"/>
        </w:rPr>
        <w:t>四、投标承诺函</w:t>
      </w:r>
    </w:p>
    <w:p>
      <w:pPr>
        <w:pStyle w:val="3"/>
        <w:numPr>
          <w:numId w:val="2"/>
        </w:numPr>
        <w:spacing w:line="320" w:lineRule="exact"/>
        <w:ind w:firstLine="3584" w:firstLineChars="1700"/>
        <w:rPr>
          <w:rFonts w:cs="宋体"/>
          <w:bCs w:val="0"/>
          <w:sz w:val="21"/>
          <w:szCs w:val="21"/>
        </w:rPr>
      </w:pPr>
      <w:r>
        <w:rPr>
          <w:rFonts w:hint="eastAsia" w:cs="宋体"/>
          <w:bCs w:val="0"/>
          <w:sz w:val="21"/>
          <w:szCs w:val="21"/>
        </w:rPr>
        <w:t>投标函</w:t>
      </w:r>
    </w:p>
    <w:p>
      <w:pPr>
        <w:spacing w:line="32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深圳市第一职业技术学校 </w:t>
      </w:r>
    </w:p>
    <w:p>
      <w:pPr>
        <w:numPr>
          <w:ilvl w:val="0"/>
          <w:numId w:val="4"/>
        </w:numPr>
        <w:spacing w:after="156" w:afterLines="50" w:line="320" w:lineRule="exact"/>
        <w:ind w:firstLine="420" w:firstLineChars="200"/>
        <w:rPr>
          <w:rFonts w:ascii="宋体" w:hAnsi="宋体" w:cs="宋体"/>
          <w:szCs w:val="21"/>
        </w:rPr>
      </w:pPr>
      <w:r>
        <w:rPr>
          <w:rFonts w:hint="eastAsia" w:ascii="宋体" w:hAnsi="宋体" w:cs="宋体"/>
          <w:szCs w:val="21"/>
        </w:rPr>
        <w:t>根据已收到贵方的</w:t>
      </w:r>
      <w:r>
        <w:rPr>
          <w:rFonts w:hint="eastAsia" w:ascii="宋体" w:hAnsi="宋体" w:cs="宋体"/>
          <w:szCs w:val="21"/>
          <w:u w:val="single"/>
        </w:rPr>
        <w:t xml:space="preserve">                </w:t>
      </w:r>
      <w:r>
        <w:rPr>
          <w:rFonts w:hint="eastAsia" w:ascii="宋体" w:hAnsi="宋体" w:cs="宋体"/>
          <w:szCs w:val="21"/>
        </w:rPr>
        <w:t>的项目的招标文件，遵照《深圳经济特区政府采购条例》和《深圳网上政府采购管理暂行办法》等有关规定，我单位经研究上述招标文件的专用条款及通用条款后，我方愿以《开标一览表》中填写的投标报价并按招标文件要求承包上述项目并修补其任何缺陷。</w:t>
      </w:r>
    </w:p>
    <w:p>
      <w:pPr>
        <w:spacing w:after="156" w:afterLines="50" w:line="320" w:lineRule="exact"/>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line="320" w:lineRule="exact"/>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pPr>
        <w:spacing w:after="156" w:afterLines="50" w:line="320" w:lineRule="exact"/>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投标人：                       单位地址：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法定代表人或其委托代理人：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邮政编码：            电话：            传真：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日期：       年     月    日                                </w:t>
      </w:r>
    </w:p>
    <w:p>
      <w:pPr>
        <w:spacing w:after="156" w:afterLines="50" w:line="320" w:lineRule="exact"/>
        <w:ind w:firstLine="1476" w:firstLineChars="700"/>
        <w:rPr>
          <w:rFonts w:ascii="宋体" w:hAnsi="宋体" w:cs="宋体"/>
          <w:b/>
          <w:bCs/>
          <w:szCs w:val="21"/>
        </w:rPr>
      </w:pPr>
    </w:p>
    <w:p>
      <w:pPr>
        <w:spacing w:after="156" w:afterLines="50" w:line="320" w:lineRule="exact"/>
        <w:ind w:firstLine="1476" w:firstLineChars="700"/>
        <w:rPr>
          <w:rFonts w:ascii="宋体" w:hAnsi="宋体" w:cs="宋体"/>
          <w:b/>
          <w:bCs/>
          <w:szCs w:val="21"/>
        </w:rPr>
      </w:pPr>
    </w:p>
    <w:p>
      <w:pPr>
        <w:pStyle w:val="3"/>
        <w:numPr>
          <w:numId w:val="2"/>
        </w:numPr>
        <w:spacing w:line="320" w:lineRule="exact"/>
        <w:ind w:firstLine="2530" w:firstLineChars="1200"/>
        <w:rPr>
          <w:rFonts w:cs="宋体"/>
          <w:bCs w:val="0"/>
          <w:sz w:val="21"/>
          <w:szCs w:val="21"/>
        </w:rPr>
      </w:pPr>
      <w:r>
        <w:rPr>
          <w:rFonts w:hint="eastAsia" w:cs="宋体"/>
          <w:bCs w:val="0"/>
          <w:sz w:val="21"/>
          <w:szCs w:val="21"/>
        </w:rPr>
        <w:t>政府采购投标及履约承诺函</w:t>
      </w:r>
    </w:p>
    <w:p>
      <w:pPr>
        <w:spacing w:after="156" w:afterLines="50" w:line="320" w:lineRule="exact"/>
        <w:ind w:firstLine="420" w:firstLineChars="200"/>
        <w:rPr>
          <w:rFonts w:ascii="宋体" w:hAnsi="宋体" w:cs="宋体"/>
          <w:szCs w:val="21"/>
        </w:rPr>
      </w:pPr>
    </w:p>
    <w:p>
      <w:pPr>
        <w:spacing w:after="156" w:afterLines="50" w:line="320" w:lineRule="exact"/>
        <w:ind w:firstLine="420" w:firstLineChars="200"/>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深圳市第一职业技术学校</w:t>
      </w:r>
    </w:p>
    <w:p>
      <w:pPr>
        <w:spacing w:after="156" w:afterLines="50" w:line="320" w:lineRule="exact"/>
        <w:ind w:firstLine="420" w:firstLineChars="200"/>
        <w:rPr>
          <w:rFonts w:ascii="宋体" w:hAnsi="宋体" w:cs="宋体"/>
          <w:szCs w:val="21"/>
        </w:rPr>
      </w:pPr>
      <w:r>
        <w:rPr>
          <w:rFonts w:hint="eastAsia" w:ascii="宋体" w:hAnsi="宋体" w:cs="宋体"/>
          <w:szCs w:val="21"/>
        </w:rPr>
        <w:t>我单位承诺：</w:t>
      </w:r>
    </w:p>
    <w:p>
      <w:pPr>
        <w:spacing w:after="156" w:afterLines="50" w:line="320" w:lineRule="exact"/>
        <w:ind w:firstLine="420" w:firstLineChars="200"/>
        <w:rPr>
          <w:rFonts w:ascii="宋体" w:hAnsi="宋体" w:cs="宋体"/>
          <w:szCs w:val="21"/>
        </w:rPr>
      </w:pPr>
      <w:r>
        <w:rPr>
          <w:rFonts w:hint="eastAsia" w:ascii="宋体" w:hAnsi="宋体" w:cs="宋体"/>
          <w:szCs w:val="21"/>
        </w:rPr>
        <w:t>1.我单位参与本项目投标前三年内，在经营活动中没有重大违法记录。</w:t>
      </w:r>
    </w:p>
    <w:p>
      <w:pPr>
        <w:spacing w:after="156" w:afterLines="50" w:line="320" w:lineRule="exact"/>
        <w:ind w:firstLine="420" w:firstLineChars="200"/>
        <w:rPr>
          <w:rFonts w:ascii="宋体" w:hAnsi="宋体" w:cs="宋体"/>
          <w:szCs w:val="21"/>
        </w:rPr>
      </w:pPr>
      <w:r>
        <w:rPr>
          <w:rFonts w:hint="eastAsia" w:ascii="宋体" w:hAnsi="宋体" w:cs="宋体"/>
          <w:szCs w:val="21"/>
        </w:rPr>
        <w:t>2.我单位参与本项目政府采购活动时不存在被有关部门禁止参与政府采购活动且在有效期内的情况。</w:t>
      </w:r>
    </w:p>
    <w:p>
      <w:pPr>
        <w:spacing w:after="156" w:afterLines="50" w:line="320" w:lineRule="exact"/>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pPr>
        <w:spacing w:after="156" w:afterLines="50" w:line="320" w:lineRule="exact"/>
        <w:ind w:firstLine="420" w:firstLineChars="200"/>
        <w:rPr>
          <w:rFonts w:ascii="宋体" w:hAnsi="宋体" w:cs="宋体"/>
          <w:szCs w:val="21"/>
        </w:rPr>
      </w:pPr>
      <w:r>
        <w:rPr>
          <w:rFonts w:hint="eastAsia" w:ascii="宋体" w:hAnsi="宋体" w:cs="宋体"/>
          <w:szCs w:val="21"/>
        </w:rPr>
        <w:t>4.我单位未被列入失信被执行人、重大税收违法案件当事人名单、政府采购严重违法失信行为记录名单。</w:t>
      </w:r>
    </w:p>
    <w:p>
      <w:pPr>
        <w:spacing w:after="156" w:afterLines="50" w:line="320" w:lineRule="exact"/>
        <w:ind w:firstLine="420" w:firstLineChars="200"/>
        <w:rPr>
          <w:rFonts w:ascii="宋体" w:hAnsi="宋体" w:cs="宋体"/>
          <w:szCs w:val="21"/>
        </w:rPr>
      </w:pPr>
      <w:r>
        <w:rPr>
          <w:rFonts w:hint="eastAsia" w:ascii="宋体" w:hAnsi="宋体" w:cs="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line="320" w:lineRule="exact"/>
        <w:ind w:firstLine="420" w:firstLineChars="200"/>
        <w:rPr>
          <w:rFonts w:ascii="宋体" w:hAnsi="宋体" w:cs="宋体"/>
          <w:szCs w:val="21"/>
        </w:rPr>
      </w:pPr>
      <w:r>
        <w:rPr>
          <w:rFonts w:hint="eastAsia" w:ascii="宋体" w:hAnsi="宋体" w:cs="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line="320" w:lineRule="exact"/>
        <w:ind w:firstLine="420" w:firstLineChars="200"/>
        <w:rPr>
          <w:rFonts w:ascii="宋体" w:hAnsi="宋体" w:cs="宋体"/>
          <w:szCs w:val="21"/>
        </w:rPr>
      </w:pPr>
      <w:r>
        <w:rPr>
          <w:rFonts w:hint="eastAsia" w:ascii="宋体" w:hAnsi="宋体" w:cs="宋体"/>
          <w:szCs w:val="21"/>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line="320" w:lineRule="exact"/>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line="320" w:lineRule="exact"/>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pPr>
        <w:spacing w:after="156" w:afterLines="50" w:line="320" w:lineRule="exact"/>
        <w:ind w:firstLine="420" w:firstLineChars="200"/>
        <w:rPr>
          <w:rFonts w:ascii="宋体" w:hAnsi="宋体" w:cs="宋体"/>
          <w:szCs w:val="21"/>
        </w:rPr>
      </w:pPr>
      <w:r>
        <w:rPr>
          <w:rFonts w:hint="eastAsia" w:ascii="宋体" w:hAnsi="宋体" w:cs="宋体"/>
          <w:szCs w:val="21"/>
        </w:rPr>
        <w:t>10.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line="320" w:lineRule="exact"/>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pPr>
        <w:spacing w:after="156" w:afterLines="50" w:line="320" w:lineRule="exact"/>
        <w:ind w:firstLine="420" w:firstLineChars="200"/>
        <w:rPr>
          <w:rFonts w:ascii="宋体" w:hAnsi="宋体" w:cs="宋体"/>
          <w:szCs w:val="21"/>
        </w:rPr>
      </w:pP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                                           投标人：</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                                         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p>
    <w:p>
      <w:pPr>
        <w:spacing w:after="156" w:afterLines="50" w:line="320" w:lineRule="exact"/>
        <w:ind w:firstLine="420" w:firstLineChars="200"/>
        <w:rPr>
          <w:rFonts w:ascii="宋体" w:hAnsi="宋体" w:cs="宋体"/>
          <w:szCs w:val="21"/>
        </w:rPr>
      </w:pPr>
    </w:p>
    <w:p>
      <w:pPr>
        <w:pStyle w:val="3"/>
        <w:numPr>
          <w:ilvl w:val="2"/>
          <w:numId w:val="0"/>
        </w:numPr>
        <w:ind w:left="2310" w:leftChars="1100" w:firstLine="562" w:firstLineChars="200"/>
        <w:rPr>
          <w:rFonts w:cs="宋体"/>
          <w:kern w:val="0"/>
          <w:szCs w:val="28"/>
        </w:rPr>
      </w:pPr>
      <w:r>
        <w:rPr>
          <w:rFonts w:hint="eastAsia" w:cs="宋体"/>
          <w:kern w:val="0"/>
          <w:szCs w:val="28"/>
        </w:rPr>
        <w:t>五、投标人情况介绍</w:t>
      </w:r>
    </w:p>
    <w:p>
      <w:pPr>
        <w:spacing w:line="320" w:lineRule="exact"/>
        <w:outlineLvl w:val="3"/>
        <w:rPr>
          <w:rFonts w:ascii="宋体" w:hAnsi="宋体" w:cs="宋体"/>
          <w:b/>
          <w:szCs w:val="21"/>
        </w:rPr>
      </w:pPr>
      <w:r>
        <w:rPr>
          <w:rFonts w:hint="eastAsia" w:ascii="宋体" w:hAnsi="宋体" w:cs="宋体"/>
          <w:b/>
          <w:szCs w:val="21"/>
        </w:rPr>
        <w:t>(一）投标人资格要求的证明文件</w:t>
      </w:r>
    </w:p>
    <w:p>
      <w:pPr>
        <w:spacing w:after="156" w:afterLines="50" w:line="320" w:lineRule="exact"/>
        <w:ind w:firstLine="420" w:firstLineChars="200"/>
        <w:rPr>
          <w:rFonts w:ascii="宋体" w:hAnsi="宋体" w:cs="宋体"/>
          <w:szCs w:val="21"/>
        </w:rPr>
      </w:pPr>
      <w:r>
        <w:rPr>
          <w:rFonts w:hint="eastAsia" w:ascii="宋体" w:hAnsi="宋体" w:cs="宋体"/>
          <w:szCs w:val="21"/>
        </w:rPr>
        <w:t>(1）营业执照(或单位法人登记证等）复印件；</w:t>
      </w:r>
    </w:p>
    <w:p>
      <w:pPr>
        <w:spacing w:after="156" w:afterLines="50" w:line="320" w:lineRule="exact"/>
        <w:ind w:firstLine="420" w:firstLineChars="200"/>
        <w:rPr>
          <w:rFonts w:ascii="宋体" w:hAnsi="宋体" w:cs="宋体"/>
          <w:szCs w:val="21"/>
        </w:rPr>
      </w:pPr>
      <w:r>
        <w:rPr>
          <w:rFonts w:hint="eastAsia" w:ascii="宋体" w:hAnsi="宋体" w:cs="宋体"/>
          <w:szCs w:val="21"/>
        </w:rPr>
        <w:t>(2）具有相关经营范围并合法经营的证明文件</w:t>
      </w:r>
    </w:p>
    <w:p>
      <w:pPr>
        <w:spacing w:line="320" w:lineRule="exact"/>
        <w:outlineLvl w:val="3"/>
        <w:rPr>
          <w:rFonts w:ascii="宋体" w:hAnsi="宋体" w:cs="宋体"/>
          <w:b/>
          <w:szCs w:val="21"/>
        </w:rPr>
      </w:pPr>
      <w:r>
        <w:rPr>
          <w:rFonts w:hint="eastAsia" w:ascii="宋体" w:hAnsi="宋体" w:cs="宋体"/>
          <w:b/>
          <w:szCs w:val="21"/>
        </w:rPr>
        <w:t>(二）投标人认为需提供的其他证明文件</w:t>
      </w:r>
    </w:p>
    <w:p>
      <w:pPr>
        <w:spacing w:line="320" w:lineRule="exact"/>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提供招标公告和评标信息中关于投标人的其他相关证明文件(如评标信息中涉及的各种证件(身份证除外）、项目发票等，未涉及的可以不提供）</w:t>
      </w:r>
    </w:p>
    <w:p>
      <w:pPr>
        <w:pStyle w:val="3"/>
        <w:numPr>
          <w:ilvl w:val="2"/>
          <w:numId w:val="0"/>
        </w:numPr>
        <w:ind w:left="2310" w:leftChars="1100" w:firstLine="562" w:firstLineChars="200"/>
        <w:rPr>
          <w:rFonts w:cs="宋体"/>
          <w:kern w:val="0"/>
          <w:szCs w:val="28"/>
        </w:rPr>
      </w:pPr>
      <w:r>
        <w:rPr>
          <w:rFonts w:hint="eastAsia" w:cs="宋体"/>
          <w:kern w:val="0"/>
          <w:szCs w:val="28"/>
        </w:rPr>
        <w:t>六、分项报价清单表</w:t>
      </w:r>
    </w:p>
    <w:p>
      <w:pPr>
        <w:pStyle w:val="3"/>
        <w:numPr>
          <w:ilvl w:val="2"/>
          <w:numId w:val="0"/>
        </w:numPr>
      </w:pPr>
      <w:r>
        <w:rPr>
          <w:rFonts w:hint="eastAsia"/>
        </w:rPr>
        <w:t>项目报价表</w:t>
      </w:r>
    </w:p>
    <w:p>
      <w:pPr>
        <w:spacing w:line="320" w:lineRule="exact"/>
        <w:rPr>
          <w:rFonts w:ascii="宋体" w:hAnsi="宋体" w:cs="宋体"/>
          <w:b/>
          <w:szCs w:val="21"/>
        </w:rPr>
      </w:pPr>
    </w:p>
    <w:tbl>
      <w:tblPr>
        <w:tblStyle w:val="22"/>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520"/>
        <w:gridCol w:w="722"/>
        <w:gridCol w:w="900"/>
        <w:gridCol w:w="90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spacing w:line="320" w:lineRule="exact"/>
              <w:jc w:val="center"/>
              <w:rPr>
                <w:rFonts w:ascii="宋体" w:hAnsi="宋体" w:cs="宋体"/>
                <w:szCs w:val="21"/>
              </w:rPr>
            </w:pPr>
            <w:r>
              <w:rPr>
                <w:rFonts w:hint="eastAsia" w:ascii="宋体" w:hAnsi="宋体" w:cs="宋体"/>
                <w:szCs w:val="21"/>
              </w:rPr>
              <w:t>序号</w:t>
            </w:r>
          </w:p>
        </w:tc>
        <w:tc>
          <w:tcPr>
            <w:tcW w:w="2520" w:type="dxa"/>
            <w:vAlign w:val="center"/>
          </w:tcPr>
          <w:p>
            <w:pPr>
              <w:spacing w:line="320" w:lineRule="exact"/>
              <w:jc w:val="center"/>
              <w:rPr>
                <w:rFonts w:ascii="宋体" w:hAnsi="宋体" w:cs="宋体"/>
                <w:szCs w:val="21"/>
              </w:rPr>
            </w:pPr>
            <w:r>
              <w:rPr>
                <w:rFonts w:hint="eastAsia" w:ascii="宋体" w:hAnsi="宋体" w:cs="宋体"/>
                <w:szCs w:val="21"/>
              </w:rPr>
              <w:t>货物名称</w:t>
            </w:r>
          </w:p>
        </w:tc>
        <w:tc>
          <w:tcPr>
            <w:tcW w:w="722" w:type="dxa"/>
            <w:vAlign w:val="center"/>
          </w:tcPr>
          <w:p>
            <w:pPr>
              <w:spacing w:line="320" w:lineRule="exact"/>
              <w:jc w:val="center"/>
              <w:rPr>
                <w:rFonts w:ascii="宋体" w:hAnsi="宋体" w:cs="宋体"/>
                <w:szCs w:val="21"/>
              </w:rPr>
            </w:pPr>
            <w:r>
              <w:rPr>
                <w:rFonts w:hint="eastAsia" w:ascii="宋体" w:hAnsi="宋体" w:cs="宋体"/>
                <w:szCs w:val="21"/>
              </w:rPr>
              <w:t>数量</w:t>
            </w:r>
          </w:p>
        </w:tc>
        <w:tc>
          <w:tcPr>
            <w:tcW w:w="900" w:type="dxa"/>
            <w:vAlign w:val="center"/>
          </w:tcPr>
          <w:p>
            <w:pPr>
              <w:spacing w:line="320" w:lineRule="exact"/>
              <w:jc w:val="center"/>
              <w:rPr>
                <w:rFonts w:ascii="宋体" w:hAnsi="宋体" w:cs="宋体"/>
                <w:szCs w:val="21"/>
              </w:rPr>
            </w:pPr>
            <w:r>
              <w:rPr>
                <w:rFonts w:hint="eastAsia" w:ascii="宋体" w:hAnsi="宋体" w:cs="宋体"/>
                <w:szCs w:val="21"/>
              </w:rPr>
              <w:t>单价(元)</w:t>
            </w:r>
          </w:p>
        </w:tc>
        <w:tc>
          <w:tcPr>
            <w:tcW w:w="900" w:type="dxa"/>
            <w:vAlign w:val="center"/>
          </w:tcPr>
          <w:p>
            <w:pPr>
              <w:spacing w:line="320" w:lineRule="exact"/>
              <w:jc w:val="center"/>
              <w:rPr>
                <w:rFonts w:ascii="宋体" w:hAnsi="宋体" w:cs="宋体"/>
                <w:szCs w:val="21"/>
              </w:rPr>
            </w:pPr>
            <w:r>
              <w:rPr>
                <w:rFonts w:hint="eastAsia" w:ascii="宋体" w:hAnsi="宋体" w:cs="宋体"/>
                <w:szCs w:val="21"/>
              </w:rPr>
              <w:t>合价(元)</w:t>
            </w:r>
          </w:p>
        </w:tc>
        <w:tc>
          <w:tcPr>
            <w:tcW w:w="1621" w:type="dxa"/>
            <w:vAlign w:val="center"/>
          </w:tcPr>
          <w:p>
            <w:pPr>
              <w:spacing w:line="320" w:lineRule="exact"/>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bl>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spacing w:line="320" w:lineRule="exact"/>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注：</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1.所有价格应按“招标文件”中规定的货币单位填写；</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2.投标总价应为以上各分项价格之和；</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3.本表格式不得修改；</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4.单价、合价为包干价，即三者均应包含项目的价款、出版费、视频拍摄、咨询、服务、税费、验收合格交付使用之前等其他各项有关费用。</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5.项目报价表中单个采购预算条目报价均不得超过对应的财政预算限额，否则将导致废标。</w:t>
      </w:r>
    </w:p>
    <w:p>
      <w:pPr>
        <w:pStyle w:val="3"/>
        <w:numPr>
          <w:ilvl w:val="2"/>
          <w:numId w:val="0"/>
        </w:numPr>
        <w:ind w:left="400"/>
        <w:jc w:val="center"/>
        <w:rPr>
          <w:rFonts w:cs="宋体"/>
          <w:kern w:val="0"/>
          <w:szCs w:val="28"/>
        </w:rPr>
      </w:pPr>
    </w:p>
    <w:p>
      <w:pPr>
        <w:pStyle w:val="3"/>
        <w:numPr>
          <w:ilvl w:val="2"/>
          <w:numId w:val="0"/>
        </w:numPr>
        <w:ind w:left="400"/>
        <w:jc w:val="center"/>
        <w:rPr>
          <w:rFonts w:cs="宋体"/>
          <w:kern w:val="0"/>
          <w:szCs w:val="28"/>
        </w:rPr>
      </w:pPr>
      <w:r>
        <w:rPr>
          <w:rFonts w:hint="eastAsia" w:cs="宋体"/>
          <w:kern w:val="0"/>
          <w:szCs w:val="28"/>
        </w:rPr>
        <w:t>七、技术规格偏离表</w:t>
      </w:r>
    </w:p>
    <w:p>
      <w:pPr>
        <w:spacing w:line="320" w:lineRule="exact"/>
        <w:rPr>
          <w:rFonts w:ascii="宋体" w:hAnsi="宋体" w:cs="宋体"/>
          <w:szCs w:val="21"/>
        </w:rPr>
      </w:pPr>
    </w:p>
    <w:p>
      <w:pPr>
        <w:spacing w:line="320" w:lineRule="exac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13"/>
        <w:spacing w:line="320" w:lineRule="exact"/>
        <w:rPr>
          <w:rFonts w:ascii="宋体" w:hAnsi="宋体" w:cs="宋体"/>
          <w:sz w:val="21"/>
          <w:szCs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r>
              <w:rPr>
                <w:rFonts w:hint="eastAsia" w:ascii="宋体" w:hAnsi="宋体" w:cs="宋体"/>
                <w:szCs w:val="21"/>
              </w:rPr>
              <w:t>序号</w:t>
            </w:r>
          </w:p>
        </w:tc>
        <w:tc>
          <w:tcPr>
            <w:tcW w:w="1356" w:type="dxa"/>
          </w:tcPr>
          <w:p>
            <w:pPr>
              <w:spacing w:line="320" w:lineRule="exact"/>
              <w:rPr>
                <w:rFonts w:ascii="宋体" w:hAnsi="宋体" w:cs="宋体"/>
                <w:szCs w:val="21"/>
              </w:rPr>
            </w:pPr>
            <w:r>
              <w:rPr>
                <w:rFonts w:hint="eastAsia" w:ascii="宋体" w:hAnsi="宋体" w:cs="宋体"/>
                <w:szCs w:val="21"/>
              </w:rPr>
              <w:t>货物名称</w:t>
            </w:r>
          </w:p>
        </w:tc>
        <w:tc>
          <w:tcPr>
            <w:tcW w:w="1356" w:type="dxa"/>
          </w:tcPr>
          <w:p>
            <w:pPr>
              <w:spacing w:line="320" w:lineRule="exact"/>
              <w:rPr>
                <w:rFonts w:ascii="宋体" w:hAnsi="宋体" w:cs="宋体"/>
                <w:szCs w:val="21"/>
              </w:rPr>
            </w:pPr>
            <w:r>
              <w:rPr>
                <w:rFonts w:hint="eastAsia" w:ascii="宋体" w:hAnsi="宋体" w:cs="宋体"/>
                <w:szCs w:val="21"/>
              </w:rPr>
              <w:t>招标技术要求</w:t>
            </w:r>
          </w:p>
        </w:tc>
        <w:tc>
          <w:tcPr>
            <w:tcW w:w="1356" w:type="dxa"/>
          </w:tcPr>
          <w:p>
            <w:pPr>
              <w:spacing w:line="320" w:lineRule="exact"/>
              <w:rPr>
                <w:rFonts w:ascii="宋体" w:hAnsi="宋体" w:cs="宋体"/>
                <w:szCs w:val="21"/>
              </w:rPr>
            </w:pPr>
            <w:r>
              <w:rPr>
                <w:rFonts w:hint="eastAsia" w:ascii="宋体" w:hAnsi="宋体" w:cs="宋体"/>
                <w:szCs w:val="21"/>
              </w:rPr>
              <w:t>投标技术响应</w:t>
            </w:r>
          </w:p>
        </w:tc>
        <w:tc>
          <w:tcPr>
            <w:tcW w:w="1484" w:type="dxa"/>
          </w:tcPr>
          <w:p>
            <w:pPr>
              <w:spacing w:line="320" w:lineRule="exact"/>
              <w:rPr>
                <w:rFonts w:ascii="宋体" w:hAnsi="宋体" w:cs="宋体"/>
                <w:szCs w:val="21"/>
              </w:rPr>
            </w:pPr>
            <w:r>
              <w:rPr>
                <w:rFonts w:hint="eastAsia" w:ascii="宋体" w:hAnsi="宋体" w:cs="宋体"/>
                <w:szCs w:val="21"/>
              </w:rPr>
              <w:t>偏离情况</w:t>
            </w:r>
          </w:p>
        </w:tc>
        <w:tc>
          <w:tcPr>
            <w:tcW w:w="1530" w:type="dxa"/>
          </w:tcPr>
          <w:p>
            <w:pPr>
              <w:spacing w:line="320" w:lineRule="exact"/>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bl>
    <w:p>
      <w:pPr>
        <w:spacing w:line="320" w:lineRule="exact"/>
        <w:rPr>
          <w:rFonts w:ascii="宋体" w:hAnsi="宋体" w:cs="宋体"/>
          <w:szCs w:val="21"/>
        </w:rPr>
      </w:pPr>
      <w:r>
        <w:rPr>
          <w:rFonts w:hint="eastAsia" w:ascii="宋体" w:hAnsi="宋体" w:cs="宋体"/>
          <w:szCs w:val="21"/>
        </w:rPr>
        <w:t>备注：</w:t>
      </w:r>
    </w:p>
    <w:p>
      <w:pPr>
        <w:spacing w:line="320" w:lineRule="exact"/>
        <w:rPr>
          <w:rFonts w:ascii="宋体" w:hAnsi="宋体" w:cs="宋体"/>
          <w:szCs w:val="21"/>
        </w:rPr>
      </w:pPr>
      <w:r>
        <w:rPr>
          <w:rFonts w:hint="eastAsia" w:ascii="宋体" w:hAnsi="宋体" w:cs="宋体"/>
          <w:szCs w:val="21"/>
        </w:rPr>
        <w:t>1、“招标技术要求”一栏应填写招标文件第二章“三、具体采购要求”的内容；</w:t>
      </w:r>
    </w:p>
    <w:p>
      <w:pPr>
        <w:spacing w:line="320" w:lineRule="exact"/>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spacing w:line="320" w:lineRule="exact"/>
        <w:rPr>
          <w:rFonts w:ascii="宋体" w:hAnsi="宋体" w:cs="宋体"/>
          <w:szCs w:val="21"/>
        </w:rPr>
      </w:pPr>
      <w:r>
        <w:rPr>
          <w:rFonts w:hint="eastAsia" w:ascii="宋体" w:hAnsi="宋体" w:cs="宋体"/>
          <w:szCs w:val="21"/>
        </w:rPr>
        <w:t>3、“偏离情况”一栏应如实填写“正偏离”、“负偏离”或“无偏离”。</w:t>
      </w:r>
    </w:p>
    <w:p>
      <w:pPr>
        <w:spacing w:line="320" w:lineRule="exact"/>
        <w:rPr>
          <w:rFonts w:ascii="宋体" w:hAnsi="宋体" w:cs="宋体"/>
          <w:szCs w:val="21"/>
        </w:rPr>
      </w:pPr>
      <w:r>
        <w:rPr>
          <w:rFonts w:hint="eastAsia" w:ascii="宋体" w:hAnsi="宋体" w:cs="宋体"/>
          <w:szCs w:val="21"/>
        </w:rPr>
        <w:t>4、投标产品的技术参数应尽可能提供相应的证明资料，以证明投标人响应的真实性。</w:t>
      </w:r>
    </w:p>
    <w:p>
      <w:pPr>
        <w:pStyle w:val="3"/>
        <w:numPr>
          <w:ilvl w:val="2"/>
          <w:numId w:val="0"/>
        </w:numPr>
        <w:ind w:left="400"/>
        <w:jc w:val="center"/>
        <w:rPr>
          <w:rFonts w:cs="宋体"/>
          <w:kern w:val="0"/>
          <w:szCs w:val="28"/>
        </w:rPr>
      </w:pPr>
      <w:r>
        <w:rPr>
          <w:rFonts w:hint="eastAsia" w:cs="宋体"/>
          <w:kern w:val="0"/>
          <w:szCs w:val="28"/>
        </w:rPr>
        <w:t>八、商务需求偏离表</w:t>
      </w:r>
    </w:p>
    <w:p>
      <w:pPr>
        <w:spacing w:line="320" w:lineRule="exact"/>
        <w:rPr>
          <w:rFonts w:ascii="宋体" w:hAnsi="宋体" w:cs="宋体"/>
          <w:b/>
          <w:szCs w:val="21"/>
        </w:rPr>
      </w:pPr>
    </w:p>
    <w:p>
      <w:pPr>
        <w:spacing w:line="320" w:lineRule="exac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spacing w:line="320" w:lineRule="exact"/>
        <w:rPr>
          <w:rFonts w:ascii="宋体" w:hAnsi="宋体" w:cs="宋体"/>
          <w:szCs w:val="21"/>
        </w:rPr>
      </w:pPr>
    </w:p>
    <w:tbl>
      <w:tblPr>
        <w:tblStyle w:val="2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10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目录</w:t>
            </w:r>
          </w:p>
        </w:tc>
        <w:tc>
          <w:tcPr>
            <w:tcW w:w="19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招标商务条款</w:t>
            </w:r>
          </w:p>
        </w:tc>
        <w:tc>
          <w:tcPr>
            <w:tcW w:w="19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响应商务条款</w:t>
            </w:r>
          </w:p>
        </w:tc>
        <w:tc>
          <w:tcPr>
            <w:tcW w:w="144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偏离情况</w:t>
            </w:r>
          </w:p>
        </w:tc>
        <w:tc>
          <w:tcPr>
            <w:tcW w:w="1164"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1</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2</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bl>
    <w:p>
      <w:pPr>
        <w:spacing w:line="320" w:lineRule="exact"/>
        <w:rPr>
          <w:rFonts w:ascii="宋体" w:hAnsi="宋体" w:cs="宋体"/>
          <w:szCs w:val="21"/>
        </w:rPr>
      </w:pPr>
      <w:r>
        <w:rPr>
          <w:rFonts w:hint="eastAsia" w:ascii="宋体" w:hAnsi="宋体" w:cs="宋体"/>
          <w:szCs w:val="21"/>
        </w:rPr>
        <w:t>备注：</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1.“商务需求”一栏必须填写采购文件第二章“商务需求”的内容分别对应的内容进行填写。</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2.“投标商务条款”一栏必须详细填写投标商务条款的内容。</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3.“偏离情况”栏中应如实填写“正偏离”、“负偏离”或“无偏离”。</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3.交货期条款为不可负偏离条款，投标文件响应为“负偏离”的，投标文件将按废标处理。</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4.开标一览表中填写的“工期”必须与本表填写的“工期”一致。如填写不一致，以开标一览表填写的“交货期”为准。</w:t>
      </w:r>
    </w:p>
    <w:p>
      <w:pPr>
        <w:widowControl/>
        <w:shd w:val="clear" w:color="auto" w:fill="FFFFFF"/>
        <w:spacing w:line="320" w:lineRule="exact"/>
        <w:jc w:val="left"/>
        <w:rPr>
          <w:rFonts w:ascii="宋体" w:hAnsi="宋体" w:cs="宋体"/>
          <w:kern w:val="0"/>
          <w:szCs w:val="21"/>
          <w:shd w:val="clear" w:color="auto" w:fill="FFFFFF"/>
        </w:rPr>
      </w:pPr>
    </w:p>
    <w:p>
      <w:pPr>
        <w:widowControl/>
        <w:shd w:val="clear" w:color="auto" w:fill="FFFFFF"/>
        <w:spacing w:line="320" w:lineRule="exact"/>
        <w:jc w:val="left"/>
        <w:rPr>
          <w:rFonts w:ascii="宋体" w:hAnsi="宋体" w:cs="宋体"/>
          <w:kern w:val="0"/>
          <w:szCs w:val="21"/>
          <w:shd w:val="clear" w:color="auto" w:fill="FFFFFF"/>
        </w:rPr>
      </w:pPr>
    </w:p>
    <w:p>
      <w:pPr>
        <w:pStyle w:val="3"/>
        <w:numPr>
          <w:ilvl w:val="2"/>
          <w:numId w:val="0"/>
        </w:numPr>
        <w:ind w:left="400"/>
        <w:jc w:val="center"/>
        <w:rPr>
          <w:rFonts w:cs="宋体"/>
          <w:kern w:val="0"/>
          <w:szCs w:val="28"/>
        </w:rPr>
      </w:pPr>
      <w:r>
        <w:rPr>
          <w:rFonts w:hint="eastAsia" w:cs="宋体"/>
          <w:kern w:val="0"/>
          <w:szCs w:val="28"/>
        </w:rPr>
        <w:t>九、技术保障措施</w:t>
      </w:r>
    </w:p>
    <w:p>
      <w:pPr>
        <w:rPr>
          <w:rFonts w:ascii="宋体" w:hAnsi="宋体" w:cs="宋体"/>
        </w:rPr>
      </w:pPr>
      <w:r>
        <w:rPr>
          <w:rFonts w:hint="eastAsia" w:ascii="宋体" w:hAnsi="宋体" w:cs="宋体"/>
        </w:rPr>
        <w:t>格式自拟；</w:t>
      </w:r>
    </w:p>
    <w:p>
      <w:pPr>
        <w:rPr>
          <w:rFonts w:ascii="宋体" w:hAnsi="宋体" w:cs="宋体"/>
        </w:rPr>
      </w:pPr>
    </w:p>
    <w:p>
      <w:pPr>
        <w:rPr>
          <w:rFonts w:ascii="宋体" w:hAnsi="宋体" w:cs="宋体"/>
        </w:rPr>
      </w:pPr>
    </w:p>
    <w:p>
      <w:pPr>
        <w:pStyle w:val="3"/>
        <w:numPr>
          <w:ilvl w:val="2"/>
          <w:numId w:val="0"/>
        </w:numPr>
        <w:ind w:left="400"/>
        <w:jc w:val="center"/>
        <w:rPr>
          <w:rFonts w:cs="宋体"/>
          <w:kern w:val="0"/>
          <w:szCs w:val="28"/>
        </w:rPr>
      </w:pPr>
      <w:r>
        <w:rPr>
          <w:rFonts w:hint="eastAsia" w:cs="宋体"/>
          <w:kern w:val="0"/>
          <w:szCs w:val="28"/>
        </w:rPr>
        <w:t>十、项目实施方案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cs="宋体"/>
          <w:szCs w:val="21"/>
        </w:rPr>
      </w:pPr>
      <w:r>
        <w:rPr>
          <w:rFonts w:hint="eastAsia" w:ascii="宋体" w:hAnsi="宋体" w:cs="宋体"/>
          <w:szCs w:val="21"/>
        </w:rPr>
        <w:t>（1）供货方案；</w:t>
      </w:r>
    </w:p>
    <w:p>
      <w:pPr>
        <w:spacing w:line="360" w:lineRule="auto"/>
        <w:jc w:val="left"/>
        <w:rPr>
          <w:rFonts w:ascii="宋体" w:hAnsi="宋体" w:cs="宋体"/>
          <w:szCs w:val="21"/>
        </w:rPr>
      </w:pPr>
      <w:r>
        <w:rPr>
          <w:rFonts w:hint="eastAsia" w:ascii="宋体" w:hAnsi="宋体" w:cs="宋体"/>
          <w:szCs w:val="21"/>
        </w:rPr>
        <w:t>（2）施工方案；</w:t>
      </w:r>
    </w:p>
    <w:p>
      <w:pPr>
        <w:spacing w:line="360" w:lineRule="auto"/>
        <w:jc w:val="left"/>
        <w:rPr>
          <w:rFonts w:ascii="宋体" w:hAnsi="宋体" w:cs="宋体"/>
          <w:szCs w:val="21"/>
        </w:rPr>
      </w:pPr>
      <w:r>
        <w:rPr>
          <w:rFonts w:hint="eastAsia" w:ascii="宋体" w:hAnsi="宋体" w:cs="宋体"/>
          <w:szCs w:val="21"/>
        </w:rPr>
        <w:t>（3）质量保障措施。</w:t>
      </w:r>
    </w:p>
    <w:p>
      <w:pPr>
        <w:rPr>
          <w:rFonts w:ascii="宋体" w:hAnsi="宋体" w:cs="宋体"/>
          <w:b/>
          <w:bCs/>
          <w:szCs w:val="21"/>
        </w:rPr>
      </w:pPr>
      <w:r>
        <w:rPr>
          <w:rFonts w:hint="eastAsia" w:ascii="宋体" w:hAnsi="宋体" w:cs="宋体"/>
          <w:b/>
          <w:bCs/>
          <w:szCs w:val="21"/>
        </w:rPr>
        <w:t>（备注：该部分须与“技术保障措施”、“商务需求”等部分承诺的内容相呼应，不得前后矛盾。）</w:t>
      </w:r>
    </w:p>
    <w:p>
      <w:pPr>
        <w:rPr>
          <w:rFonts w:ascii="宋体" w:hAnsi="宋体" w:cs="宋体"/>
          <w:b/>
          <w:bCs/>
          <w:sz w:val="24"/>
        </w:rPr>
      </w:pPr>
    </w:p>
    <w:p>
      <w:pPr>
        <w:pStyle w:val="3"/>
        <w:numPr>
          <w:ilvl w:val="2"/>
          <w:numId w:val="0"/>
        </w:numPr>
        <w:ind w:left="400"/>
        <w:jc w:val="center"/>
        <w:rPr>
          <w:rFonts w:cs="宋体"/>
          <w:kern w:val="0"/>
          <w:szCs w:val="28"/>
        </w:rPr>
      </w:pPr>
      <w:r>
        <w:rPr>
          <w:rFonts w:hint="eastAsia" w:cs="宋体"/>
          <w:kern w:val="0"/>
          <w:szCs w:val="28"/>
        </w:rPr>
        <w:t>十一、售后服务方案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widowControl/>
        <w:jc w:val="left"/>
        <w:rPr>
          <w:rFonts w:ascii="宋体" w:hAnsi="宋体" w:cs="宋体"/>
          <w:kern w:val="0"/>
          <w:szCs w:val="21"/>
          <w:shd w:val="clear" w:color="auto" w:fill="FFFFFF"/>
        </w:rPr>
      </w:pPr>
      <w:r>
        <w:rPr>
          <w:rFonts w:hint="eastAsia" w:ascii="宋体" w:hAnsi="宋体" w:cs="宋体"/>
          <w:b/>
          <w:szCs w:val="21"/>
        </w:rPr>
        <w:t>（备注：该部分须与“商务需求”承诺的内容相呼应，不得前后矛盾。）</w:t>
      </w: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4254F"/>
    <w:multiLevelType w:val="multilevel"/>
    <w:tmpl w:val="B604254F"/>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5"/>
      <w:suff w:val="nothing"/>
      <w:lvlText w:val="（%2）"/>
      <w:lvlJc w:val="left"/>
      <w:pPr>
        <w:ind w:left="0" w:firstLine="0"/>
      </w:pPr>
      <w:rPr>
        <w:rFonts w:hint="eastAsia" w:ascii="宋体" w:hAnsi="宋体" w:eastAsia="宋体" w:cs="宋体"/>
      </w:rPr>
    </w:lvl>
    <w:lvl w:ilvl="2" w:tentative="0">
      <w:start w:val="1"/>
      <w:numFmt w:val="decimal"/>
      <w:pStyle w:val="3"/>
      <w:suff w:val="nothing"/>
      <w:lvlText w:val="%3．"/>
      <w:lvlJc w:val="left"/>
      <w:pPr>
        <w:ind w:left="0" w:firstLine="400"/>
      </w:pPr>
      <w:rPr>
        <w:rFonts w:hint="eastAsia" w:ascii="宋体" w:hAnsi="宋体" w:eastAsia="宋体" w:cs="宋体"/>
      </w:rPr>
    </w:lvl>
    <w:lvl w:ilvl="3" w:tentative="0">
      <w:start w:val="1"/>
      <w:numFmt w:val="decimal"/>
      <w:pStyle w:val="4"/>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D91DB133"/>
    <w:multiLevelType w:val="singleLevel"/>
    <w:tmpl w:val="D91DB133"/>
    <w:lvl w:ilvl="0" w:tentative="0">
      <w:start w:val="1"/>
      <w:numFmt w:val="chineseCounting"/>
      <w:suff w:val="nothing"/>
      <w:lvlText w:val="%1、"/>
      <w:lvlJc w:val="left"/>
      <w:rPr>
        <w:rFonts w:hint="eastAsia"/>
      </w:rPr>
    </w:lvl>
  </w:abstractNum>
  <w:abstractNum w:abstractNumId="2">
    <w:nsid w:val="3C85A461"/>
    <w:multiLevelType w:val="singleLevel"/>
    <w:tmpl w:val="3C85A461"/>
    <w:lvl w:ilvl="0" w:tentative="0">
      <w:start w:val="1"/>
      <w:numFmt w:val="decimal"/>
      <w:suff w:val="nothing"/>
      <w:lvlText w:val="%1、"/>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xNjBlNjgwNzYwYTE4MmQ0OGI0Mjk2ZmE4MTE3MGYifQ=="/>
  </w:docVars>
  <w:rsids>
    <w:rsidRoot w:val="00B77ED5"/>
    <w:rsid w:val="000279B2"/>
    <w:rsid w:val="000358B7"/>
    <w:rsid w:val="000415C9"/>
    <w:rsid w:val="000603D0"/>
    <w:rsid w:val="000608A0"/>
    <w:rsid w:val="00074458"/>
    <w:rsid w:val="00093189"/>
    <w:rsid w:val="000A36D0"/>
    <w:rsid w:val="000B52CA"/>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5CE8"/>
    <w:rsid w:val="001A6090"/>
    <w:rsid w:val="001E551F"/>
    <w:rsid w:val="001F0E42"/>
    <w:rsid w:val="0020698C"/>
    <w:rsid w:val="0020708A"/>
    <w:rsid w:val="002118D5"/>
    <w:rsid w:val="00235EDE"/>
    <w:rsid w:val="00261C8B"/>
    <w:rsid w:val="0026216B"/>
    <w:rsid w:val="002661EA"/>
    <w:rsid w:val="00271299"/>
    <w:rsid w:val="00291D24"/>
    <w:rsid w:val="002B520B"/>
    <w:rsid w:val="002F2EFA"/>
    <w:rsid w:val="00302C90"/>
    <w:rsid w:val="00334D05"/>
    <w:rsid w:val="003510C2"/>
    <w:rsid w:val="0037476F"/>
    <w:rsid w:val="00374F36"/>
    <w:rsid w:val="003817CC"/>
    <w:rsid w:val="00387468"/>
    <w:rsid w:val="003976F8"/>
    <w:rsid w:val="003A0E8A"/>
    <w:rsid w:val="003B0BAC"/>
    <w:rsid w:val="003B3B15"/>
    <w:rsid w:val="003D09C5"/>
    <w:rsid w:val="003D7E5B"/>
    <w:rsid w:val="003E3EBC"/>
    <w:rsid w:val="003E606C"/>
    <w:rsid w:val="003E77B9"/>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52A3D"/>
    <w:rsid w:val="00555A48"/>
    <w:rsid w:val="00563AE7"/>
    <w:rsid w:val="00573226"/>
    <w:rsid w:val="0057344D"/>
    <w:rsid w:val="00574BF0"/>
    <w:rsid w:val="005760CD"/>
    <w:rsid w:val="005936EB"/>
    <w:rsid w:val="005B4FA9"/>
    <w:rsid w:val="005B6264"/>
    <w:rsid w:val="005B7912"/>
    <w:rsid w:val="005D1644"/>
    <w:rsid w:val="005E0457"/>
    <w:rsid w:val="005E0698"/>
    <w:rsid w:val="005E74C5"/>
    <w:rsid w:val="005F583E"/>
    <w:rsid w:val="005F7A32"/>
    <w:rsid w:val="00600398"/>
    <w:rsid w:val="00614874"/>
    <w:rsid w:val="0062431A"/>
    <w:rsid w:val="00677A93"/>
    <w:rsid w:val="0068798A"/>
    <w:rsid w:val="00690659"/>
    <w:rsid w:val="00690DB9"/>
    <w:rsid w:val="00697BD8"/>
    <w:rsid w:val="006B11A5"/>
    <w:rsid w:val="006D1DAF"/>
    <w:rsid w:val="006D22F2"/>
    <w:rsid w:val="006D6110"/>
    <w:rsid w:val="00722A9B"/>
    <w:rsid w:val="00732F9A"/>
    <w:rsid w:val="0073356C"/>
    <w:rsid w:val="00774B83"/>
    <w:rsid w:val="00794522"/>
    <w:rsid w:val="007F7898"/>
    <w:rsid w:val="007F7FD1"/>
    <w:rsid w:val="008007D6"/>
    <w:rsid w:val="00803AFB"/>
    <w:rsid w:val="008064C2"/>
    <w:rsid w:val="00822738"/>
    <w:rsid w:val="00831FDD"/>
    <w:rsid w:val="008414B9"/>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3B25"/>
    <w:rsid w:val="00991BCD"/>
    <w:rsid w:val="009C3A46"/>
    <w:rsid w:val="009C722E"/>
    <w:rsid w:val="009D0E73"/>
    <w:rsid w:val="00A27117"/>
    <w:rsid w:val="00A344AC"/>
    <w:rsid w:val="00A369A7"/>
    <w:rsid w:val="00A558E1"/>
    <w:rsid w:val="00A57105"/>
    <w:rsid w:val="00A74350"/>
    <w:rsid w:val="00A82CE8"/>
    <w:rsid w:val="00A937FE"/>
    <w:rsid w:val="00AC3BFE"/>
    <w:rsid w:val="00AE21DE"/>
    <w:rsid w:val="00AE437B"/>
    <w:rsid w:val="00B06C64"/>
    <w:rsid w:val="00B06F9B"/>
    <w:rsid w:val="00B1019C"/>
    <w:rsid w:val="00B63ED0"/>
    <w:rsid w:val="00B70954"/>
    <w:rsid w:val="00B73DA8"/>
    <w:rsid w:val="00B77ED5"/>
    <w:rsid w:val="00BC0537"/>
    <w:rsid w:val="00BC327F"/>
    <w:rsid w:val="00BD2B2A"/>
    <w:rsid w:val="00BD72AE"/>
    <w:rsid w:val="00BE19BE"/>
    <w:rsid w:val="00BE4E5C"/>
    <w:rsid w:val="00BF618B"/>
    <w:rsid w:val="00BF61E5"/>
    <w:rsid w:val="00C07D68"/>
    <w:rsid w:val="00C24A56"/>
    <w:rsid w:val="00C263E2"/>
    <w:rsid w:val="00C2764E"/>
    <w:rsid w:val="00CA5320"/>
    <w:rsid w:val="00CC271B"/>
    <w:rsid w:val="00CF364F"/>
    <w:rsid w:val="00CF4BCA"/>
    <w:rsid w:val="00CF6C54"/>
    <w:rsid w:val="00D0736E"/>
    <w:rsid w:val="00D142C2"/>
    <w:rsid w:val="00D161DD"/>
    <w:rsid w:val="00D16285"/>
    <w:rsid w:val="00D24A74"/>
    <w:rsid w:val="00D26A26"/>
    <w:rsid w:val="00D3522E"/>
    <w:rsid w:val="00D677D6"/>
    <w:rsid w:val="00D713A7"/>
    <w:rsid w:val="00D80003"/>
    <w:rsid w:val="00D80079"/>
    <w:rsid w:val="00DA0224"/>
    <w:rsid w:val="00DB3186"/>
    <w:rsid w:val="00DB7732"/>
    <w:rsid w:val="00E11DE2"/>
    <w:rsid w:val="00E156DE"/>
    <w:rsid w:val="00E337C0"/>
    <w:rsid w:val="00E352D5"/>
    <w:rsid w:val="00E808C2"/>
    <w:rsid w:val="00E84E56"/>
    <w:rsid w:val="00E902F9"/>
    <w:rsid w:val="00EA1741"/>
    <w:rsid w:val="00EA6349"/>
    <w:rsid w:val="00EB6275"/>
    <w:rsid w:val="00ED12CF"/>
    <w:rsid w:val="00EF348F"/>
    <w:rsid w:val="00EF41DF"/>
    <w:rsid w:val="00EF5869"/>
    <w:rsid w:val="00F04010"/>
    <w:rsid w:val="00F05F77"/>
    <w:rsid w:val="00F15213"/>
    <w:rsid w:val="00F20F4B"/>
    <w:rsid w:val="00F647FC"/>
    <w:rsid w:val="00F813A6"/>
    <w:rsid w:val="00F865E9"/>
    <w:rsid w:val="00FA54EC"/>
    <w:rsid w:val="00FA69AD"/>
    <w:rsid w:val="00FC4E6C"/>
    <w:rsid w:val="00FF6E41"/>
    <w:rsid w:val="00FF7F9D"/>
    <w:rsid w:val="035D3297"/>
    <w:rsid w:val="03990047"/>
    <w:rsid w:val="04A7176E"/>
    <w:rsid w:val="08681AF2"/>
    <w:rsid w:val="0B792C38"/>
    <w:rsid w:val="0E541684"/>
    <w:rsid w:val="0E970BA2"/>
    <w:rsid w:val="0EF73AE3"/>
    <w:rsid w:val="10A417FE"/>
    <w:rsid w:val="10D41358"/>
    <w:rsid w:val="1433374C"/>
    <w:rsid w:val="157955E3"/>
    <w:rsid w:val="19BF4B06"/>
    <w:rsid w:val="1C222A15"/>
    <w:rsid w:val="1C76321E"/>
    <w:rsid w:val="1D282582"/>
    <w:rsid w:val="28E93723"/>
    <w:rsid w:val="2DAF6125"/>
    <w:rsid w:val="2E8438E1"/>
    <w:rsid w:val="2F4B1946"/>
    <w:rsid w:val="309B715C"/>
    <w:rsid w:val="30AA4463"/>
    <w:rsid w:val="33702F36"/>
    <w:rsid w:val="34B87A7E"/>
    <w:rsid w:val="351C217F"/>
    <w:rsid w:val="355F6C78"/>
    <w:rsid w:val="35601D5B"/>
    <w:rsid w:val="3688209B"/>
    <w:rsid w:val="391B6D47"/>
    <w:rsid w:val="3A98341A"/>
    <w:rsid w:val="3BDF4822"/>
    <w:rsid w:val="3C561E50"/>
    <w:rsid w:val="40B52905"/>
    <w:rsid w:val="411F02FE"/>
    <w:rsid w:val="49260006"/>
    <w:rsid w:val="492643AE"/>
    <w:rsid w:val="49E8275C"/>
    <w:rsid w:val="4B291E82"/>
    <w:rsid w:val="4D01600E"/>
    <w:rsid w:val="4E273257"/>
    <w:rsid w:val="4E6C60A1"/>
    <w:rsid w:val="4E724CEA"/>
    <w:rsid w:val="4FA95872"/>
    <w:rsid w:val="4FCF49D3"/>
    <w:rsid w:val="52B37A56"/>
    <w:rsid w:val="53615F85"/>
    <w:rsid w:val="54696785"/>
    <w:rsid w:val="58D565A1"/>
    <w:rsid w:val="590339AE"/>
    <w:rsid w:val="5D8B3001"/>
    <w:rsid w:val="5E084B23"/>
    <w:rsid w:val="5E5C03C5"/>
    <w:rsid w:val="61111C0E"/>
    <w:rsid w:val="6265226F"/>
    <w:rsid w:val="647A4AC8"/>
    <w:rsid w:val="648273EB"/>
    <w:rsid w:val="6796351C"/>
    <w:rsid w:val="6BB123DE"/>
    <w:rsid w:val="6BBD7F7B"/>
    <w:rsid w:val="6C2947E2"/>
    <w:rsid w:val="6EE92007"/>
    <w:rsid w:val="6FA70217"/>
    <w:rsid w:val="725B0ED7"/>
    <w:rsid w:val="747B7CC4"/>
    <w:rsid w:val="79E85CDC"/>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spacing w:before="340" w:after="330" w:line="360" w:lineRule="auto"/>
      <w:jc w:val="center"/>
      <w:outlineLvl w:val="0"/>
    </w:pPr>
    <w:rPr>
      <w:kern w:val="44"/>
      <w:sz w:val="32"/>
      <w:szCs w:val="36"/>
    </w:rPr>
  </w:style>
  <w:style w:type="paragraph" w:styleId="5">
    <w:name w:val="heading 2"/>
    <w:basedOn w:val="3"/>
    <w:next w:val="4"/>
    <w:qFormat/>
    <w:uiPriority w:val="0"/>
    <w:pPr>
      <w:numPr>
        <w:ilvl w:val="1"/>
      </w:numPr>
      <w:adjustRightInd w:val="0"/>
      <w:jc w:val="center"/>
      <w:textAlignment w:val="baseline"/>
      <w:outlineLvl w:val="1"/>
    </w:pPr>
    <w:rPr>
      <w:bCs w:val="0"/>
      <w:kern w:val="0"/>
      <w:szCs w:val="20"/>
    </w:rPr>
  </w:style>
  <w:style w:type="paragraph" w:styleId="3">
    <w:name w:val="heading 3"/>
    <w:basedOn w:val="4"/>
    <w:next w:val="1"/>
    <w:qFormat/>
    <w:uiPriority w:val="0"/>
    <w:pPr>
      <w:numPr>
        <w:ilvl w:val="2"/>
      </w:num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annotation text"/>
    <w:basedOn w:val="1"/>
    <w:link w:val="29"/>
    <w:qFormat/>
    <w:uiPriority w:val="0"/>
    <w:pPr>
      <w:jc w:val="left"/>
    </w:pPr>
  </w:style>
  <w:style w:type="paragraph" w:styleId="13">
    <w:name w:val="Body Text"/>
    <w:basedOn w:val="1"/>
    <w:next w:val="1"/>
    <w:qFormat/>
    <w:uiPriority w:val="0"/>
    <w:pPr>
      <w:spacing w:line="360" w:lineRule="auto"/>
    </w:pPr>
    <w:rPr>
      <w:b/>
      <w:bCs/>
      <w:sz w:val="24"/>
    </w:rPr>
  </w:style>
  <w:style w:type="paragraph" w:styleId="14">
    <w:name w:val="Body Text Indent"/>
    <w:basedOn w:val="1"/>
    <w:next w:val="15"/>
    <w:qFormat/>
    <w:uiPriority w:val="0"/>
    <w:pPr>
      <w:spacing w:line="360" w:lineRule="auto"/>
      <w:ind w:firstLine="420" w:firstLineChars="200"/>
    </w:pPr>
  </w:style>
  <w:style w:type="paragraph" w:styleId="15">
    <w:name w:val="Body Text First Indent 2"/>
    <w:basedOn w:val="14"/>
    <w:unhideWhenUsed/>
    <w:qFormat/>
    <w:uiPriority w:val="99"/>
    <w:pPr>
      <w:spacing w:after="120"/>
      <w:ind w:left="420" w:leftChars="200"/>
    </w:pPr>
    <w:rPr>
      <w:rFonts w:ascii="Calibri" w:hAnsi="Calibri"/>
      <w:szCs w:val="22"/>
    </w:rPr>
  </w:style>
  <w:style w:type="paragraph" w:styleId="16">
    <w:name w:val="Balloon Text"/>
    <w:basedOn w:val="1"/>
    <w:link w:val="2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Normal (Web)"/>
    <w:basedOn w:val="1"/>
    <w:qFormat/>
    <w:uiPriority w:val="0"/>
    <w:rPr>
      <w:sz w:val="24"/>
    </w:rPr>
  </w:style>
  <w:style w:type="paragraph" w:styleId="20">
    <w:name w:val="annotation subject"/>
    <w:basedOn w:val="12"/>
    <w:next w:val="12"/>
    <w:link w:val="30"/>
    <w:qFormat/>
    <w:uiPriority w:val="0"/>
    <w:rPr>
      <w:b/>
      <w:bCs/>
    </w:rPr>
  </w:style>
  <w:style w:type="paragraph" w:styleId="21">
    <w:name w:val="Body Text First Indent"/>
    <w:basedOn w:val="13"/>
    <w:qFormat/>
    <w:uiPriority w:val="0"/>
    <w:pPr>
      <w:spacing w:after="120" w:line="240" w:lineRule="auto"/>
      <w:ind w:firstLine="420" w:firstLineChars="100"/>
    </w:pPr>
    <w:rPr>
      <w:sz w:val="21"/>
    </w:rPr>
  </w:style>
  <w:style w:type="character" w:styleId="24">
    <w:name w:val="Strong"/>
    <w:basedOn w:val="23"/>
    <w:qFormat/>
    <w:uiPriority w:val="22"/>
    <w:rPr>
      <w:b/>
      <w:bCs/>
    </w:rPr>
  </w:style>
  <w:style w:type="character" w:styleId="25">
    <w:name w:val="Hyperlink"/>
    <w:unhideWhenUsed/>
    <w:qFormat/>
    <w:uiPriority w:val="99"/>
    <w:rPr>
      <w:color w:val="0000FF"/>
      <w:u w:val="single"/>
    </w:rPr>
  </w:style>
  <w:style w:type="character" w:styleId="26">
    <w:name w:val="annotation reference"/>
    <w:unhideWhenUsed/>
    <w:qFormat/>
    <w:uiPriority w:val="0"/>
    <w:rPr>
      <w:sz w:val="21"/>
      <w:szCs w:val="21"/>
    </w:rPr>
  </w:style>
  <w:style w:type="character" w:customStyle="1" w:styleId="27">
    <w:name w:val="标题 3 Char"/>
    <w:qFormat/>
    <w:uiPriority w:val="0"/>
    <w:rPr>
      <w:rFonts w:ascii="黑体" w:eastAsia="黑体"/>
      <w:bCs/>
      <w:sz w:val="30"/>
    </w:rPr>
  </w:style>
  <w:style w:type="character" w:customStyle="1" w:styleId="28">
    <w:name w:val="批注框文本 字符"/>
    <w:basedOn w:val="23"/>
    <w:link w:val="16"/>
    <w:qFormat/>
    <w:uiPriority w:val="0"/>
    <w:rPr>
      <w:rFonts w:ascii="Times New Roman" w:hAnsi="Times New Roman" w:eastAsia="宋体" w:cs="Times New Roman"/>
      <w:kern w:val="2"/>
      <w:sz w:val="18"/>
      <w:szCs w:val="18"/>
    </w:rPr>
  </w:style>
  <w:style w:type="character" w:customStyle="1" w:styleId="29">
    <w:name w:val="批注文字 字符"/>
    <w:basedOn w:val="23"/>
    <w:link w:val="12"/>
    <w:qFormat/>
    <w:uiPriority w:val="0"/>
    <w:rPr>
      <w:rFonts w:ascii="Times New Roman" w:hAnsi="Times New Roman" w:eastAsia="宋体" w:cs="Times New Roman"/>
      <w:kern w:val="2"/>
      <w:sz w:val="21"/>
      <w:szCs w:val="24"/>
    </w:rPr>
  </w:style>
  <w:style w:type="character" w:customStyle="1" w:styleId="30">
    <w:name w:val="批注主题 字符"/>
    <w:basedOn w:val="29"/>
    <w:link w:val="20"/>
    <w:qFormat/>
    <w:uiPriority w:val="0"/>
    <w:rPr>
      <w:rFonts w:ascii="Times New Roman" w:hAnsi="Times New Roman" w:eastAsia="宋体" w:cs="Times New Roman"/>
      <w:b/>
      <w:bCs/>
      <w:kern w:val="2"/>
      <w:sz w:val="21"/>
      <w:szCs w:val="24"/>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7D0D6-24F0-4BCE-8D5E-AB41B2F16B49}">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1250</Words>
  <Characters>7128</Characters>
  <Lines>59</Lines>
  <Paragraphs>16</Paragraphs>
  <TotalTime>4</TotalTime>
  <ScaleCrop>false</ScaleCrop>
  <LinksUpToDate>false</LinksUpToDate>
  <CharactersWithSpaces>8362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2023-11-21T12:51:00Z</dcterms:created>
  <dc:creator>Administrator</dc:creator>
  <cp:lastModifiedBy>卉</cp:lastModifiedBy>
  <dcterms:modified xsi:type="dcterms:W3CDTF">2024-10-31T01:51:05Z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97128E8A13AC44798CF0B9F3A3C696F7_13</vt:lpwstr>
  </property>
</Properties>
</file>