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华文中宋" w:hAnsi="华文中宋" w:eastAsia="华文中宋"/>
          <w:b/>
          <w:bCs/>
          <w:sz w:val="50"/>
          <w:szCs w:val="44"/>
        </w:rPr>
      </w:pPr>
    </w:p>
    <w:p>
      <w:pPr>
        <w:adjustRightInd w:val="0"/>
        <w:snapToGrid w:val="0"/>
        <w:jc w:val="center"/>
        <w:rPr>
          <w:rFonts w:ascii="华文中宋" w:hAnsi="华文中宋" w:eastAsia="华文中宋"/>
          <w:b/>
          <w:bCs/>
          <w:sz w:val="50"/>
          <w:szCs w:val="44"/>
        </w:rPr>
      </w:pPr>
    </w:p>
    <w:p>
      <w:pPr>
        <w:adjustRightInd w:val="0"/>
        <w:snapToGrid w:val="0"/>
        <w:jc w:val="center"/>
        <w:rPr>
          <w:rFonts w:ascii="华文中宋" w:hAnsi="华文中宋" w:eastAsia="华文中宋"/>
          <w:b/>
          <w:bCs/>
          <w:sz w:val="50"/>
          <w:szCs w:val="44"/>
        </w:rPr>
      </w:pPr>
      <w:r>
        <w:rPr>
          <w:rFonts w:hint="eastAsia" w:ascii="华文中宋" w:hAnsi="华文中宋" w:eastAsia="华文中宋"/>
          <w:b/>
          <w:bCs/>
          <w:sz w:val="50"/>
          <w:szCs w:val="44"/>
        </w:rPr>
        <w:t>深圳市第一职业技术学校</w:t>
      </w:r>
    </w:p>
    <w:p>
      <w:pPr>
        <w:adjustRightInd w:val="0"/>
        <w:snapToGrid w:val="0"/>
        <w:jc w:val="center"/>
        <w:rPr>
          <w:rFonts w:ascii="华文中宋" w:hAnsi="华文中宋" w:eastAsia="华文中宋"/>
          <w:b/>
          <w:bCs/>
          <w:sz w:val="50"/>
          <w:szCs w:val="44"/>
        </w:rPr>
      </w:pPr>
      <w:r>
        <w:rPr>
          <w:rFonts w:hint="eastAsia" w:ascii="华文中宋" w:hAnsi="华文中宋" w:eastAsia="华文中宋"/>
          <w:b/>
          <w:bCs/>
          <w:sz w:val="50"/>
          <w:szCs w:val="44"/>
        </w:rPr>
        <w:t>2024年用电安全检测服务采购项目</w:t>
      </w:r>
      <w:r>
        <w:rPr>
          <w:rFonts w:ascii="华文中宋" w:hAnsi="华文中宋" w:eastAsia="华文中宋"/>
          <w:b/>
          <w:bCs/>
          <w:sz w:val="50"/>
          <w:szCs w:val="44"/>
        </w:rPr>
        <w:t xml:space="preserve"> </w:t>
      </w:r>
    </w:p>
    <w:p>
      <w:pPr>
        <w:adjustRightInd w:val="0"/>
        <w:snapToGrid w:val="0"/>
        <w:jc w:val="center"/>
        <w:rPr>
          <w:rFonts w:ascii="华文中宋" w:hAnsi="华文中宋" w:eastAsia="华文中宋"/>
          <w:b/>
          <w:bCs/>
          <w:sz w:val="50"/>
          <w:szCs w:val="44"/>
        </w:rPr>
      </w:pPr>
      <w:r>
        <w:rPr>
          <w:rFonts w:hint="eastAsia" w:ascii="华文中宋" w:hAnsi="华文中宋" w:eastAsia="华文中宋"/>
          <w:b/>
          <w:bCs/>
          <w:sz w:val="50"/>
          <w:szCs w:val="44"/>
        </w:rPr>
        <w:t>招标文件</w:t>
      </w: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spacing w:after="156" w:afterLines="50" w:line="320" w:lineRule="exact"/>
        <w:jc w:val="center"/>
        <w:rPr>
          <w:rFonts w:ascii="宋体" w:hAnsi="宋体" w:cs="Arial"/>
          <w:b/>
          <w:sz w:val="24"/>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widowControl/>
        <w:jc w:val="center"/>
        <w:rPr>
          <w:rFonts w:ascii="黑体" w:hAnsi="华文中宋" w:eastAsia="黑体" w:cs="Arial"/>
          <w:szCs w:val="21"/>
        </w:rPr>
      </w:pPr>
      <w:r>
        <w:rPr>
          <w:rFonts w:hint="eastAsia" w:ascii="黑体" w:hAnsi="华文中宋" w:eastAsia="黑体" w:cs="Arial"/>
          <w:sz w:val="32"/>
          <w:szCs w:val="32"/>
        </w:rPr>
        <w:t>深圳市第一职业技术学校</w:t>
      </w:r>
    </w:p>
    <w:p>
      <w:pPr>
        <w:widowControl/>
        <w:spacing w:line="480" w:lineRule="exact"/>
        <w:jc w:val="center"/>
        <w:rPr>
          <w:rFonts w:ascii="宋体" w:hAnsi="宋体" w:cs="宋体"/>
        </w:rPr>
      </w:pPr>
      <w:r>
        <w:rPr>
          <w:rFonts w:hint="eastAsia" w:ascii="黑体" w:hAnsi="华文中宋" w:eastAsia="黑体" w:cs="Arial"/>
          <w:sz w:val="32"/>
          <w:szCs w:val="32"/>
        </w:rPr>
        <w:t>二</w:t>
      </w:r>
      <w:r>
        <w:rPr>
          <w:rFonts w:hint="eastAsia" w:ascii="黑体" w:hAnsi="华文中宋" w:eastAsia="黑体"/>
          <w:sz w:val="28"/>
          <w:szCs w:val="28"/>
        </w:rPr>
        <w:t>○</w:t>
      </w:r>
      <w:r>
        <w:rPr>
          <w:rFonts w:hint="eastAsia" w:ascii="黑体" w:hAnsi="华文中宋" w:eastAsia="黑体" w:cs="Arial"/>
          <w:sz w:val="32"/>
          <w:szCs w:val="32"/>
        </w:rPr>
        <w:t>二四年五月</w:t>
      </w:r>
      <w:r>
        <w:rPr>
          <w:rFonts w:hint="eastAsia" w:ascii="宋体" w:hAnsi="宋体" w:cs="宋体"/>
          <w:sz w:val="32"/>
          <w:szCs w:val="32"/>
        </w:rPr>
        <w:br w:type="page"/>
      </w:r>
    </w:p>
    <w:p>
      <w:pPr>
        <w:pStyle w:val="3"/>
      </w:pPr>
      <w:r>
        <w:rPr>
          <w:rFonts w:hint="eastAsia"/>
        </w:rPr>
        <w:t>第一章  项目评审信息</w:t>
      </w:r>
    </w:p>
    <w:p>
      <w:pPr>
        <w:adjustRightInd w:val="0"/>
        <w:snapToGrid w:val="0"/>
        <w:spacing w:line="360" w:lineRule="auto"/>
        <w:rPr>
          <w:rFonts w:ascii="宋体" w:hAnsi="宋体" w:cs="宋体"/>
          <w:szCs w:val="21"/>
        </w:rPr>
      </w:pPr>
      <w:r>
        <w:rPr>
          <w:rFonts w:hint="eastAsia" w:ascii="宋体" w:hAnsi="宋体" w:cs="宋体"/>
          <w:szCs w:val="21"/>
        </w:rPr>
        <w:t xml:space="preserve">      项目名称：  </w:t>
      </w:r>
      <w:bookmarkStart w:id="0" w:name="_Hlk160026798"/>
      <w:r>
        <w:rPr>
          <w:rFonts w:hint="eastAsia" w:ascii="宋体" w:hAnsi="宋体" w:cs="宋体"/>
          <w:szCs w:val="21"/>
        </w:rPr>
        <w:t>用电安全检测服务</w:t>
      </w:r>
      <w:bookmarkEnd w:id="0"/>
      <w:r>
        <w:rPr>
          <w:rFonts w:hint="eastAsia" w:ascii="宋体" w:hAnsi="宋体" w:cs="宋体"/>
          <w:szCs w:val="21"/>
        </w:rPr>
        <w:t xml:space="preserve">采购项目  </w:t>
      </w:r>
    </w:p>
    <w:p>
      <w:pPr>
        <w:adjustRightInd w:val="0"/>
        <w:snapToGrid w:val="0"/>
        <w:spacing w:line="360" w:lineRule="auto"/>
        <w:rPr>
          <w:rFonts w:ascii="宋体" w:hAnsi="宋体" w:cs="宋体"/>
          <w:szCs w:val="21"/>
        </w:rPr>
      </w:pPr>
      <w:r>
        <w:rPr>
          <w:rFonts w:hint="eastAsia" w:ascii="宋体" w:hAnsi="宋体" w:cs="宋体"/>
          <w:szCs w:val="21"/>
        </w:rPr>
        <w:t xml:space="preserve">      项目类型：  服务类</w:t>
      </w:r>
    </w:p>
    <w:p>
      <w:pPr>
        <w:adjustRightInd w:val="0"/>
        <w:snapToGrid w:val="0"/>
        <w:spacing w:line="360" w:lineRule="auto"/>
        <w:rPr>
          <w:rFonts w:ascii="宋体" w:hAnsi="宋体" w:cs="宋体"/>
          <w:szCs w:val="21"/>
        </w:rPr>
      </w:pPr>
      <w:r>
        <w:rPr>
          <w:rFonts w:hint="eastAsia" w:ascii="宋体" w:hAnsi="宋体" w:cs="宋体"/>
          <w:szCs w:val="21"/>
        </w:rPr>
        <w:t xml:space="preserve">      采购方式：  公开招标</w:t>
      </w:r>
    </w:p>
    <w:p>
      <w:pPr>
        <w:adjustRightInd w:val="0"/>
        <w:snapToGrid w:val="0"/>
        <w:spacing w:line="360" w:lineRule="auto"/>
        <w:rPr>
          <w:rFonts w:ascii="宋体" w:hAnsi="宋体" w:cs="宋体"/>
          <w:szCs w:val="21"/>
        </w:rPr>
      </w:pPr>
      <w:r>
        <w:rPr>
          <w:rFonts w:hint="eastAsia" w:ascii="宋体" w:hAnsi="宋体" w:cs="宋体"/>
          <w:szCs w:val="21"/>
        </w:rPr>
        <w:t xml:space="preserve">      货币类型：  人民币</w:t>
      </w:r>
    </w:p>
    <w:p>
      <w:pPr>
        <w:pStyle w:val="4"/>
        <w:rPr>
          <w:rFonts w:cs="宋体"/>
          <w:szCs w:val="28"/>
        </w:rPr>
      </w:pPr>
      <w:r>
        <w:rPr>
          <w:rFonts w:hint="eastAsia" w:cs="宋体"/>
          <w:szCs w:val="28"/>
        </w:rPr>
        <w:t>投标文件初审表</w:t>
      </w:r>
    </w:p>
    <w:p>
      <w:pPr>
        <w:spacing w:after="112" w:afterLines="36"/>
        <w:jc w:val="center"/>
        <w:rPr>
          <w:rFonts w:ascii="宋体" w:hAnsi="宋体" w:cs="宋体"/>
          <w:b/>
        </w:rPr>
      </w:pPr>
      <w:r>
        <w:rPr>
          <w:rFonts w:hint="eastAsia" w:ascii="宋体" w:hAnsi="宋体" w:cs="宋体"/>
          <w:b/>
        </w:rPr>
        <w:t>（凡有下列情形之一的，投标文件无效，投标作废标处理）</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pPr>
              <w:rPr>
                <w:rFonts w:ascii="宋体" w:hAnsi="宋体" w:cs="宋体"/>
              </w:rPr>
            </w:pPr>
            <w:r>
              <w:rPr>
                <w:rFonts w:hint="eastAsia" w:ascii="宋体" w:hAnsi="宋体" w:cs="宋体"/>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1</w:t>
            </w:r>
          </w:p>
        </w:tc>
        <w:tc>
          <w:tcPr>
            <w:tcW w:w="7988" w:type="dxa"/>
            <w:vAlign w:val="center"/>
          </w:tcPr>
          <w:p>
            <w:pPr>
              <w:rPr>
                <w:rFonts w:ascii="宋体" w:hAnsi="宋体" w:cs="宋体"/>
                <w:b/>
              </w:rPr>
            </w:pPr>
            <w:r>
              <w:rPr>
                <w:rFonts w:hint="eastAsia" w:ascii="宋体" w:hAnsi="宋体" w:cs="宋体"/>
                <w:b/>
              </w:rPr>
              <w:t>投标人不具备招标文件所列的资格要求，或未提交相应的资格证明资料（详见招标公告投标人资格要求）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pPr>
              <w:rPr>
                <w:rFonts w:ascii="宋体" w:hAnsi="宋体" w:cs="宋体"/>
              </w:rPr>
            </w:pPr>
            <w:r>
              <w:rPr>
                <w:rFonts w:hint="eastAsia" w:ascii="宋体" w:hAnsi="宋体" w:cs="宋体"/>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2</w:t>
            </w:r>
          </w:p>
        </w:tc>
        <w:tc>
          <w:tcPr>
            <w:tcW w:w="7988" w:type="dxa"/>
            <w:vAlign w:val="center"/>
          </w:tcPr>
          <w:p>
            <w:pPr>
              <w:rPr>
                <w:rFonts w:ascii="宋体" w:hAnsi="宋体" w:cs="宋体"/>
              </w:rPr>
            </w:pPr>
            <w:r>
              <w:rPr>
                <w:rFonts w:hint="eastAsia" w:ascii="宋体" w:hAnsi="宋体" w:cs="宋体"/>
              </w:rPr>
              <w:t>未按招标文件对投标文件组成的要求提供投标文件的（投标文件组成不完整）</w:t>
            </w:r>
            <w:r>
              <w:rPr>
                <w:rFonts w:hint="eastAsia" w:ascii="宋体" w:hAnsi="宋体" w:cs="宋体"/>
                <w:b/>
                <w:color w:val="FF0000"/>
              </w:rPr>
              <w:t>或</w:t>
            </w:r>
            <w:r>
              <w:rPr>
                <w:rFonts w:hint="eastAsia" w:ascii="宋体" w:hAnsi="宋体" w:cs="宋体"/>
              </w:rPr>
              <w:t>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3</w:t>
            </w:r>
          </w:p>
        </w:tc>
        <w:tc>
          <w:tcPr>
            <w:tcW w:w="7988" w:type="dxa"/>
            <w:vAlign w:val="center"/>
          </w:tcPr>
          <w:p>
            <w:pPr>
              <w:rPr>
                <w:rFonts w:ascii="宋体" w:hAnsi="宋体" w:cs="宋体"/>
              </w:rPr>
            </w:pPr>
            <w:r>
              <w:rPr>
                <w:rFonts w:hint="eastAsia" w:ascii="宋体" w:hAnsi="宋体" w:cs="宋体"/>
                <w:b/>
              </w:rPr>
              <w:t>《技术规格偏离表》或《商务需求偏离表》填写不全或不实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4</w:t>
            </w:r>
          </w:p>
        </w:tc>
        <w:tc>
          <w:tcPr>
            <w:tcW w:w="7988" w:type="dxa"/>
            <w:vAlign w:val="center"/>
          </w:tcPr>
          <w:p>
            <w:pPr>
              <w:rPr>
                <w:rFonts w:ascii="宋体" w:hAnsi="宋体" w:cs="宋体"/>
              </w:rPr>
            </w:pPr>
            <w:r>
              <w:rPr>
                <w:rFonts w:hint="eastAsia" w:ascii="宋体" w:hAnsi="宋体" w:cs="宋体"/>
              </w:rPr>
              <w:t>投标总价高于预算限额的或报价低于其成本且不能做出合理说明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5</w:t>
            </w:r>
          </w:p>
        </w:tc>
        <w:tc>
          <w:tcPr>
            <w:tcW w:w="7988" w:type="dxa"/>
            <w:vAlign w:val="center"/>
          </w:tcPr>
          <w:p>
            <w:pPr>
              <w:rPr>
                <w:rFonts w:ascii="宋体" w:hAnsi="宋体" w:cs="宋体"/>
              </w:rPr>
            </w:pPr>
            <w:r>
              <w:rPr>
                <w:rFonts w:hint="eastAsia" w:ascii="宋体" w:hAnsi="宋体" w:cs="宋体"/>
              </w:rPr>
              <w:t>投标报价有严重缺漏项目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6</w:t>
            </w:r>
          </w:p>
        </w:tc>
        <w:tc>
          <w:tcPr>
            <w:tcW w:w="7988" w:type="dxa"/>
            <w:vAlign w:val="center"/>
          </w:tcPr>
          <w:p>
            <w:pPr>
              <w:rPr>
                <w:rFonts w:ascii="宋体" w:hAnsi="宋体" w:cs="宋体"/>
              </w:rPr>
            </w:pPr>
            <w:r>
              <w:rPr>
                <w:rFonts w:hint="eastAsia" w:ascii="宋体" w:hAnsi="宋体" w:cs="宋体"/>
                <w:b/>
              </w:rPr>
              <w:t>投标文件载明的交货期超过招标文件规定的期限</w:t>
            </w:r>
            <w:r>
              <w:rPr>
                <w:rFonts w:hint="eastAsia" w:ascii="宋体" w:hAnsi="宋体" w:cs="宋体"/>
                <w:b/>
                <w:color w:val="FF0000"/>
              </w:rPr>
              <w:t>或</w:t>
            </w:r>
            <w:r>
              <w:rPr>
                <w:rFonts w:hint="eastAsia" w:ascii="宋体" w:hAnsi="宋体" w:cs="宋体"/>
                <w:b/>
              </w:rPr>
              <w:t>免费保修期低于招标文件规定的期限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7</w:t>
            </w:r>
          </w:p>
        </w:tc>
        <w:tc>
          <w:tcPr>
            <w:tcW w:w="7988" w:type="dxa"/>
            <w:vAlign w:val="center"/>
          </w:tcPr>
          <w:p>
            <w:pPr>
              <w:rPr>
                <w:rFonts w:ascii="宋体" w:hAnsi="宋体" w:cs="宋体"/>
              </w:rPr>
            </w:pPr>
            <w:r>
              <w:rPr>
                <w:rFonts w:hint="eastAsia" w:ascii="宋体" w:hAnsi="宋体" w:cs="宋体"/>
              </w:rPr>
              <w:t>所投产品、工程、服务在质量、技术、方案等方面没有实质性满足招标文件要求</w:t>
            </w:r>
          </w:p>
        </w:tc>
      </w:tr>
    </w:tbl>
    <w:p>
      <w:pPr>
        <w:pStyle w:val="4"/>
        <w:rPr>
          <w:rFonts w:cs="宋体"/>
          <w:szCs w:val="28"/>
        </w:rPr>
      </w:pPr>
      <w:r>
        <w:rPr>
          <w:rFonts w:hint="eastAsia" w:cs="宋体"/>
          <w:szCs w:val="28"/>
        </w:rPr>
        <w:t>评标信息</w:t>
      </w:r>
    </w:p>
    <w:p>
      <w:pPr>
        <w:spacing w:line="400" w:lineRule="exact"/>
        <w:ind w:left="1050" w:hanging="1050" w:hangingChars="500"/>
        <w:rPr>
          <w:rFonts w:ascii="宋体" w:hAnsi="宋体" w:cs="宋体"/>
          <w:szCs w:val="21"/>
        </w:rPr>
      </w:pPr>
      <w:r>
        <w:rPr>
          <w:rFonts w:hint="eastAsia" w:ascii="宋体" w:hAnsi="宋体" w:cs="宋体"/>
          <w:szCs w:val="21"/>
        </w:rPr>
        <w:t>评审方法：本项目评审方法采用</w:t>
      </w:r>
      <w:r>
        <w:rPr>
          <w:rFonts w:hint="eastAsia" w:ascii="宋体" w:hAnsi="宋体" w:cs="宋体"/>
          <w:b/>
          <w:szCs w:val="21"/>
          <w:u w:val="single"/>
        </w:rPr>
        <w:t xml:space="preserve"> 综合评分法 </w:t>
      </w:r>
      <w:r>
        <w:rPr>
          <w:rFonts w:hint="eastAsia" w:ascii="宋体" w:hAnsi="宋体" w:cs="宋体"/>
          <w:szCs w:val="21"/>
        </w:rPr>
        <w:t>。</w:t>
      </w:r>
    </w:p>
    <w:p>
      <w:pPr>
        <w:pStyle w:val="4"/>
        <w:jc w:val="both"/>
        <w:rPr>
          <w:rFonts w:cs="宋体"/>
        </w:rPr>
      </w:pPr>
      <w:r>
        <w:rPr>
          <w:rFonts w:hint="eastAsia" w:cs="宋体"/>
        </w:rPr>
        <w:t>评标方法</w:t>
      </w:r>
    </w:p>
    <w:tbl>
      <w:tblPr>
        <w:tblStyle w:val="17"/>
        <w:tblW w:w="9078" w:type="dxa"/>
        <w:jc w:val="center"/>
        <w:tblCellSpacing w:w="0" w:type="dxa"/>
        <w:tblLayout w:type="autofit"/>
        <w:tblCellMar>
          <w:top w:w="45" w:type="dxa"/>
          <w:left w:w="45" w:type="dxa"/>
          <w:bottom w:w="45" w:type="dxa"/>
          <w:right w:w="45" w:type="dxa"/>
        </w:tblCellMar>
      </w:tblPr>
      <w:tblGrid>
        <w:gridCol w:w="8685"/>
        <w:gridCol w:w="393"/>
      </w:tblGrid>
      <w:tr>
        <w:tblPrEx>
          <w:tblCellMar>
            <w:top w:w="45" w:type="dxa"/>
            <w:left w:w="45" w:type="dxa"/>
            <w:bottom w:w="45" w:type="dxa"/>
            <w:right w:w="45" w:type="dxa"/>
          </w:tblCellMar>
        </w:tblPrEx>
        <w:trPr>
          <w:tblCellSpacing w:w="0" w:type="dxa"/>
          <w:jc w:val="center"/>
        </w:trPr>
        <w:tc>
          <w:tcPr>
            <w:tcW w:w="0" w:type="auto"/>
            <w:shd w:val="clear" w:color="auto" w:fill="auto"/>
            <w:vAlign w:val="center"/>
          </w:tcPr>
          <w:p>
            <w:pPr>
              <w:widowControl/>
              <w:jc w:val="left"/>
              <w:rPr>
                <w:b/>
                <w:bCs/>
                <w:sz w:val="24"/>
              </w:rPr>
            </w:pPr>
            <w:r>
              <w:rPr>
                <w:b/>
                <w:bCs/>
              </w:rPr>
              <w:t>评标方法：综合评分法</w:t>
            </w:r>
          </w:p>
        </w:tc>
        <w:tc>
          <w:tcPr>
            <w:tcW w:w="0" w:type="auto"/>
            <w:shd w:val="clear" w:color="auto" w:fill="auto"/>
            <w:vAlign w:val="center"/>
          </w:tcPr>
          <w:p>
            <w:pPr>
              <w:jc w:val="right"/>
              <w:rPr>
                <w:rFonts w:ascii="宋体"/>
                <w:b/>
                <w:bCs/>
                <w:sz w:val="24"/>
              </w:rPr>
            </w:pPr>
          </w:p>
        </w:tc>
      </w:tr>
      <w:tr>
        <w:tblPrEx>
          <w:tblCellMar>
            <w:top w:w="45" w:type="dxa"/>
            <w:left w:w="45" w:type="dxa"/>
            <w:bottom w:w="45" w:type="dxa"/>
            <w:right w:w="45" w:type="dxa"/>
          </w:tblCellMar>
        </w:tblPrEx>
        <w:trPr>
          <w:tblCellSpacing w:w="0" w:type="dxa"/>
          <w:jc w:val="center"/>
        </w:trPr>
        <w:tc>
          <w:tcPr>
            <w:tcW w:w="0" w:type="auto"/>
            <w:gridSpan w:val="2"/>
            <w:shd w:val="clear" w:color="auto" w:fill="auto"/>
            <w:vAlign w:val="center"/>
          </w:tcPr>
          <w:p>
            <w:pPr>
              <w:spacing w:line="324" w:lineRule="auto"/>
              <w:ind w:firstLine="420"/>
              <w:rPr>
                <w:szCs w:val="21"/>
              </w:rPr>
            </w:pPr>
            <w:r>
              <w:rPr>
                <w:rFonts w:hint="eastAsia"/>
                <w:szCs w:val="21"/>
              </w:rPr>
              <w:t>综合评分法。在最大限度地满足招标文件实质性要求的前提下，按照招标文件中规定的各项因素进行综合评审，评标总得分排名前列的投标人，作为推荐的候选中标供应商</w:t>
            </w:r>
            <w:r>
              <w:rPr>
                <w:szCs w:val="21"/>
              </w:rPr>
              <w:t xml:space="preserve">。 </w:t>
            </w:r>
          </w:p>
          <w:p>
            <w:pPr>
              <w:ind w:firstLine="420"/>
              <w:rPr>
                <w:szCs w:val="21"/>
              </w:rPr>
            </w:pPr>
            <w:r>
              <w:rPr>
                <w:szCs w:val="21"/>
              </w:rPr>
              <w:t>价格分计算方法：</w:t>
            </w:r>
          </w:p>
          <w:p>
            <w:pPr>
              <w:pStyle w:val="15"/>
              <w:widowControl/>
              <w:spacing w:line="324" w:lineRule="auto"/>
              <w:ind w:left="420"/>
              <w:rPr>
                <w:sz w:val="21"/>
                <w:szCs w:val="21"/>
              </w:rPr>
            </w:pPr>
            <w:r>
              <w:rPr>
                <w:sz w:val="21"/>
                <w:szCs w:val="21"/>
              </w:rPr>
              <w:t xml:space="preserve">采用低价优先法计算，即满足招标文件要求且投标价格最低的投标报价为评标基准价，其价格分为满分。其他投标人的价格分统一按照下列公式计算： </w:t>
            </w:r>
          </w:p>
          <w:p>
            <w:pPr>
              <w:pStyle w:val="15"/>
              <w:widowControl/>
              <w:spacing w:line="324" w:lineRule="auto"/>
              <w:ind w:left="420"/>
              <w:rPr>
                <w:sz w:val="21"/>
                <w:szCs w:val="21"/>
              </w:rPr>
            </w:pPr>
            <w:r>
              <w:rPr>
                <w:sz w:val="21"/>
                <w:szCs w:val="21"/>
              </w:rPr>
              <w:t>投标报价得分=(评标基准价／投标报价)×100</w:t>
            </w:r>
          </w:p>
          <w:p>
            <w:pPr>
              <w:pStyle w:val="15"/>
              <w:widowControl/>
              <w:spacing w:line="324" w:lineRule="auto"/>
              <w:ind w:left="420"/>
              <w:rPr>
                <w:sz w:val="21"/>
                <w:szCs w:val="21"/>
              </w:rPr>
            </w:pPr>
            <w:r>
              <w:rPr>
                <w:sz w:val="21"/>
                <w:szCs w:val="21"/>
              </w:rPr>
              <w:t xml:space="preserve">评标总得分＝F1×A1＋F2×A2＋……＋Fn×An </w:t>
            </w:r>
          </w:p>
          <w:p>
            <w:pPr>
              <w:pStyle w:val="15"/>
              <w:widowControl/>
              <w:spacing w:line="324" w:lineRule="auto"/>
              <w:ind w:left="420"/>
              <w:rPr>
                <w:sz w:val="21"/>
                <w:szCs w:val="21"/>
              </w:rPr>
            </w:pPr>
            <w:r>
              <w:rPr>
                <w:sz w:val="21"/>
                <w:szCs w:val="21"/>
              </w:rPr>
              <w:t xml:space="preserve">F1、F2……Fn分别为各项评审因素的得分； </w:t>
            </w:r>
          </w:p>
          <w:p>
            <w:pPr>
              <w:pStyle w:val="15"/>
              <w:widowControl/>
              <w:spacing w:line="324" w:lineRule="auto"/>
              <w:ind w:left="420"/>
              <w:rPr>
                <w:sz w:val="21"/>
                <w:szCs w:val="21"/>
              </w:rPr>
            </w:pPr>
            <w:r>
              <w:rPr>
                <w:sz w:val="21"/>
                <w:szCs w:val="21"/>
              </w:rPr>
              <w:t xml:space="preserve">A1、A2、……An 分别为各项评审因素所占的权重(A1＋A2＋……＋An＝1)。 </w:t>
            </w:r>
          </w:p>
          <w:p>
            <w:pPr>
              <w:pStyle w:val="15"/>
              <w:widowControl/>
              <w:spacing w:line="324" w:lineRule="auto"/>
              <w:ind w:left="420"/>
              <w:rPr>
                <w:sz w:val="21"/>
                <w:szCs w:val="21"/>
              </w:rPr>
            </w:pPr>
            <w:r>
              <w:rPr>
                <w:sz w:val="21"/>
                <w:szCs w:val="21"/>
              </w:rPr>
              <w:t xml:space="preserve">评标过程中，不得去掉报价中的最高报价和最低报价。 </w:t>
            </w:r>
          </w:p>
          <w:p>
            <w:pPr>
              <w:pStyle w:val="15"/>
              <w:widowControl/>
              <w:spacing w:line="324" w:lineRule="auto"/>
              <w:ind w:left="420"/>
              <w:rPr>
                <w:sz w:val="21"/>
                <w:szCs w:val="21"/>
              </w:rPr>
            </w:pPr>
            <w:r>
              <w:rPr>
                <w:sz w:val="21"/>
                <w:szCs w:val="21"/>
              </w:rPr>
              <w:t>此方法适用于货物类、服务类、工程类项目。</w:t>
            </w:r>
          </w:p>
        </w:tc>
      </w:tr>
    </w:tbl>
    <w:p>
      <w:pPr>
        <w:ind w:firstLine="482" w:firstLineChars="200"/>
        <w:rPr>
          <w:rFonts w:ascii="宋体" w:hAnsi="宋体"/>
          <w:b/>
          <w:sz w:val="24"/>
        </w:rPr>
      </w:pPr>
    </w:p>
    <w:tbl>
      <w:tblPr>
        <w:tblStyle w:val="17"/>
        <w:tblW w:w="9892" w:type="dxa"/>
        <w:tblInd w:w="-459"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09"/>
        <w:gridCol w:w="1593"/>
        <w:gridCol w:w="6073"/>
        <w:gridCol w:w="725"/>
        <w:gridCol w:w="79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709" w:type="dxa"/>
            <w:vAlign w:val="center"/>
          </w:tcPr>
          <w:p>
            <w:pPr>
              <w:rPr>
                <w:sz w:val="24"/>
                <w:szCs w:val="22"/>
              </w:rPr>
            </w:pPr>
            <w:r>
              <w:rPr>
                <w:rFonts w:hint="eastAsia"/>
                <w:sz w:val="24"/>
                <w:szCs w:val="22"/>
              </w:rPr>
              <w:t>评审部分</w:t>
            </w:r>
          </w:p>
        </w:tc>
        <w:tc>
          <w:tcPr>
            <w:tcW w:w="1593" w:type="dxa"/>
            <w:vAlign w:val="center"/>
          </w:tcPr>
          <w:p>
            <w:pPr>
              <w:rPr>
                <w:sz w:val="24"/>
                <w:szCs w:val="22"/>
              </w:rPr>
            </w:pPr>
            <w:r>
              <w:rPr>
                <w:rFonts w:hint="eastAsia"/>
                <w:sz w:val="24"/>
                <w:szCs w:val="22"/>
              </w:rPr>
              <w:t>评审因素</w:t>
            </w:r>
          </w:p>
        </w:tc>
        <w:tc>
          <w:tcPr>
            <w:tcW w:w="6073" w:type="dxa"/>
            <w:vAlign w:val="center"/>
          </w:tcPr>
          <w:p>
            <w:pPr>
              <w:rPr>
                <w:sz w:val="24"/>
                <w:szCs w:val="22"/>
              </w:rPr>
            </w:pPr>
            <w:r>
              <w:rPr>
                <w:rFonts w:hint="eastAsia"/>
                <w:sz w:val="24"/>
                <w:szCs w:val="22"/>
              </w:rPr>
              <w:t>评分细则</w:t>
            </w:r>
          </w:p>
        </w:tc>
        <w:tc>
          <w:tcPr>
            <w:tcW w:w="725" w:type="dxa"/>
            <w:tcBorders>
              <w:right w:val="single" w:color="auto" w:sz="4" w:space="0"/>
            </w:tcBorders>
            <w:vAlign w:val="center"/>
          </w:tcPr>
          <w:p>
            <w:pPr>
              <w:rPr>
                <w:sz w:val="24"/>
                <w:szCs w:val="22"/>
              </w:rPr>
            </w:pPr>
            <w:r>
              <w:rPr>
                <w:rFonts w:hint="eastAsia"/>
                <w:sz w:val="24"/>
                <w:szCs w:val="22"/>
              </w:rPr>
              <w:t>权重</w:t>
            </w:r>
          </w:p>
        </w:tc>
        <w:tc>
          <w:tcPr>
            <w:tcW w:w="792" w:type="dxa"/>
            <w:tcBorders>
              <w:left w:val="single" w:color="auto" w:sz="4" w:space="0"/>
            </w:tcBorders>
            <w:vAlign w:val="center"/>
          </w:tcPr>
          <w:p>
            <w:pPr>
              <w:rPr>
                <w:sz w:val="24"/>
                <w:szCs w:val="22"/>
              </w:rPr>
            </w:pPr>
            <w:r>
              <w:rPr>
                <w:rFonts w:hint="eastAsia"/>
                <w:sz w:val="24"/>
                <w:szCs w:val="22"/>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709" w:type="dxa"/>
            <w:vAlign w:val="center"/>
          </w:tcPr>
          <w:p>
            <w:pPr>
              <w:rPr>
                <w:sz w:val="24"/>
                <w:szCs w:val="22"/>
              </w:rPr>
            </w:pPr>
            <w:r>
              <w:rPr>
                <w:rFonts w:hint="eastAsia"/>
                <w:sz w:val="24"/>
                <w:szCs w:val="22"/>
              </w:rPr>
              <w:t>一</w:t>
            </w:r>
          </w:p>
        </w:tc>
        <w:tc>
          <w:tcPr>
            <w:tcW w:w="9183" w:type="dxa"/>
            <w:gridSpan w:val="4"/>
            <w:vAlign w:val="center"/>
          </w:tcPr>
          <w:p>
            <w:pPr>
              <w:rPr>
                <w:sz w:val="24"/>
                <w:szCs w:val="22"/>
              </w:rPr>
            </w:pPr>
            <w:r>
              <w:rPr>
                <w:rFonts w:hint="eastAsia"/>
                <w:sz w:val="24"/>
                <w:szCs w:val="22"/>
              </w:rPr>
              <w:t>价格部分（</w:t>
            </w:r>
            <w:r>
              <w:rPr>
                <w:sz w:val="24"/>
                <w:szCs w:val="22"/>
              </w:rPr>
              <w:t>2</w:t>
            </w:r>
            <w:r>
              <w:rPr>
                <w:rFonts w:hint="eastAsia"/>
                <w:sz w:val="24"/>
                <w:szCs w:val="22"/>
              </w:rPr>
              <w:t>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709" w:type="dxa"/>
            <w:vAlign w:val="center"/>
          </w:tcPr>
          <w:p>
            <w:pPr>
              <w:rPr>
                <w:sz w:val="24"/>
                <w:szCs w:val="22"/>
              </w:rPr>
            </w:pPr>
            <w:r>
              <w:rPr>
                <w:rFonts w:hint="eastAsia"/>
                <w:sz w:val="24"/>
                <w:szCs w:val="22"/>
              </w:rPr>
              <w:t>1</w:t>
            </w:r>
          </w:p>
        </w:tc>
        <w:tc>
          <w:tcPr>
            <w:tcW w:w="1593" w:type="dxa"/>
            <w:vAlign w:val="center"/>
          </w:tcPr>
          <w:p>
            <w:pPr>
              <w:rPr>
                <w:sz w:val="24"/>
                <w:szCs w:val="22"/>
              </w:rPr>
            </w:pPr>
            <w:r>
              <w:rPr>
                <w:rFonts w:hint="eastAsia"/>
                <w:sz w:val="24"/>
                <w:szCs w:val="22"/>
              </w:rPr>
              <w:t>投标报价</w:t>
            </w:r>
          </w:p>
        </w:tc>
        <w:tc>
          <w:tcPr>
            <w:tcW w:w="6073" w:type="dxa"/>
            <w:vAlign w:val="center"/>
          </w:tcPr>
          <w:p>
            <w:pPr>
              <w:rPr>
                <w:sz w:val="24"/>
                <w:szCs w:val="22"/>
              </w:rPr>
            </w:pPr>
            <w:r>
              <w:rPr>
                <w:sz w:val="24"/>
                <w:szCs w:val="22"/>
              </w:rPr>
              <w:t>价格分</w:t>
            </w:r>
            <w:r>
              <w:rPr>
                <w:rFonts w:hint="eastAsia"/>
                <w:sz w:val="24"/>
                <w:szCs w:val="22"/>
              </w:rPr>
              <w:t>应当采用低价优先法计算，即满足招标文件要求且投标价格最低的投标报价为评标基准价，其价格分为满分。其他投标人的价格分统一按照下列公式计算：</w:t>
            </w:r>
          </w:p>
          <w:p>
            <w:pPr>
              <w:rPr>
                <w:sz w:val="24"/>
                <w:szCs w:val="22"/>
              </w:rPr>
            </w:pPr>
            <w:r>
              <w:rPr>
                <w:rFonts w:hint="eastAsia"/>
                <w:sz w:val="24"/>
                <w:szCs w:val="22"/>
              </w:rPr>
              <w:t>投标报价得分=(评标基准价／投标报价)×100×权重</w:t>
            </w:r>
          </w:p>
          <w:p>
            <w:pPr>
              <w:rPr>
                <w:sz w:val="24"/>
                <w:szCs w:val="22"/>
              </w:rPr>
            </w:pPr>
            <w:r>
              <w:rPr>
                <w:rFonts w:hint="eastAsia"/>
                <w:sz w:val="24"/>
                <w:szCs w:val="22"/>
              </w:rPr>
              <w:t>备注：1、因落实政府采购政策进行价格调整的，以调整后的价格计算评标基准价和投标报价,详见《价格扣除》。</w:t>
            </w:r>
          </w:p>
          <w:p>
            <w:pPr>
              <w:rPr>
                <w:sz w:val="24"/>
                <w:szCs w:val="22"/>
              </w:rPr>
            </w:pPr>
            <w:r>
              <w:rPr>
                <w:rFonts w:hint="eastAsia"/>
                <w:sz w:val="24"/>
                <w:szCs w:val="22"/>
              </w:rPr>
              <w:t>2、投标报价得分四舍五入后，小数点后保留两位有效数；</w:t>
            </w:r>
          </w:p>
        </w:tc>
        <w:tc>
          <w:tcPr>
            <w:tcW w:w="725" w:type="dxa"/>
            <w:tcBorders>
              <w:right w:val="single" w:color="auto" w:sz="4" w:space="0"/>
            </w:tcBorders>
            <w:vAlign w:val="center"/>
          </w:tcPr>
          <w:p>
            <w:pPr>
              <w:rPr>
                <w:sz w:val="24"/>
                <w:szCs w:val="22"/>
              </w:rPr>
            </w:pPr>
            <w:r>
              <w:rPr>
                <w:sz w:val="24"/>
                <w:szCs w:val="22"/>
              </w:rPr>
              <w:t>2</w:t>
            </w:r>
            <w:r>
              <w:rPr>
                <w:rFonts w:hint="eastAsia"/>
                <w:sz w:val="24"/>
                <w:szCs w:val="22"/>
              </w:rPr>
              <w:t>0%</w:t>
            </w:r>
          </w:p>
        </w:tc>
        <w:tc>
          <w:tcPr>
            <w:tcW w:w="792" w:type="dxa"/>
            <w:tcBorders>
              <w:left w:val="single" w:color="auto" w:sz="4" w:space="0"/>
            </w:tcBorders>
            <w:vAlign w:val="center"/>
          </w:tcPr>
          <w:p>
            <w:pPr>
              <w:rPr>
                <w:sz w:val="24"/>
                <w:szCs w:val="22"/>
              </w:rPr>
            </w:pPr>
            <w:r>
              <w:rPr>
                <w:sz w:val="24"/>
                <w:szCs w:val="22"/>
              </w:rPr>
              <w:t>2</w:t>
            </w:r>
            <w:r>
              <w:rPr>
                <w:rFonts w:hint="eastAsia"/>
                <w:sz w:val="24"/>
                <w:szCs w:val="22"/>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 w:hRule="atLeast"/>
        </w:trPr>
        <w:tc>
          <w:tcPr>
            <w:tcW w:w="709" w:type="dxa"/>
            <w:vAlign w:val="center"/>
          </w:tcPr>
          <w:p>
            <w:pPr>
              <w:rPr>
                <w:sz w:val="24"/>
                <w:szCs w:val="22"/>
              </w:rPr>
            </w:pPr>
            <w:r>
              <w:rPr>
                <w:rFonts w:hint="eastAsia"/>
                <w:sz w:val="24"/>
                <w:szCs w:val="22"/>
              </w:rPr>
              <w:t>二</w:t>
            </w:r>
          </w:p>
        </w:tc>
        <w:tc>
          <w:tcPr>
            <w:tcW w:w="9183" w:type="dxa"/>
            <w:gridSpan w:val="4"/>
            <w:vAlign w:val="center"/>
          </w:tcPr>
          <w:p>
            <w:pPr>
              <w:rPr>
                <w:sz w:val="24"/>
                <w:szCs w:val="22"/>
              </w:rPr>
            </w:pPr>
            <w:r>
              <w:rPr>
                <w:rFonts w:hint="eastAsia"/>
                <w:sz w:val="24"/>
                <w:szCs w:val="22"/>
              </w:rPr>
              <w:t>技术部分（4</w:t>
            </w:r>
            <w:r>
              <w:rPr>
                <w:sz w:val="24"/>
                <w:szCs w:val="22"/>
              </w:rPr>
              <w:t>5</w:t>
            </w:r>
            <w:r>
              <w:rPr>
                <w:rFonts w:hint="eastAsia"/>
                <w:sz w:val="24"/>
                <w:szCs w:val="22"/>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709" w:type="dxa"/>
            <w:tcBorders>
              <w:top w:val="single" w:color="auto" w:sz="4" w:space="0"/>
            </w:tcBorders>
            <w:vAlign w:val="center"/>
          </w:tcPr>
          <w:p>
            <w:pPr>
              <w:rPr>
                <w:sz w:val="24"/>
                <w:szCs w:val="22"/>
              </w:rPr>
            </w:pPr>
            <w:r>
              <w:rPr>
                <w:rFonts w:hint="eastAsia"/>
                <w:sz w:val="24"/>
                <w:szCs w:val="22"/>
              </w:rPr>
              <w:t>2</w:t>
            </w:r>
          </w:p>
        </w:tc>
        <w:tc>
          <w:tcPr>
            <w:tcW w:w="1593" w:type="dxa"/>
            <w:vAlign w:val="center"/>
          </w:tcPr>
          <w:p>
            <w:pPr>
              <w:rPr>
                <w:sz w:val="24"/>
                <w:szCs w:val="22"/>
              </w:rPr>
            </w:pPr>
            <w:r>
              <w:rPr>
                <w:rFonts w:hint="eastAsia"/>
                <w:sz w:val="24"/>
                <w:szCs w:val="22"/>
              </w:rPr>
              <w:t>工作实施方案</w:t>
            </w:r>
          </w:p>
        </w:tc>
        <w:tc>
          <w:tcPr>
            <w:tcW w:w="6073" w:type="dxa"/>
            <w:vAlign w:val="center"/>
          </w:tcPr>
          <w:p>
            <w:pPr>
              <w:rPr>
                <w:sz w:val="24"/>
                <w:szCs w:val="22"/>
              </w:rPr>
            </w:pPr>
            <w:r>
              <w:rPr>
                <w:rFonts w:hint="eastAsia"/>
                <w:sz w:val="24"/>
                <w:szCs w:val="22"/>
              </w:rPr>
              <w:t>考察项目实施的工作流程、工作方法、项目实施中沟通协调处理机制、合理建议、数据信息处理展示等情况。</w:t>
            </w:r>
          </w:p>
          <w:p>
            <w:pPr>
              <w:rPr>
                <w:sz w:val="24"/>
                <w:szCs w:val="22"/>
              </w:rPr>
            </w:pPr>
            <w:r>
              <w:rPr>
                <w:rFonts w:hint="eastAsia"/>
                <w:sz w:val="24"/>
                <w:szCs w:val="22"/>
              </w:rPr>
              <w:t>（1）实施方案内容全面；</w:t>
            </w:r>
          </w:p>
          <w:p>
            <w:pPr>
              <w:rPr>
                <w:sz w:val="24"/>
                <w:szCs w:val="22"/>
              </w:rPr>
            </w:pPr>
            <w:r>
              <w:rPr>
                <w:rFonts w:hint="eastAsia"/>
                <w:sz w:val="24"/>
                <w:szCs w:val="22"/>
              </w:rPr>
              <w:t xml:space="preserve">（2）实施方案内容具体； </w:t>
            </w:r>
          </w:p>
          <w:p>
            <w:pPr>
              <w:rPr>
                <w:sz w:val="24"/>
                <w:szCs w:val="22"/>
              </w:rPr>
            </w:pPr>
            <w:r>
              <w:rPr>
                <w:rFonts w:hint="eastAsia"/>
                <w:sz w:val="24"/>
                <w:szCs w:val="22"/>
              </w:rPr>
              <w:t>（3）实施方案内容科学合理；</w:t>
            </w:r>
          </w:p>
          <w:p>
            <w:pPr>
              <w:rPr>
                <w:sz w:val="24"/>
                <w:szCs w:val="22"/>
              </w:rPr>
            </w:pPr>
            <w:r>
              <w:rPr>
                <w:rFonts w:hint="eastAsia"/>
                <w:sz w:val="24"/>
                <w:szCs w:val="22"/>
              </w:rPr>
              <w:t xml:space="preserve">（4）实施方案内容针对性强； </w:t>
            </w:r>
          </w:p>
          <w:p>
            <w:pPr>
              <w:rPr>
                <w:sz w:val="24"/>
                <w:szCs w:val="22"/>
              </w:rPr>
            </w:pPr>
            <w:r>
              <w:rPr>
                <w:rFonts w:hint="eastAsia"/>
                <w:sz w:val="24"/>
                <w:szCs w:val="22"/>
              </w:rPr>
              <w:t xml:space="preserve">（5）实施方案内容可操作性强。 </w:t>
            </w:r>
          </w:p>
          <w:p>
            <w:pPr>
              <w:rPr>
                <w:sz w:val="24"/>
                <w:szCs w:val="22"/>
              </w:rPr>
            </w:pPr>
            <w:r>
              <w:rPr>
                <w:rFonts w:hint="eastAsia"/>
                <w:sz w:val="24"/>
                <w:szCs w:val="22"/>
              </w:rPr>
              <w:t>优评分标准：满足以上五项要求的评价为优，得20分；</w:t>
            </w:r>
          </w:p>
          <w:p>
            <w:pPr>
              <w:rPr>
                <w:sz w:val="24"/>
                <w:szCs w:val="22"/>
              </w:rPr>
            </w:pPr>
            <w:r>
              <w:rPr>
                <w:rFonts w:hint="eastAsia"/>
                <w:sz w:val="24"/>
                <w:szCs w:val="22"/>
              </w:rPr>
              <w:t>良评分标准：满足以上四项要求的评价为良，得14分；</w:t>
            </w:r>
          </w:p>
          <w:p>
            <w:pPr>
              <w:rPr>
                <w:sz w:val="24"/>
                <w:szCs w:val="22"/>
              </w:rPr>
            </w:pPr>
            <w:r>
              <w:rPr>
                <w:rFonts w:hint="eastAsia"/>
                <w:sz w:val="24"/>
                <w:szCs w:val="22"/>
              </w:rPr>
              <w:t>中评分标准：满足以上三项要求的评价为中，得8分；</w:t>
            </w:r>
          </w:p>
          <w:p>
            <w:pPr>
              <w:rPr>
                <w:sz w:val="24"/>
                <w:szCs w:val="22"/>
              </w:rPr>
            </w:pPr>
            <w:r>
              <w:rPr>
                <w:rFonts w:hint="eastAsia"/>
                <w:sz w:val="24"/>
                <w:szCs w:val="22"/>
              </w:rPr>
              <w:t>差评分标准：上述情况之外的，评差，得0分。</w:t>
            </w:r>
          </w:p>
        </w:tc>
        <w:tc>
          <w:tcPr>
            <w:tcW w:w="725" w:type="dxa"/>
            <w:tcBorders>
              <w:right w:val="single" w:color="auto" w:sz="4" w:space="0"/>
            </w:tcBorders>
            <w:vAlign w:val="center"/>
          </w:tcPr>
          <w:p>
            <w:pPr>
              <w:rPr>
                <w:sz w:val="24"/>
                <w:szCs w:val="22"/>
              </w:rPr>
            </w:pPr>
            <w:r>
              <w:rPr>
                <w:rFonts w:hint="eastAsia"/>
                <w:sz w:val="24"/>
                <w:szCs w:val="22"/>
              </w:rPr>
              <w:t>20%</w:t>
            </w:r>
          </w:p>
        </w:tc>
        <w:tc>
          <w:tcPr>
            <w:tcW w:w="792" w:type="dxa"/>
            <w:tcBorders>
              <w:left w:val="single" w:color="auto" w:sz="4" w:space="0"/>
            </w:tcBorders>
            <w:vAlign w:val="center"/>
          </w:tcPr>
          <w:p>
            <w:pPr>
              <w:rPr>
                <w:sz w:val="24"/>
                <w:szCs w:val="22"/>
              </w:rPr>
            </w:pPr>
            <w:r>
              <w:rPr>
                <w:rFonts w:hint="eastAsia"/>
                <w:sz w:val="24"/>
                <w:szCs w:val="22"/>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5" w:hRule="atLeast"/>
        </w:trPr>
        <w:tc>
          <w:tcPr>
            <w:tcW w:w="709" w:type="dxa"/>
            <w:tcBorders>
              <w:top w:val="single" w:color="auto" w:sz="4" w:space="0"/>
            </w:tcBorders>
            <w:vAlign w:val="center"/>
          </w:tcPr>
          <w:p>
            <w:pPr>
              <w:rPr>
                <w:sz w:val="24"/>
                <w:szCs w:val="22"/>
              </w:rPr>
            </w:pPr>
            <w:r>
              <w:rPr>
                <w:rFonts w:hint="eastAsia"/>
                <w:sz w:val="24"/>
                <w:szCs w:val="22"/>
              </w:rPr>
              <w:t>3</w:t>
            </w:r>
          </w:p>
        </w:tc>
        <w:tc>
          <w:tcPr>
            <w:tcW w:w="1593" w:type="dxa"/>
            <w:vAlign w:val="center"/>
          </w:tcPr>
          <w:p>
            <w:pPr>
              <w:rPr>
                <w:sz w:val="24"/>
                <w:szCs w:val="22"/>
              </w:rPr>
            </w:pPr>
            <w:r>
              <w:rPr>
                <w:rFonts w:hint="eastAsia"/>
                <w:sz w:val="24"/>
                <w:szCs w:val="22"/>
              </w:rPr>
              <w:t>质量保障措施及方案</w:t>
            </w:r>
          </w:p>
        </w:tc>
        <w:tc>
          <w:tcPr>
            <w:tcW w:w="6073" w:type="dxa"/>
            <w:vAlign w:val="center"/>
          </w:tcPr>
          <w:p>
            <w:pPr>
              <w:rPr>
                <w:sz w:val="24"/>
                <w:szCs w:val="22"/>
              </w:rPr>
            </w:pPr>
            <w:r>
              <w:rPr>
                <w:rFonts w:hint="eastAsia"/>
                <w:sz w:val="24"/>
                <w:szCs w:val="22"/>
              </w:rPr>
              <w:t>考察投标人是否配备有专门的质量管理机构、排查人员配备数量、项目组织架构、管理制度是否健全、主要的工作流程是否有质量保证措施和手段等情况。</w:t>
            </w:r>
          </w:p>
          <w:p>
            <w:pPr>
              <w:rPr>
                <w:sz w:val="24"/>
                <w:szCs w:val="22"/>
              </w:rPr>
            </w:pPr>
            <w:r>
              <w:rPr>
                <w:rFonts w:hint="eastAsia"/>
                <w:sz w:val="24"/>
                <w:szCs w:val="22"/>
              </w:rPr>
              <w:t>（1）配备有专门的质量管理机构且管理制度健全；</w:t>
            </w:r>
          </w:p>
          <w:p>
            <w:pPr>
              <w:rPr>
                <w:sz w:val="24"/>
                <w:szCs w:val="22"/>
              </w:rPr>
            </w:pPr>
            <w:r>
              <w:rPr>
                <w:rFonts w:hint="eastAsia"/>
                <w:sz w:val="24"/>
                <w:szCs w:val="22"/>
              </w:rPr>
              <w:t>（2）主要的工作流程质量保障措施科学合理；</w:t>
            </w:r>
          </w:p>
          <w:p>
            <w:pPr>
              <w:rPr>
                <w:sz w:val="24"/>
                <w:szCs w:val="22"/>
              </w:rPr>
            </w:pPr>
            <w:r>
              <w:rPr>
                <w:rFonts w:hint="eastAsia"/>
                <w:sz w:val="24"/>
                <w:szCs w:val="22"/>
              </w:rPr>
              <w:t>（3）项目组织架构完整、排查人员配备数量符合招标需求；</w:t>
            </w:r>
          </w:p>
          <w:p>
            <w:pPr>
              <w:rPr>
                <w:sz w:val="24"/>
                <w:szCs w:val="22"/>
              </w:rPr>
            </w:pPr>
            <w:r>
              <w:rPr>
                <w:rFonts w:hint="eastAsia"/>
                <w:sz w:val="24"/>
                <w:szCs w:val="22"/>
              </w:rPr>
              <w:t xml:space="preserve">（4）整体方案内容可操作性强、针对性强。 </w:t>
            </w:r>
          </w:p>
          <w:p>
            <w:pPr>
              <w:rPr>
                <w:sz w:val="24"/>
                <w:szCs w:val="22"/>
              </w:rPr>
            </w:pPr>
            <w:r>
              <w:rPr>
                <w:rFonts w:hint="eastAsia"/>
                <w:sz w:val="24"/>
                <w:szCs w:val="22"/>
              </w:rPr>
              <w:t>优评分标准：满足以上四项要求的评价为优，得1</w:t>
            </w:r>
            <w:r>
              <w:rPr>
                <w:sz w:val="24"/>
                <w:szCs w:val="22"/>
              </w:rPr>
              <w:t>5</w:t>
            </w:r>
            <w:r>
              <w:rPr>
                <w:rFonts w:hint="eastAsia"/>
                <w:sz w:val="24"/>
                <w:szCs w:val="22"/>
              </w:rPr>
              <w:t>分；</w:t>
            </w:r>
          </w:p>
          <w:p>
            <w:pPr>
              <w:rPr>
                <w:sz w:val="24"/>
                <w:szCs w:val="22"/>
              </w:rPr>
            </w:pPr>
            <w:r>
              <w:rPr>
                <w:rFonts w:hint="eastAsia"/>
                <w:sz w:val="24"/>
                <w:szCs w:val="22"/>
              </w:rPr>
              <w:t>良评分标准：满足以上三项要求的评价为良，得</w:t>
            </w:r>
            <w:r>
              <w:rPr>
                <w:sz w:val="24"/>
                <w:szCs w:val="22"/>
              </w:rPr>
              <w:t>10</w:t>
            </w:r>
            <w:r>
              <w:rPr>
                <w:rFonts w:hint="eastAsia"/>
                <w:sz w:val="24"/>
                <w:szCs w:val="22"/>
              </w:rPr>
              <w:t>分；</w:t>
            </w:r>
          </w:p>
          <w:p>
            <w:pPr>
              <w:rPr>
                <w:sz w:val="24"/>
                <w:szCs w:val="22"/>
              </w:rPr>
            </w:pPr>
            <w:r>
              <w:rPr>
                <w:rFonts w:hint="eastAsia"/>
                <w:sz w:val="24"/>
                <w:szCs w:val="22"/>
              </w:rPr>
              <w:t>中评分标准：满足以上两项要求的评价为中，得</w:t>
            </w:r>
            <w:r>
              <w:rPr>
                <w:sz w:val="24"/>
                <w:szCs w:val="22"/>
              </w:rPr>
              <w:t>6</w:t>
            </w:r>
            <w:r>
              <w:rPr>
                <w:rFonts w:hint="eastAsia"/>
                <w:sz w:val="24"/>
                <w:szCs w:val="22"/>
              </w:rPr>
              <w:t>分；</w:t>
            </w:r>
          </w:p>
          <w:p>
            <w:pPr>
              <w:rPr>
                <w:sz w:val="24"/>
                <w:szCs w:val="22"/>
              </w:rPr>
            </w:pPr>
            <w:r>
              <w:rPr>
                <w:rFonts w:hint="eastAsia"/>
                <w:sz w:val="24"/>
                <w:szCs w:val="22"/>
              </w:rPr>
              <w:t>差评分标准：上述情况之外的，评差，得0分。</w:t>
            </w:r>
          </w:p>
        </w:tc>
        <w:tc>
          <w:tcPr>
            <w:tcW w:w="725" w:type="dxa"/>
            <w:tcBorders>
              <w:right w:val="single" w:color="auto" w:sz="4" w:space="0"/>
            </w:tcBorders>
            <w:vAlign w:val="center"/>
          </w:tcPr>
          <w:p>
            <w:pPr>
              <w:rPr>
                <w:sz w:val="24"/>
                <w:szCs w:val="22"/>
              </w:rPr>
            </w:pPr>
            <w:r>
              <w:rPr>
                <w:rFonts w:hint="eastAsia"/>
                <w:sz w:val="24"/>
                <w:szCs w:val="22"/>
              </w:rPr>
              <w:t>1</w:t>
            </w:r>
            <w:r>
              <w:rPr>
                <w:sz w:val="24"/>
                <w:szCs w:val="22"/>
              </w:rPr>
              <w:t>5</w:t>
            </w:r>
            <w:r>
              <w:rPr>
                <w:rFonts w:hint="eastAsia"/>
                <w:sz w:val="24"/>
                <w:szCs w:val="22"/>
              </w:rPr>
              <w:t>%</w:t>
            </w:r>
          </w:p>
        </w:tc>
        <w:tc>
          <w:tcPr>
            <w:tcW w:w="792" w:type="dxa"/>
            <w:tcBorders>
              <w:left w:val="single" w:color="auto" w:sz="4" w:space="0"/>
            </w:tcBorders>
            <w:vAlign w:val="center"/>
          </w:tcPr>
          <w:p>
            <w:pPr>
              <w:rPr>
                <w:sz w:val="24"/>
                <w:szCs w:val="22"/>
              </w:rPr>
            </w:pPr>
            <w:r>
              <w:rPr>
                <w:rFonts w:hint="eastAsia"/>
                <w:sz w:val="24"/>
                <w:szCs w:val="22"/>
              </w:rPr>
              <w:t>1</w:t>
            </w:r>
            <w:r>
              <w:rPr>
                <w:sz w:val="24"/>
                <w:szCs w:val="22"/>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09" w:type="dxa"/>
            <w:tcBorders>
              <w:top w:val="single" w:color="auto" w:sz="4" w:space="0"/>
            </w:tcBorders>
            <w:vAlign w:val="center"/>
          </w:tcPr>
          <w:p>
            <w:pPr>
              <w:rPr>
                <w:sz w:val="24"/>
                <w:szCs w:val="22"/>
              </w:rPr>
            </w:pPr>
            <w:r>
              <w:rPr>
                <w:rFonts w:hint="eastAsia"/>
                <w:sz w:val="24"/>
                <w:szCs w:val="22"/>
              </w:rPr>
              <w:t>4</w:t>
            </w:r>
          </w:p>
        </w:tc>
        <w:tc>
          <w:tcPr>
            <w:tcW w:w="1593" w:type="dxa"/>
            <w:vAlign w:val="center"/>
          </w:tcPr>
          <w:p>
            <w:pPr>
              <w:rPr>
                <w:sz w:val="24"/>
                <w:szCs w:val="22"/>
              </w:rPr>
            </w:pPr>
            <w:r>
              <w:rPr>
                <w:rFonts w:hint="eastAsia"/>
                <w:sz w:val="24"/>
                <w:szCs w:val="22"/>
              </w:rPr>
              <w:t>应急方案</w:t>
            </w:r>
          </w:p>
        </w:tc>
        <w:tc>
          <w:tcPr>
            <w:tcW w:w="6073" w:type="dxa"/>
            <w:vAlign w:val="center"/>
          </w:tcPr>
          <w:p>
            <w:pPr>
              <w:rPr>
                <w:sz w:val="24"/>
                <w:szCs w:val="22"/>
              </w:rPr>
            </w:pPr>
            <w:r>
              <w:rPr>
                <w:rFonts w:hint="eastAsia"/>
                <w:sz w:val="24"/>
                <w:szCs w:val="22"/>
              </w:rPr>
              <w:t>针对本项目的特点，提出合理可行的突发事件的应对措施和应急预案。</w:t>
            </w:r>
          </w:p>
          <w:p>
            <w:pPr>
              <w:rPr>
                <w:sz w:val="24"/>
                <w:szCs w:val="22"/>
              </w:rPr>
            </w:pPr>
            <w:r>
              <w:rPr>
                <w:rFonts w:hint="eastAsia"/>
                <w:sz w:val="24"/>
                <w:szCs w:val="22"/>
              </w:rPr>
              <w:t>（1）应急方案内容全面；</w:t>
            </w:r>
          </w:p>
          <w:p>
            <w:pPr>
              <w:rPr>
                <w:sz w:val="24"/>
                <w:szCs w:val="22"/>
              </w:rPr>
            </w:pPr>
            <w:r>
              <w:rPr>
                <w:rFonts w:hint="eastAsia"/>
                <w:sz w:val="24"/>
                <w:szCs w:val="22"/>
              </w:rPr>
              <w:t xml:space="preserve">（2）应急方案内容具体； </w:t>
            </w:r>
          </w:p>
          <w:p>
            <w:pPr>
              <w:rPr>
                <w:sz w:val="24"/>
                <w:szCs w:val="22"/>
              </w:rPr>
            </w:pPr>
            <w:r>
              <w:rPr>
                <w:rFonts w:hint="eastAsia"/>
                <w:sz w:val="24"/>
                <w:szCs w:val="22"/>
              </w:rPr>
              <w:t>（3）应急方案内容科学合理；</w:t>
            </w:r>
          </w:p>
          <w:p>
            <w:pPr>
              <w:rPr>
                <w:sz w:val="24"/>
                <w:szCs w:val="22"/>
              </w:rPr>
            </w:pPr>
            <w:r>
              <w:rPr>
                <w:rFonts w:hint="eastAsia"/>
                <w:sz w:val="24"/>
                <w:szCs w:val="22"/>
              </w:rPr>
              <w:t xml:space="preserve">（4）应急方案内容针对性强； </w:t>
            </w:r>
          </w:p>
          <w:p>
            <w:pPr>
              <w:rPr>
                <w:sz w:val="24"/>
                <w:szCs w:val="22"/>
              </w:rPr>
            </w:pPr>
            <w:r>
              <w:rPr>
                <w:rFonts w:hint="eastAsia"/>
                <w:sz w:val="24"/>
                <w:szCs w:val="22"/>
              </w:rPr>
              <w:t xml:space="preserve">（5）应急方案内容可操作性强。 </w:t>
            </w:r>
          </w:p>
          <w:p>
            <w:pPr>
              <w:rPr>
                <w:sz w:val="24"/>
                <w:szCs w:val="22"/>
              </w:rPr>
            </w:pPr>
            <w:r>
              <w:rPr>
                <w:rFonts w:hint="eastAsia"/>
                <w:sz w:val="24"/>
                <w:szCs w:val="22"/>
              </w:rPr>
              <w:t>优评分标准：满足以上五项要求的评价为优，得10分；</w:t>
            </w:r>
          </w:p>
          <w:p>
            <w:pPr>
              <w:rPr>
                <w:sz w:val="24"/>
                <w:szCs w:val="22"/>
              </w:rPr>
            </w:pPr>
            <w:r>
              <w:rPr>
                <w:rFonts w:hint="eastAsia"/>
                <w:sz w:val="24"/>
                <w:szCs w:val="22"/>
              </w:rPr>
              <w:t>良评分标准：满足以上四项要求的评价为良，得8分；</w:t>
            </w:r>
          </w:p>
          <w:p>
            <w:pPr>
              <w:rPr>
                <w:sz w:val="24"/>
                <w:szCs w:val="22"/>
              </w:rPr>
            </w:pPr>
            <w:r>
              <w:rPr>
                <w:rFonts w:hint="eastAsia"/>
                <w:sz w:val="24"/>
                <w:szCs w:val="22"/>
              </w:rPr>
              <w:t>中评分标准：满足以上三项要求的评价为中，得6分；</w:t>
            </w:r>
          </w:p>
          <w:p>
            <w:pPr>
              <w:rPr>
                <w:sz w:val="24"/>
                <w:szCs w:val="22"/>
              </w:rPr>
            </w:pPr>
            <w:r>
              <w:rPr>
                <w:rFonts w:hint="eastAsia"/>
                <w:sz w:val="24"/>
                <w:szCs w:val="22"/>
              </w:rPr>
              <w:t>差评分标准：上述情况之外的，评差，得0分。</w:t>
            </w:r>
          </w:p>
        </w:tc>
        <w:tc>
          <w:tcPr>
            <w:tcW w:w="725" w:type="dxa"/>
            <w:tcBorders>
              <w:right w:val="single" w:color="auto" w:sz="4" w:space="0"/>
            </w:tcBorders>
            <w:vAlign w:val="center"/>
          </w:tcPr>
          <w:p>
            <w:pPr>
              <w:rPr>
                <w:sz w:val="24"/>
                <w:szCs w:val="22"/>
              </w:rPr>
            </w:pPr>
            <w:r>
              <w:rPr>
                <w:rFonts w:hint="eastAsia"/>
                <w:sz w:val="24"/>
                <w:szCs w:val="22"/>
              </w:rPr>
              <w:t>10%</w:t>
            </w:r>
          </w:p>
        </w:tc>
        <w:tc>
          <w:tcPr>
            <w:tcW w:w="792" w:type="dxa"/>
            <w:tcBorders>
              <w:left w:val="single" w:color="auto" w:sz="4" w:space="0"/>
            </w:tcBorders>
            <w:vAlign w:val="center"/>
          </w:tcPr>
          <w:p>
            <w:pPr>
              <w:rPr>
                <w:sz w:val="24"/>
                <w:szCs w:val="22"/>
              </w:rPr>
            </w:pPr>
            <w:r>
              <w:rPr>
                <w:rFonts w:hint="eastAsia"/>
                <w:sz w:val="24"/>
                <w:szCs w:val="22"/>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trPr>
        <w:tc>
          <w:tcPr>
            <w:tcW w:w="709" w:type="dxa"/>
            <w:tcBorders>
              <w:top w:val="single" w:color="auto" w:sz="4" w:space="0"/>
            </w:tcBorders>
            <w:vAlign w:val="center"/>
          </w:tcPr>
          <w:p>
            <w:pPr>
              <w:rPr>
                <w:sz w:val="24"/>
                <w:szCs w:val="22"/>
              </w:rPr>
            </w:pPr>
            <w:r>
              <w:rPr>
                <w:rFonts w:hint="eastAsia"/>
                <w:sz w:val="24"/>
                <w:szCs w:val="22"/>
              </w:rPr>
              <w:t>三</w:t>
            </w:r>
          </w:p>
        </w:tc>
        <w:tc>
          <w:tcPr>
            <w:tcW w:w="9183" w:type="dxa"/>
            <w:gridSpan w:val="4"/>
            <w:vAlign w:val="center"/>
          </w:tcPr>
          <w:p>
            <w:pPr>
              <w:rPr>
                <w:sz w:val="24"/>
                <w:szCs w:val="22"/>
              </w:rPr>
            </w:pPr>
            <w:r>
              <w:rPr>
                <w:rFonts w:hint="eastAsia"/>
                <w:sz w:val="24"/>
                <w:szCs w:val="22"/>
              </w:rPr>
              <w:t>商务部分（30分）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4" w:hRule="atLeast"/>
        </w:trPr>
        <w:tc>
          <w:tcPr>
            <w:tcW w:w="709" w:type="dxa"/>
            <w:tcBorders>
              <w:top w:val="single" w:color="auto" w:sz="4" w:space="0"/>
            </w:tcBorders>
            <w:vAlign w:val="center"/>
          </w:tcPr>
          <w:p>
            <w:pPr>
              <w:rPr>
                <w:sz w:val="24"/>
                <w:szCs w:val="22"/>
              </w:rPr>
            </w:pPr>
            <w:r>
              <w:rPr>
                <w:sz w:val="24"/>
                <w:szCs w:val="22"/>
              </w:rPr>
              <w:t>5</w:t>
            </w:r>
          </w:p>
        </w:tc>
        <w:tc>
          <w:tcPr>
            <w:tcW w:w="1593" w:type="dxa"/>
            <w:vAlign w:val="center"/>
          </w:tcPr>
          <w:p>
            <w:pPr>
              <w:rPr>
                <w:sz w:val="24"/>
                <w:szCs w:val="22"/>
              </w:rPr>
            </w:pPr>
            <w:r>
              <w:rPr>
                <w:rFonts w:hint="eastAsia"/>
                <w:sz w:val="24"/>
                <w:szCs w:val="22"/>
              </w:rPr>
              <w:t>拟项目负责人</w:t>
            </w:r>
          </w:p>
        </w:tc>
        <w:tc>
          <w:tcPr>
            <w:tcW w:w="6073" w:type="dxa"/>
          </w:tcPr>
          <w:p>
            <w:pPr>
              <w:rPr>
                <w:sz w:val="24"/>
                <w:szCs w:val="22"/>
              </w:rPr>
            </w:pPr>
            <w:r>
              <w:rPr>
                <w:rFonts w:hint="eastAsia"/>
                <w:sz w:val="24"/>
                <w:szCs w:val="22"/>
              </w:rPr>
              <w:t>具有中级注册安全工程师证书；</w:t>
            </w:r>
          </w:p>
          <w:p>
            <w:pPr>
              <w:rPr>
                <w:sz w:val="24"/>
                <w:szCs w:val="22"/>
              </w:rPr>
            </w:pPr>
            <w:r>
              <w:rPr>
                <w:rFonts w:hint="eastAsia"/>
                <w:sz w:val="24"/>
                <w:szCs w:val="22"/>
              </w:rPr>
              <w:t>具有一级注册消防安全工程师；</w:t>
            </w:r>
          </w:p>
          <w:p>
            <w:pPr>
              <w:rPr>
                <w:sz w:val="24"/>
                <w:szCs w:val="22"/>
              </w:rPr>
            </w:pPr>
            <w:r>
              <w:rPr>
                <w:rFonts w:hint="eastAsia"/>
                <w:sz w:val="24"/>
                <w:szCs w:val="22"/>
              </w:rPr>
              <w:t>具备二项得10分；一项5分；其余不得分。</w:t>
            </w:r>
          </w:p>
          <w:p>
            <w:pPr>
              <w:rPr>
                <w:sz w:val="24"/>
                <w:szCs w:val="22"/>
              </w:rPr>
            </w:pPr>
            <w:r>
              <w:rPr>
                <w:rFonts w:hint="eastAsia"/>
                <w:sz w:val="24"/>
                <w:szCs w:val="22"/>
              </w:rPr>
              <w:t>证明材料：</w:t>
            </w:r>
          </w:p>
          <w:p>
            <w:pPr>
              <w:rPr>
                <w:sz w:val="24"/>
                <w:szCs w:val="22"/>
              </w:rPr>
            </w:pPr>
            <w:r>
              <w:rPr>
                <w:rFonts w:hint="eastAsia"/>
                <w:sz w:val="24"/>
                <w:szCs w:val="22"/>
              </w:rPr>
              <w:t>1、提供相关证书扫描件，并加盖投标人公章，原件备查；</w:t>
            </w:r>
          </w:p>
          <w:p>
            <w:pPr>
              <w:rPr>
                <w:sz w:val="24"/>
                <w:szCs w:val="22"/>
              </w:rPr>
            </w:pPr>
            <w:r>
              <w:rPr>
                <w:rFonts w:hint="eastAsia"/>
                <w:sz w:val="24"/>
                <w:szCs w:val="22"/>
              </w:rPr>
              <w:t>2、提供开标日前由投标人为其缴交的载有社保部门公章的近三个月社保缴交证明材料，如开标日上一个月的社保材料因社保部门原因暂时无法取得，则可以往前顺延一个月提供复印件或扫描件，原件备查。</w:t>
            </w:r>
          </w:p>
          <w:p>
            <w:pPr>
              <w:rPr>
                <w:sz w:val="24"/>
                <w:szCs w:val="22"/>
              </w:rPr>
            </w:pPr>
            <w:r>
              <w:rPr>
                <w:rFonts w:hint="eastAsia"/>
                <w:sz w:val="24"/>
                <w:szCs w:val="22"/>
              </w:rPr>
              <w:t>未按要求提供或提供不清晰导致专家无法判断的不得分。</w:t>
            </w:r>
          </w:p>
        </w:tc>
        <w:tc>
          <w:tcPr>
            <w:tcW w:w="725" w:type="dxa"/>
            <w:tcBorders>
              <w:right w:val="single" w:color="auto" w:sz="4" w:space="0"/>
            </w:tcBorders>
            <w:vAlign w:val="center"/>
          </w:tcPr>
          <w:p>
            <w:pPr>
              <w:rPr>
                <w:sz w:val="24"/>
                <w:szCs w:val="22"/>
              </w:rPr>
            </w:pPr>
            <w:r>
              <w:rPr>
                <w:rFonts w:hint="eastAsia"/>
                <w:sz w:val="24"/>
                <w:szCs w:val="22"/>
              </w:rPr>
              <w:t>10%</w:t>
            </w:r>
          </w:p>
        </w:tc>
        <w:tc>
          <w:tcPr>
            <w:tcW w:w="792" w:type="dxa"/>
            <w:tcBorders>
              <w:left w:val="single" w:color="auto" w:sz="4" w:space="0"/>
            </w:tcBorders>
            <w:vAlign w:val="center"/>
          </w:tcPr>
          <w:p>
            <w:pPr>
              <w:rPr>
                <w:sz w:val="24"/>
                <w:szCs w:val="22"/>
              </w:rPr>
            </w:pPr>
            <w:r>
              <w:rPr>
                <w:rFonts w:hint="eastAsia"/>
                <w:sz w:val="24"/>
                <w:szCs w:val="22"/>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4" w:hRule="atLeast"/>
        </w:trPr>
        <w:tc>
          <w:tcPr>
            <w:tcW w:w="709" w:type="dxa"/>
            <w:tcBorders>
              <w:top w:val="single" w:color="auto" w:sz="4" w:space="0"/>
            </w:tcBorders>
            <w:vAlign w:val="center"/>
          </w:tcPr>
          <w:p>
            <w:pPr>
              <w:rPr>
                <w:sz w:val="24"/>
                <w:szCs w:val="22"/>
              </w:rPr>
            </w:pPr>
            <w:r>
              <w:rPr>
                <w:sz w:val="24"/>
                <w:szCs w:val="22"/>
              </w:rPr>
              <w:t>6</w:t>
            </w:r>
          </w:p>
        </w:tc>
        <w:tc>
          <w:tcPr>
            <w:tcW w:w="1593" w:type="dxa"/>
            <w:vAlign w:val="center"/>
          </w:tcPr>
          <w:p>
            <w:pPr>
              <w:rPr>
                <w:sz w:val="24"/>
                <w:szCs w:val="22"/>
              </w:rPr>
            </w:pPr>
            <w:r>
              <w:rPr>
                <w:rFonts w:hint="eastAsia"/>
                <w:sz w:val="24"/>
                <w:szCs w:val="22"/>
              </w:rPr>
              <w:t>拟安排本项目技术人员</w:t>
            </w:r>
          </w:p>
        </w:tc>
        <w:tc>
          <w:tcPr>
            <w:tcW w:w="6073" w:type="dxa"/>
          </w:tcPr>
          <w:p>
            <w:pPr>
              <w:rPr>
                <w:sz w:val="24"/>
                <w:szCs w:val="22"/>
              </w:rPr>
            </w:pPr>
            <w:r>
              <w:rPr>
                <w:rFonts w:hint="eastAsia"/>
                <w:sz w:val="24"/>
                <w:szCs w:val="22"/>
              </w:rPr>
              <w:t>具有低压电工操作证，至少4人；</w:t>
            </w:r>
          </w:p>
          <w:p>
            <w:pPr>
              <w:rPr>
                <w:sz w:val="24"/>
                <w:szCs w:val="22"/>
              </w:rPr>
            </w:pPr>
            <w:r>
              <w:rPr>
                <w:rFonts w:hint="eastAsia"/>
                <w:sz w:val="24"/>
                <w:szCs w:val="22"/>
              </w:rPr>
              <w:t>全部具备得10分。</w:t>
            </w:r>
          </w:p>
          <w:p>
            <w:pPr>
              <w:rPr>
                <w:sz w:val="24"/>
                <w:szCs w:val="22"/>
              </w:rPr>
            </w:pPr>
            <w:r>
              <w:rPr>
                <w:rFonts w:hint="eastAsia"/>
                <w:sz w:val="24"/>
                <w:szCs w:val="22"/>
              </w:rPr>
              <w:t>证明材料：</w:t>
            </w:r>
          </w:p>
          <w:p>
            <w:pPr>
              <w:rPr>
                <w:sz w:val="24"/>
                <w:szCs w:val="22"/>
              </w:rPr>
            </w:pPr>
            <w:r>
              <w:rPr>
                <w:rFonts w:hint="eastAsia"/>
                <w:sz w:val="24"/>
                <w:szCs w:val="22"/>
              </w:rPr>
              <w:t>1、提供相关证书扫描件，并加盖投标人公章，原件备查；</w:t>
            </w:r>
          </w:p>
          <w:p>
            <w:pPr>
              <w:rPr>
                <w:sz w:val="24"/>
                <w:szCs w:val="22"/>
              </w:rPr>
            </w:pPr>
            <w:r>
              <w:rPr>
                <w:rFonts w:hint="eastAsia"/>
                <w:sz w:val="24"/>
                <w:szCs w:val="22"/>
              </w:rPr>
              <w:t>2、提供开标日前由投标人为其缴交的载有社保部门公章的近三个月社保缴交证明材料，如开标日上一个月的社保材料因社保部门原因暂时无法取得，则可以往前顺延一个月提供复印件或扫描件，原件备查。</w:t>
            </w:r>
          </w:p>
          <w:p>
            <w:pPr>
              <w:rPr>
                <w:sz w:val="24"/>
                <w:szCs w:val="22"/>
              </w:rPr>
            </w:pPr>
            <w:r>
              <w:rPr>
                <w:rFonts w:hint="eastAsia"/>
                <w:sz w:val="24"/>
                <w:szCs w:val="22"/>
              </w:rPr>
              <w:t>未按要求提供或提供不清晰导致专家无法判断的不得分。</w:t>
            </w:r>
          </w:p>
        </w:tc>
        <w:tc>
          <w:tcPr>
            <w:tcW w:w="725" w:type="dxa"/>
            <w:tcBorders>
              <w:right w:val="single" w:color="auto" w:sz="4" w:space="0"/>
            </w:tcBorders>
            <w:vAlign w:val="center"/>
          </w:tcPr>
          <w:p>
            <w:pPr>
              <w:rPr>
                <w:sz w:val="24"/>
                <w:szCs w:val="22"/>
              </w:rPr>
            </w:pPr>
            <w:r>
              <w:rPr>
                <w:rFonts w:hint="eastAsia"/>
                <w:sz w:val="24"/>
                <w:szCs w:val="22"/>
              </w:rPr>
              <w:t>10%</w:t>
            </w:r>
          </w:p>
        </w:tc>
        <w:tc>
          <w:tcPr>
            <w:tcW w:w="792" w:type="dxa"/>
            <w:tcBorders>
              <w:left w:val="single" w:color="auto" w:sz="4" w:space="0"/>
            </w:tcBorders>
            <w:vAlign w:val="center"/>
          </w:tcPr>
          <w:p>
            <w:pPr>
              <w:rPr>
                <w:sz w:val="24"/>
                <w:szCs w:val="22"/>
              </w:rPr>
            </w:pPr>
            <w:r>
              <w:rPr>
                <w:rFonts w:hint="eastAsia"/>
                <w:sz w:val="24"/>
                <w:szCs w:val="22"/>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4" w:hRule="atLeast"/>
        </w:trPr>
        <w:tc>
          <w:tcPr>
            <w:tcW w:w="709" w:type="dxa"/>
            <w:tcBorders>
              <w:top w:val="single" w:color="auto" w:sz="4" w:space="0"/>
              <w:left w:val="single" w:color="auto" w:sz="8" w:space="0"/>
              <w:bottom w:val="single" w:color="auto" w:sz="4" w:space="0"/>
              <w:right w:val="single" w:color="auto" w:sz="8" w:space="0"/>
            </w:tcBorders>
            <w:vAlign w:val="center"/>
          </w:tcPr>
          <w:p>
            <w:pPr>
              <w:rPr>
                <w:sz w:val="24"/>
                <w:szCs w:val="22"/>
              </w:rPr>
            </w:pPr>
            <w:r>
              <w:rPr>
                <w:sz w:val="24"/>
                <w:szCs w:val="22"/>
              </w:rPr>
              <w:t>7</w:t>
            </w:r>
          </w:p>
        </w:tc>
        <w:tc>
          <w:tcPr>
            <w:tcW w:w="1593" w:type="dxa"/>
            <w:tcBorders>
              <w:top w:val="single" w:color="auto" w:sz="8" w:space="0"/>
              <w:left w:val="single" w:color="auto" w:sz="8" w:space="0"/>
              <w:bottom w:val="single" w:color="auto" w:sz="8" w:space="0"/>
              <w:right w:val="single" w:color="auto" w:sz="8" w:space="0"/>
            </w:tcBorders>
            <w:vAlign w:val="center"/>
          </w:tcPr>
          <w:p>
            <w:pPr>
              <w:rPr>
                <w:sz w:val="24"/>
                <w:szCs w:val="22"/>
              </w:rPr>
            </w:pPr>
            <w:r>
              <w:rPr>
                <w:rFonts w:hint="eastAsia"/>
                <w:sz w:val="24"/>
                <w:szCs w:val="22"/>
              </w:rPr>
              <w:t>业绩</w:t>
            </w:r>
          </w:p>
        </w:tc>
        <w:tc>
          <w:tcPr>
            <w:tcW w:w="6073" w:type="dxa"/>
            <w:tcBorders>
              <w:top w:val="single" w:color="auto" w:sz="8" w:space="0"/>
              <w:left w:val="single" w:color="auto" w:sz="8" w:space="0"/>
              <w:bottom w:val="single" w:color="auto" w:sz="8" w:space="0"/>
              <w:right w:val="single" w:color="auto" w:sz="8" w:space="0"/>
            </w:tcBorders>
          </w:tcPr>
          <w:p>
            <w:pPr>
              <w:rPr>
                <w:sz w:val="24"/>
                <w:szCs w:val="22"/>
              </w:rPr>
            </w:pPr>
            <w:r>
              <w:rPr>
                <w:rFonts w:hint="eastAsia"/>
                <w:sz w:val="24"/>
                <w:szCs w:val="22"/>
              </w:rPr>
              <w:t>投标人具有政府行政机关或事业单位同类业绩，每份合同电气检测的每项2分，</w:t>
            </w:r>
            <w:r>
              <w:rPr>
                <w:rFonts w:hint="eastAsia"/>
                <w:sz w:val="24"/>
                <w:szCs w:val="22"/>
                <w:lang w:eastAsia="zh-CN"/>
              </w:rPr>
              <w:t>最多得</w:t>
            </w:r>
            <w:r>
              <w:rPr>
                <w:rFonts w:hint="eastAsia"/>
                <w:sz w:val="24"/>
                <w:szCs w:val="22"/>
              </w:rPr>
              <w:t>10分。</w:t>
            </w:r>
          </w:p>
          <w:p>
            <w:pPr>
              <w:rPr>
                <w:sz w:val="24"/>
                <w:szCs w:val="22"/>
              </w:rPr>
            </w:pPr>
            <w:r>
              <w:rPr>
                <w:rFonts w:hint="eastAsia"/>
                <w:sz w:val="24"/>
                <w:szCs w:val="22"/>
              </w:rPr>
              <w:t>注：投标文件中需提供中标通知书或者合同关键页复印件加盖公章。未按要求提供相关材料或不清晰导致无法识别的不计得分。</w:t>
            </w:r>
          </w:p>
        </w:tc>
        <w:tc>
          <w:tcPr>
            <w:tcW w:w="725" w:type="dxa"/>
            <w:tcBorders>
              <w:top w:val="single" w:color="auto" w:sz="8" w:space="0"/>
              <w:left w:val="single" w:color="auto" w:sz="8" w:space="0"/>
              <w:bottom w:val="single" w:color="auto" w:sz="8" w:space="0"/>
              <w:right w:val="single" w:color="auto" w:sz="4" w:space="0"/>
            </w:tcBorders>
            <w:vAlign w:val="center"/>
          </w:tcPr>
          <w:p>
            <w:pPr>
              <w:rPr>
                <w:sz w:val="24"/>
                <w:szCs w:val="22"/>
              </w:rPr>
            </w:pPr>
            <w:r>
              <w:rPr>
                <w:rFonts w:hint="eastAsia"/>
                <w:sz w:val="24"/>
                <w:szCs w:val="22"/>
              </w:rPr>
              <w:t>10%</w:t>
            </w:r>
          </w:p>
        </w:tc>
        <w:tc>
          <w:tcPr>
            <w:tcW w:w="792" w:type="dxa"/>
            <w:tcBorders>
              <w:top w:val="single" w:color="auto" w:sz="8" w:space="0"/>
              <w:left w:val="single" w:color="auto" w:sz="4" w:space="0"/>
              <w:bottom w:val="single" w:color="auto" w:sz="8" w:space="0"/>
              <w:right w:val="single" w:color="auto" w:sz="8" w:space="0"/>
            </w:tcBorders>
            <w:vAlign w:val="center"/>
          </w:tcPr>
          <w:p>
            <w:pPr>
              <w:rPr>
                <w:sz w:val="24"/>
                <w:szCs w:val="22"/>
              </w:rPr>
            </w:pPr>
            <w:r>
              <w:rPr>
                <w:rFonts w:hint="eastAsia"/>
                <w:sz w:val="24"/>
                <w:szCs w:val="22"/>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4" w:hRule="atLeast"/>
        </w:trPr>
        <w:tc>
          <w:tcPr>
            <w:tcW w:w="709" w:type="dxa"/>
            <w:tcBorders>
              <w:top w:val="single" w:color="auto" w:sz="4" w:space="0"/>
              <w:left w:val="single" w:color="auto" w:sz="8" w:space="0"/>
              <w:bottom w:val="single" w:color="auto" w:sz="4" w:space="0"/>
              <w:right w:val="single" w:color="auto" w:sz="8" w:space="0"/>
            </w:tcBorders>
            <w:vAlign w:val="center"/>
          </w:tcPr>
          <w:p>
            <w:pPr>
              <w:rPr>
                <w:rFonts w:hint="eastAsia"/>
                <w:sz w:val="24"/>
                <w:szCs w:val="22"/>
              </w:rPr>
            </w:pPr>
            <w:r>
              <w:rPr>
                <w:rFonts w:hint="eastAsia"/>
                <w:sz w:val="24"/>
                <w:szCs w:val="22"/>
              </w:rPr>
              <w:t>四</w:t>
            </w:r>
          </w:p>
        </w:tc>
        <w:tc>
          <w:tcPr>
            <w:tcW w:w="9183" w:type="dxa"/>
            <w:gridSpan w:val="4"/>
            <w:tcBorders>
              <w:top w:val="single" w:color="auto" w:sz="8" w:space="0"/>
              <w:left w:val="single" w:color="auto" w:sz="8" w:space="0"/>
              <w:bottom w:val="single" w:color="auto" w:sz="8" w:space="0"/>
              <w:right w:val="single" w:color="auto" w:sz="8" w:space="0"/>
            </w:tcBorders>
            <w:vAlign w:val="center"/>
          </w:tcPr>
          <w:p>
            <w:pPr>
              <w:rPr>
                <w:rFonts w:hint="eastAsia"/>
                <w:sz w:val="24"/>
                <w:szCs w:val="22"/>
              </w:rPr>
            </w:pPr>
            <w:r>
              <w:rPr>
                <w:rFonts w:hint="eastAsia"/>
                <w:sz w:val="24"/>
                <w:szCs w:val="22"/>
              </w:rPr>
              <w:t>诚信情况（</w:t>
            </w:r>
            <w:r>
              <w:rPr>
                <w:sz w:val="24"/>
                <w:szCs w:val="22"/>
              </w:rPr>
              <w:t>5</w:t>
            </w:r>
            <w:r>
              <w:rPr>
                <w:rFonts w:hint="eastAsia"/>
                <w:sz w:val="24"/>
                <w:szCs w:val="22"/>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4" w:hRule="atLeast"/>
        </w:trPr>
        <w:tc>
          <w:tcPr>
            <w:tcW w:w="709" w:type="dxa"/>
            <w:tcBorders>
              <w:top w:val="single" w:color="auto" w:sz="4" w:space="0"/>
              <w:left w:val="single" w:color="auto" w:sz="8" w:space="0"/>
              <w:bottom w:val="single" w:color="auto" w:sz="8" w:space="0"/>
              <w:right w:val="single" w:color="auto" w:sz="8" w:space="0"/>
            </w:tcBorders>
            <w:vAlign w:val="center"/>
          </w:tcPr>
          <w:p>
            <w:pPr>
              <w:rPr>
                <w:rFonts w:hint="eastAsia"/>
                <w:sz w:val="24"/>
                <w:szCs w:val="22"/>
              </w:rPr>
            </w:pPr>
            <w:r>
              <w:rPr>
                <w:rFonts w:hint="eastAsia"/>
                <w:sz w:val="24"/>
                <w:szCs w:val="22"/>
              </w:rPr>
              <w:t>8</w:t>
            </w:r>
          </w:p>
        </w:tc>
        <w:tc>
          <w:tcPr>
            <w:tcW w:w="1593" w:type="dxa"/>
            <w:tcBorders>
              <w:top w:val="single" w:color="auto" w:sz="8" w:space="0"/>
              <w:left w:val="single" w:color="auto" w:sz="8" w:space="0"/>
              <w:bottom w:val="single" w:color="auto" w:sz="8" w:space="0"/>
              <w:right w:val="single" w:color="auto" w:sz="8" w:space="0"/>
            </w:tcBorders>
            <w:vAlign w:val="center"/>
          </w:tcPr>
          <w:p>
            <w:pPr>
              <w:rPr>
                <w:rFonts w:hint="eastAsia"/>
                <w:sz w:val="24"/>
                <w:szCs w:val="22"/>
              </w:rPr>
            </w:pPr>
            <w:r>
              <w:rPr>
                <w:rFonts w:hint="eastAsia"/>
                <w:sz w:val="24"/>
                <w:szCs w:val="22"/>
              </w:rPr>
              <w:t>诚信评价</w:t>
            </w:r>
          </w:p>
        </w:tc>
        <w:tc>
          <w:tcPr>
            <w:tcW w:w="6073" w:type="dxa"/>
            <w:tcBorders>
              <w:top w:val="single" w:color="auto" w:sz="8" w:space="0"/>
              <w:left w:val="single" w:color="auto" w:sz="8" w:space="0"/>
              <w:bottom w:val="single" w:color="auto" w:sz="8" w:space="0"/>
              <w:right w:val="single" w:color="auto" w:sz="8" w:space="0"/>
            </w:tcBorders>
          </w:tcPr>
          <w:p>
            <w:pPr>
              <w:rPr>
                <w:rFonts w:hint="eastAsia"/>
                <w:sz w:val="24"/>
                <w:szCs w:val="22"/>
              </w:rPr>
            </w:pPr>
            <w:r>
              <w:rPr>
                <w:rFonts w:hint="eastAsia"/>
                <w:sz w:val="24"/>
                <w:szCs w:val="22"/>
              </w:rPr>
              <w:t>投标人在参与政府采购活动中存在诚信相关问题且在主管部门相关处理措施实施期限内的，本项不得分，否则得满分。投标人无需提供任何证明材料，由评标工作人员向评委会提供相关信息。</w:t>
            </w:r>
          </w:p>
        </w:tc>
        <w:tc>
          <w:tcPr>
            <w:tcW w:w="725" w:type="dxa"/>
            <w:tcBorders>
              <w:top w:val="single" w:color="auto" w:sz="8" w:space="0"/>
              <w:left w:val="single" w:color="auto" w:sz="8" w:space="0"/>
              <w:bottom w:val="single" w:color="auto" w:sz="8" w:space="0"/>
              <w:right w:val="single" w:color="auto" w:sz="4" w:space="0"/>
            </w:tcBorders>
            <w:vAlign w:val="center"/>
          </w:tcPr>
          <w:p>
            <w:pPr>
              <w:rPr>
                <w:sz w:val="24"/>
                <w:szCs w:val="22"/>
              </w:rPr>
            </w:pPr>
            <w:r>
              <w:rPr>
                <w:sz w:val="24"/>
                <w:szCs w:val="22"/>
              </w:rPr>
              <w:t>5</w:t>
            </w:r>
            <w:r>
              <w:rPr>
                <w:rFonts w:hint="eastAsia"/>
                <w:sz w:val="24"/>
                <w:szCs w:val="22"/>
              </w:rPr>
              <w:t>%</w:t>
            </w:r>
          </w:p>
        </w:tc>
        <w:tc>
          <w:tcPr>
            <w:tcW w:w="792" w:type="dxa"/>
            <w:tcBorders>
              <w:top w:val="single" w:color="auto" w:sz="8" w:space="0"/>
              <w:left w:val="single" w:color="auto" w:sz="4" w:space="0"/>
              <w:bottom w:val="single" w:color="auto" w:sz="8" w:space="0"/>
              <w:right w:val="single" w:color="auto" w:sz="8" w:space="0"/>
            </w:tcBorders>
            <w:vAlign w:val="center"/>
          </w:tcPr>
          <w:p>
            <w:pPr>
              <w:rPr>
                <w:sz w:val="24"/>
                <w:szCs w:val="22"/>
              </w:rPr>
            </w:pPr>
            <w:r>
              <w:rPr>
                <w:sz w:val="24"/>
                <w:szCs w:val="22"/>
              </w:rPr>
              <w:t>5</w:t>
            </w:r>
          </w:p>
        </w:tc>
      </w:tr>
    </w:tbl>
    <w:p>
      <w:pPr>
        <w:pStyle w:val="3"/>
      </w:pPr>
      <w:r>
        <w:br w:type="page"/>
      </w:r>
    </w:p>
    <w:p>
      <w:pPr>
        <w:pStyle w:val="3"/>
      </w:pPr>
      <w:r>
        <w:rPr>
          <w:rFonts w:hint="eastAsia"/>
        </w:rPr>
        <w:t>第二章  项目需求</w:t>
      </w:r>
    </w:p>
    <w:p>
      <w:pPr>
        <w:ind w:firstLine="480" w:firstLineChars="200"/>
        <w:rPr>
          <w:rFonts w:ascii="宋体" w:hAnsi="宋体"/>
          <w:sz w:val="24"/>
        </w:rPr>
      </w:pPr>
      <w:r>
        <w:rPr>
          <w:rFonts w:hint="eastAsia" w:ascii="宋体" w:hAnsi="宋体"/>
          <w:sz w:val="24"/>
        </w:rPr>
        <w:t>依据消防监督检查规定(公安部令第1</w:t>
      </w:r>
      <w:r>
        <w:rPr>
          <w:rFonts w:ascii="宋体" w:hAnsi="宋体"/>
          <w:sz w:val="24"/>
        </w:rPr>
        <w:t>20</w:t>
      </w:r>
      <w:r>
        <w:rPr>
          <w:rFonts w:hint="eastAsia" w:ascii="宋体" w:hAnsi="宋体"/>
          <w:sz w:val="24"/>
        </w:rPr>
        <w:t>号</w:t>
      </w:r>
      <w:r>
        <w:rPr>
          <w:rFonts w:ascii="宋体" w:hAnsi="宋体"/>
          <w:sz w:val="24"/>
        </w:rPr>
        <w:t>)</w:t>
      </w:r>
      <w:r>
        <w:rPr>
          <w:rFonts w:hint="eastAsia" w:ascii="宋体" w:hAnsi="宋体"/>
          <w:sz w:val="24"/>
        </w:rPr>
        <w:t>第十条规定“对单位履行法定消防安全职责情况的监督抽查，应当根据单位的实际情况检查下列内容：（五）电器线路、燃气管路是否定期维护保养、检测”，我校拟对用电安全全面检测。</w:t>
      </w:r>
    </w:p>
    <w:p>
      <w:pPr>
        <w:ind w:firstLine="480" w:firstLineChars="200"/>
        <w:rPr>
          <w:rFonts w:ascii="宋体" w:hAnsi="宋体"/>
          <w:sz w:val="24"/>
        </w:rPr>
      </w:pPr>
    </w:p>
    <w:p>
      <w:pPr>
        <w:pStyle w:val="4"/>
        <w:numPr>
          <w:ilvl w:val="0"/>
          <w:numId w:val="1"/>
        </w:numPr>
        <w:adjustRightInd/>
        <w:spacing w:before="0" w:after="0"/>
        <w:ind w:left="0" w:firstLine="482" w:firstLineChars="200"/>
        <w:jc w:val="both"/>
        <w:textAlignment w:val="auto"/>
        <w:rPr>
          <w:sz w:val="24"/>
          <w:szCs w:val="24"/>
        </w:rPr>
      </w:pPr>
      <w:r>
        <w:rPr>
          <w:rFonts w:hint="eastAsia"/>
          <w:sz w:val="24"/>
          <w:szCs w:val="24"/>
        </w:rPr>
        <w:t>项目名称</w:t>
      </w:r>
    </w:p>
    <w:p>
      <w:pPr>
        <w:ind w:firstLine="480" w:firstLineChars="200"/>
        <w:rPr>
          <w:rFonts w:ascii="宋体" w:hAnsi="宋体"/>
          <w:sz w:val="24"/>
        </w:rPr>
      </w:pPr>
      <w:r>
        <w:rPr>
          <w:rFonts w:hint="eastAsia" w:ascii="宋体" w:hAnsi="宋体"/>
          <w:sz w:val="24"/>
        </w:rPr>
        <w:t>2</w:t>
      </w:r>
      <w:r>
        <w:rPr>
          <w:rFonts w:ascii="宋体" w:hAnsi="宋体"/>
          <w:sz w:val="24"/>
        </w:rPr>
        <w:t>024</w:t>
      </w:r>
      <w:r>
        <w:rPr>
          <w:rFonts w:hint="eastAsia" w:ascii="宋体" w:hAnsi="宋体"/>
          <w:sz w:val="24"/>
        </w:rPr>
        <w:t>年用电安全检测服务</w:t>
      </w:r>
    </w:p>
    <w:p>
      <w:pPr>
        <w:pStyle w:val="4"/>
        <w:numPr>
          <w:ilvl w:val="0"/>
          <w:numId w:val="1"/>
        </w:numPr>
        <w:adjustRightInd/>
        <w:spacing w:before="0" w:after="0"/>
        <w:ind w:left="0" w:firstLine="482" w:firstLineChars="200"/>
        <w:jc w:val="both"/>
        <w:textAlignment w:val="auto"/>
        <w:rPr>
          <w:sz w:val="24"/>
          <w:szCs w:val="24"/>
        </w:rPr>
      </w:pPr>
      <w:r>
        <w:rPr>
          <w:rFonts w:hint="eastAsia"/>
          <w:sz w:val="24"/>
          <w:szCs w:val="24"/>
        </w:rPr>
        <w:t>项目地址</w:t>
      </w:r>
    </w:p>
    <w:p>
      <w:pPr>
        <w:ind w:firstLine="480" w:firstLineChars="200"/>
        <w:rPr>
          <w:rFonts w:ascii="宋体" w:hAnsi="宋体"/>
          <w:sz w:val="24"/>
        </w:rPr>
      </w:pPr>
      <w:r>
        <w:rPr>
          <w:rFonts w:ascii="宋体" w:hAnsi="宋体"/>
          <w:sz w:val="24"/>
        </w:rPr>
        <w:t>福田区福中路13号</w:t>
      </w:r>
    </w:p>
    <w:p>
      <w:pPr>
        <w:ind w:firstLine="480" w:firstLineChars="200"/>
        <w:rPr>
          <w:rFonts w:ascii="宋体" w:hAnsi="宋体"/>
          <w:sz w:val="24"/>
        </w:rPr>
      </w:pPr>
      <w:r>
        <w:rPr>
          <w:rFonts w:ascii="宋体" w:hAnsi="宋体"/>
          <w:sz w:val="24"/>
        </w:rPr>
        <w:t>坪山区坪山大道6346号</w:t>
      </w:r>
    </w:p>
    <w:p>
      <w:pPr>
        <w:pStyle w:val="4"/>
        <w:numPr>
          <w:ilvl w:val="0"/>
          <w:numId w:val="1"/>
        </w:numPr>
        <w:adjustRightInd/>
        <w:spacing w:before="0" w:after="0"/>
        <w:ind w:left="0" w:firstLine="482" w:firstLineChars="200"/>
        <w:jc w:val="both"/>
        <w:textAlignment w:val="auto"/>
        <w:rPr>
          <w:sz w:val="24"/>
          <w:szCs w:val="24"/>
        </w:rPr>
      </w:pPr>
      <w:bookmarkStart w:id="1" w:name="_Toc8584"/>
      <w:bookmarkStart w:id="2" w:name="_Toc5116"/>
      <w:bookmarkStart w:id="3" w:name="_Toc14228"/>
      <w:bookmarkStart w:id="4" w:name="_Toc10350"/>
      <w:r>
        <w:rPr>
          <w:rFonts w:hint="eastAsia"/>
          <w:sz w:val="24"/>
          <w:szCs w:val="24"/>
        </w:rPr>
        <w:t>电气防火安全检测内容</w:t>
      </w:r>
      <w:bookmarkEnd w:id="1"/>
      <w:bookmarkEnd w:id="2"/>
      <w:bookmarkEnd w:id="3"/>
      <w:bookmarkEnd w:id="4"/>
    </w:p>
    <w:p>
      <w:pPr>
        <w:ind w:firstLine="480" w:firstLineChars="200"/>
        <w:rPr>
          <w:rFonts w:ascii="宋体" w:hAnsi="宋体"/>
          <w:sz w:val="24"/>
        </w:rPr>
      </w:pPr>
      <w:r>
        <w:rPr>
          <w:rFonts w:hint="eastAsia" w:ascii="宋体" w:hAnsi="宋体"/>
          <w:sz w:val="24"/>
        </w:rPr>
        <w:t>参考电气防火安全检测要求检测的内容：</w:t>
      </w:r>
    </w:p>
    <w:p>
      <w:pPr>
        <w:pStyle w:val="33"/>
        <w:numPr>
          <w:ilvl w:val="0"/>
          <w:numId w:val="2"/>
        </w:numPr>
        <w:ind w:firstLineChars="0"/>
        <w:rPr>
          <w:rFonts w:ascii="宋体" w:hAnsi="宋体"/>
          <w:sz w:val="24"/>
        </w:rPr>
      </w:pPr>
      <w:r>
        <w:rPr>
          <w:rFonts w:hint="eastAsia" w:ascii="宋体" w:hAnsi="宋体"/>
          <w:sz w:val="24"/>
        </w:rPr>
        <w:t>电气系统的带电设备红外诊断；</w:t>
      </w:r>
    </w:p>
    <w:p>
      <w:pPr>
        <w:pStyle w:val="33"/>
        <w:numPr>
          <w:ilvl w:val="0"/>
          <w:numId w:val="2"/>
        </w:numPr>
        <w:ind w:firstLineChars="0"/>
        <w:rPr>
          <w:rFonts w:ascii="宋体" w:hAnsi="宋体"/>
          <w:sz w:val="24"/>
        </w:rPr>
      </w:pPr>
      <w:r>
        <w:rPr>
          <w:rFonts w:hint="eastAsia" w:ascii="宋体" w:hAnsi="宋体"/>
          <w:sz w:val="24"/>
        </w:rPr>
        <w:t>电气系统的接地电阻检测；</w:t>
      </w:r>
    </w:p>
    <w:p>
      <w:pPr>
        <w:pStyle w:val="33"/>
        <w:numPr>
          <w:ilvl w:val="0"/>
          <w:numId w:val="2"/>
        </w:numPr>
        <w:ind w:firstLineChars="0"/>
        <w:rPr>
          <w:rFonts w:ascii="宋体" w:hAnsi="宋体"/>
          <w:sz w:val="24"/>
        </w:rPr>
      </w:pPr>
      <w:r>
        <w:rPr>
          <w:rFonts w:hint="eastAsia" w:ascii="宋体" w:hAnsi="宋体"/>
          <w:sz w:val="24"/>
        </w:rPr>
        <w:t>电气系统剩余电流动作保护装置检测；</w:t>
      </w:r>
    </w:p>
    <w:p>
      <w:pPr>
        <w:pStyle w:val="33"/>
        <w:numPr>
          <w:ilvl w:val="0"/>
          <w:numId w:val="2"/>
        </w:numPr>
        <w:ind w:firstLineChars="0"/>
        <w:rPr>
          <w:rFonts w:ascii="宋体" w:hAnsi="宋体"/>
          <w:sz w:val="24"/>
        </w:rPr>
      </w:pPr>
      <w:r>
        <w:rPr>
          <w:rFonts w:hint="eastAsia" w:ascii="宋体" w:hAnsi="宋体"/>
          <w:sz w:val="24"/>
        </w:rPr>
        <w:t>变配电系统建筑、接线端子的安装情况；</w:t>
      </w:r>
    </w:p>
    <w:p>
      <w:pPr>
        <w:pStyle w:val="33"/>
        <w:numPr>
          <w:ilvl w:val="0"/>
          <w:numId w:val="2"/>
        </w:numPr>
        <w:ind w:firstLineChars="0"/>
        <w:rPr>
          <w:rFonts w:ascii="宋体" w:hAnsi="宋体"/>
          <w:sz w:val="24"/>
        </w:rPr>
      </w:pPr>
      <w:r>
        <w:rPr>
          <w:rFonts w:hint="eastAsia" w:ascii="宋体" w:hAnsi="宋体"/>
          <w:sz w:val="24"/>
        </w:rPr>
        <w:t>室内低压配电线情况，动力以及照明电箱、开关插座的安装；</w:t>
      </w:r>
    </w:p>
    <w:p>
      <w:pPr>
        <w:pStyle w:val="33"/>
        <w:numPr>
          <w:ilvl w:val="0"/>
          <w:numId w:val="2"/>
        </w:numPr>
        <w:ind w:firstLineChars="0"/>
        <w:rPr>
          <w:rFonts w:ascii="宋体" w:hAnsi="宋体"/>
          <w:sz w:val="24"/>
        </w:rPr>
      </w:pPr>
      <w:r>
        <w:rPr>
          <w:rFonts w:hint="eastAsia" w:ascii="宋体" w:hAnsi="宋体"/>
          <w:sz w:val="24"/>
        </w:rPr>
        <w:t>吊顶内线路的敷设；</w:t>
      </w:r>
    </w:p>
    <w:p>
      <w:pPr>
        <w:pStyle w:val="33"/>
        <w:numPr>
          <w:ilvl w:val="0"/>
          <w:numId w:val="2"/>
        </w:numPr>
        <w:ind w:firstLineChars="0"/>
        <w:rPr>
          <w:rFonts w:ascii="宋体" w:hAnsi="宋体"/>
          <w:sz w:val="24"/>
        </w:rPr>
      </w:pPr>
      <w:r>
        <w:rPr>
          <w:rFonts w:hint="eastAsia" w:ascii="宋体" w:hAnsi="宋体"/>
          <w:sz w:val="24"/>
        </w:rPr>
        <w:t>电气设备接地和等电位联结等。</w:t>
      </w:r>
    </w:p>
    <w:p>
      <w:pPr>
        <w:pStyle w:val="4"/>
        <w:numPr>
          <w:ilvl w:val="0"/>
          <w:numId w:val="1"/>
        </w:numPr>
        <w:adjustRightInd/>
        <w:spacing w:before="0" w:after="0"/>
        <w:ind w:left="0" w:firstLine="482" w:firstLineChars="200"/>
        <w:jc w:val="both"/>
        <w:textAlignment w:val="auto"/>
        <w:rPr>
          <w:sz w:val="24"/>
          <w:szCs w:val="24"/>
        </w:rPr>
      </w:pPr>
      <w:bookmarkStart w:id="5" w:name="_Toc28892"/>
      <w:bookmarkStart w:id="6" w:name="_Toc9272"/>
      <w:r>
        <w:rPr>
          <w:rFonts w:hint="eastAsia"/>
          <w:sz w:val="24"/>
          <w:szCs w:val="24"/>
        </w:rPr>
        <w:t>检测依据</w:t>
      </w:r>
      <w:bookmarkEnd w:id="5"/>
      <w:bookmarkEnd w:id="6"/>
    </w:p>
    <w:p>
      <w:pPr>
        <w:pStyle w:val="33"/>
        <w:numPr>
          <w:ilvl w:val="0"/>
          <w:numId w:val="3"/>
        </w:numPr>
        <w:ind w:firstLineChars="0"/>
        <w:rPr>
          <w:rFonts w:ascii="宋体" w:hAnsi="宋体"/>
          <w:sz w:val="24"/>
        </w:rPr>
      </w:pPr>
      <w:r>
        <w:rPr>
          <w:rFonts w:hint="eastAsia" w:ascii="宋体" w:hAnsi="宋体"/>
          <w:sz w:val="24"/>
        </w:rPr>
        <w:t>《带电设备红外诊断应用规范》（DL/T664-2016）</w:t>
      </w:r>
    </w:p>
    <w:p>
      <w:pPr>
        <w:pStyle w:val="33"/>
        <w:numPr>
          <w:ilvl w:val="0"/>
          <w:numId w:val="3"/>
        </w:numPr>
        <w:ind w:firstLineChars="0"/>
        <w:rPr>
          <w:rFonts w:ascii="宋体" w:hAnsi="宋体"/>
          <w:sz w:val="24"/>
        </w:rPr>
      </w:pPr>
      <w:r>
        <w:rPr>
          <w:rFonts w:hint="eastAsia" w:ascii="宋体" w:hAnsi="宋体"/>
          <w:sz w:val="24"/>
        </w:rPr>
        <w:t>《交流电气装置的接地设计规范》（GB/T50065-2011）</w:t>
      </w:r>
    </w:p>
    <w:p>
      <w:pPr>
        <w:pStyle w:val="33"/>
        <w:numPr>
          <w:ilvl w:val="0"/>
          <w:numId w:val="3"/>
        </w:numPr>
        <w:ind w:firstLineChars="0"/>
        <w:rPr>
          <w:rFonts w:ascii="宋体" w:hAnsi="宋体"/>
          <w:sz w:val="24"/>
        </w:rPr>
      </w:pPr>
      <w:r>
        <w:rPr>
          <w:rFonts w:hint="eastAsia" w:ascii="宋体" w:hAnsi="宋体"/>
          <w:sz w:val="24"/>
        </w:rPr>
        <w:t>《剩余电流动作保护装置安装和运行》（GB13955-2017）</w:t>
      </w:r>
    </w:p>
    <w:p>
      <w:pPr>
        <w:pStyle w:val="33"/>
        <w:numPr>
          <w:ilvl w:val="0"/>
          <w:numId w:val="3"/>
        </w:numPr>
        <w:ind w:firstLineChars="0"/>
        <w:rPr>
          <w:rFonts w:ascii="宋体" w:hAnsi="宋体"/>
          <w:sz w:val="24"/>
        </w:rPr>
      </w:pPr>
      <w:r>
        <w:rPr>
          <w:rFonts w:hint="eastAsia" w:ascii="宋体" w:hAnsi="宋体"/>
          <w:sz w:val="24"/>
        </w:rPr>
        <w:t>《民用建筑电气设计规范》（JGJ16-2008）</w:t>
      </w:r>
    </w:p>
    <w:p>
      <w:pPr>
        <w:pStyle w:val="33"/>
        <w:numPr>
          <w:ilvl w:val="0"/>
          <w:numId w:val="3"/>
        </w:numPr>
        <w:ind w:firstLineChars="0"/>
        <w:rPr>
          <w:rFonts w:ascii="宋体" w:hAnsi="宋体"/>
          <w:sz w:val="24"/>
        </w:rPr>
      </w:pPr>
      <w:r>
        <w:rPr>
          <w:rFonts w:hint="eastAsia" w:ascii="宋体" w:hAnsi="宋体"/>
          <w:sz w:val="24"/>
        </w:rPr>
        <w:t>《建筑电气工程施工质量验收规范》（GB50303-2015）</w:t>
      </w:r>
    </w:p>
    <w:p>
      <w:pPr>
        <w:pStyle w:val="33"/>
        <w:numPr>
          <w:ilvl w:val="0"/>
          <w:numId w:val="3"/>
        </w:numPr>
        <w:ind w:firstLineChars="0"/>
        <w:rPr>
          <w:rFonts w:ascii="宋体" w:hAnsi="宋体"/>
          <w:sz w:val="24"/>
        </w:rPr>
      </w:pPr>
      <w:r>
        <w:rPr>
          <w:rFonts w:hint="eastAsia" w:ascii="宋体" w:hAnsi="宋体"/>
          <w:sz w:val="24"/>
        </w:rPr>
        <w:t>《建筑电气防火检测技术规范》（SZDB/Z139-2015）</w:t>
      </w:r>
    </w:p>
    <w:p>
      <w:pPr>
        <w:pStyle w:val="33"/>
        <w:numPr>
          <w:ilvl w:val="0"/>
          <w:numId w:val="3"/>
        </w:numPr>
        <w:ind w:firstLineChars="0"/>
        <w:rPr>
          <w:rFonts w:ascii="宋体" w:hAnsi="宋体"/>
          <w:sz w:val="24"/>
        </w:rPr>
      </w:pPr>
      <w:r>
        <w:rPr>
          <w:rFonts w:hint="eastAsia" w:ascii="宋体" w:hAnsi="宋体"/>
          <w:sz w:val="24"/>
        </w:rPr>
        <w:t>《建筑防火及消防设施检测技术规程》DBJ/T 15-110-2015</w:t>
      </w:r>
    </w:p>
    <w:p>
      <w:pPr>
        <w:pStyle w:val="4"/>
        <w:numPr>
          <w:ilvl w:val="0"/>
          <w:numId w:val="1"/>
        </w:numPr>
        <w:adjustRightInd/>
        <w:spacing w:before="0" w:after="0"/>
        <w:ind w:left="0" w:firstLine="482" w:firstLineChars="200"/>
        <w:jc w:val="both"/>
        <w:textAlignment w:val="auto"/>
        <w:rPr>
          <w:sz w:val="24"/>
          <w:szCs w:val="24"/>
        </w:rPr>
      </w:pPr>
      <w:bookmarkStart w:id="7" w:name="_Toc18980"/>
      <w:r>
        <w:rPr>
          <w:rFonts w:hint="eastAsia"/>
          <w:sz w:val="24"/>
          <w:szCs w:val="24"/>
        </w:rPr>
        <w:t>抽样标准</w:t>
      </w:r>
      <w:bookmarkEnd w:id="7"/>
    </w:p>
    <w:p>
      <w:pPr>
        <w:ind w:firstLine="480" w:firstLineChars="200"/>
        <w:rPr>
          <w:rFonts w:ascii="宋体" w:hAnsi="宋体"/>
          <w:sz w:val="24"/>
        </w:rPr>
      </w:pPr>
      <w:r>
        <w:rPr>
          <w:rFonts w:hint="eastAsia" w:ascii="宋体" w:hAnsi="宋体"/>
          <w:sz w:val="24"/>
        </w:rPr>
        <w:t>根据《建筑电气防火检测技术规范》SZDB/Z，抽检不低于30%</w:t>
      </w:r>
    </w:p>
    <w:p>
      <w:pPr>
        <w:ind w:firstLine="480" w:firstLineChars="200"/>
        <w:rPr>
          <w:rFonts w:ascii="宋体" w:hAnsi="宋体"/>
          <w:sz w:val="24"/>
        </w:rPr>
      </w:pPr>
      <w:r>
        <w:rPr>
          <w:rFonts w:hint="eastAsia" w:ascii="宋体" w:hAnsi="宋体"/>
          <w:sz w:val="24"/>
        </w:rPr>
        <w:t>附：《建筑电气防火检测技术规范》SZDB/Z部分内容</w:t>
      </w:r>
    </w:p>
    <w:p>
      <w:pPr>
        <w:pStyle w:val="33"/>
        <w:numPr>
          <w:ilvl w:val="0"/>
          <w:numId w:val="4"/>
        </w:numPr>
        <w:ind w:firstLineChars="0"/>
        <w:rPr>
          <w:rFonts w:ascii="宋体" w:hAnsi="宋体"/>
          <w:sz w:val="24"/>
        </w:rPr>
      </w:pPr>
      <w:r>
        <w:rPr>
          <w:rFonts w:ascii="宋体" w:hAnsi="宋体"/>
          <w:sz w:val="24"/>
        </w:rPr>
        <w:t xml:space="preserve">变压器、高、低压配电装置、发电机、消防水泵电机等大型电气设备应全部检测。照明装置、开关、插座和其它用电电器应按防火分区进行抽检，抽检率不低于 </w:t>
      </w:r>
      <w:r>
        <w:rPr>
          <w:rFonts w:hint="eastAsia" w:ascii="宋体" w:hAnsi="宋体"/>
          <w:sz w:val="24"/>
        </w:rPr>
        <w:t>50</w:t>
      </w:r>
      <w:r>
        <w:rPr>
          <w:rFonts w:ascii="宋体" w:hAnsi="宋体"/>
          <w:sz w:val="24"/>
        </w:rPr>
        <w:t>%。</w:t>
      </w:r>
    </w:p>
    <w:p>
      <w:pPr>
        <w:pStyle w:val="33"/>
        <w:numPr>
          <w:ilvl w:val="0"/>
          <w:numId w:val="4"/>
        </w:numPr>
        <w:ind w:firstLineChars="0"/>
        <w:rPr>
          <w:rFonts w:ascii="宋体" w:hAnsi="宋体"/>
          <w:sz w:val="24"/>
        </w:rPr>
      </w:pPr>
      <w:r>
        <w:rPr>
          <w:rFonts w:ascii="宋体" w:hAnsi="宋体"/>
          <w:sz w:val="24"/>
        </w:rPr>
        <w:t xml:space="preserve">在电缆沟、竖井、电缆隧道等成束敷设的电气线路应全部检测，分支线路应按防火分区进行抽检，抽检率不低于 </w:t>
      </w:r>
      <w:r>
        <w:rPr>
          <w:rFonts w:hint="eastAsia" w:ascii="宋体" w:hAnsi="宋体"/>
          <w:sz w:val="24"/>
        </w:rPr>
        <w:t>8</w:t>
      </w:r>
      <w:r>
        <w:rPr>
          <w:rFonts w:ascii="宋体" w:hAnsi="宋体"/>
          <w:sz w:val="24"/>
        </w:rPr>
        <w:t>0%。</w:t>
      </w:r>
    </w:p>
    <w:p>
      <w:pPr>
        <w:pStyle w:val="33"/>
        <w:numPr>
          <w:ilvl w:val="0"/>
          <w:numId w:val="4"/>
        </w:numPr>
        <w:ind w:firstLineChars="0"/>
        <w:rPr>
          <w:rFonts w:ascii="宋体" w:hAnsi="宋体"/>
          <w:sz w:val="24"/>
        </w:rPr>
      </w:pPr>
      <w:r>
        <w:rPr>
          <w:rFonts w:hint="eastAsia" w:ascii="宋体" w:hAnsi="宋体"/>
          <w:sz w:val="24"/>
        </w:rPr>
        <w:t>接地和等电位联结抽检率不低于 50%。</w:t>
      </w:r>
    </w:p>
    <w:p>
      <w:pPr>
        <w:pStyle w:val="33"/>
        <w:numPr>
          <w:ilvl w:val="0"/>
          <w:numId w:val="4"/>
        </w:numPr>
        <w:ind w:firstLineChars="0"/>
        <w:rPr>
          <w:rFonts w:ascii="宋体" w:hAnsi="宋体"/>
          <w:sz w:val="24"/>
        </w:rPr>
      </w:pPr>
      <w:r>
        <w:rPr>
          <w:rFonts w:hint="eastAsia" w:ascii="宋体" w:hAnsi="宋体"/>
          <w:sz w:val="24"/>
        </w:rPr>
        <w:t>抽检点的选取原则：</w:t>
      </w:r>
    </w:p>
    <w:p>
      <w:pPr>
        <w:ind w:firstLine="480" w:firstLineChars="200"/>
        <w:rPr>
          <w:rFonts w:ascii="宋体" w:hAnsi="宋体"/>
          <w:sz w:val="24"/>
        </w:rPr>
      </w:pPr>
      <w:r>
        <w:rPr>
          <w:rFonts w:ascii="宋体" w:hAnsi="宋体"/>
          <w:sz w:val="24"/>
        </w:rPr>
        <w:t>1</w:t>
      </w:r>
      <w:r>
        <w:rPr>
          <w:rFonts w:hint="eastAsia" w:ascii="宋体" w:hAnsi="宋体"/>
          <w:sz w:val="24"/>
        </w:rPr>
        <w:t>) 选取抽检点尽量均匀；</w:t>
      </w:r>
    </w:p>
    <w:p>
      <w:pPr>
        <w:ind w:firstLine="480" w:firstLineChars="200"/>
        <w:rPr>
          <w:rFonts w:ascii="宋体" w:hAnsi="宋体"/>
          <w:sz w:val="24"/>
        </w:rPr>
      </w:pPr>
      <w:r>
        <w:rPr>
          <w:rFonts w:ascii="宋体" w:hAnsi="宋体"/>
          <w:sz w:val="24"/>
        </w:rPr>
        <w:t>2</w:t>
      </w:r>
      <w:r>
        <w:rPr>
          <w:rFonts w:hint="eastAsia" w:ascii="宋体" w:hAnsi="宋体"/>
          <w:sz w:val="24"/>
        </w:rPr>
        <w:t>) 使用环境较差的地方；</w:t>
      </w:r>
    </w:p>
    <w:p>
      <w:pPr>
        <w:ind w:firstLine="480" w:firstLineChars="200"/>
        <w:rPr>
          <w:rFonts w:ascii="宋体" w:hAnsi="宋体"/>
          <w:sz w:val="24"/>
        </w:rPr>
      </w:pPr>
      <w:r>
        <w:rPr>
          <w:rFonts w:ascii="宋体" w:hAnsi="宋体"/>
          <w:sz w:val="24"/>
        </w:rPr>
        <w:t>3</w:t>
      </w:r>
      <w:r>
        <w:rPr>
          <w:rFonts w:hint="eastAsia" w:ascii="宋体" w:hAnsi="宋体"/>
          <w:sz w:val="24"/>
        </w:rPr>
        <w:t>) 使用机会较多或负荷较大的；</w:t>
      </w:r>
    </w:p>
    <w:p>
      <w:pPr>
        <w:ind w:firstLine="480" w:firstLineChars="200"/>
        <w:rPr>
          <w:rFonts w:ascii="宋体" w:hAnsi="宋体"/>
          <w:sz w:val="24"/>
        </w:rPr>
      </w:pPr>
      <w:r>
        <w:rPr>
          <w:rFonts w:ascii="宋体" w:hAnsi="宋体"/>
          <w:sz w:val="24"/>
        </w:rPr>
        <w:t>4</w:t>
      </w:r>
      <w:r>
        <w:rPr>
          <w:rFonts w:hint="eastAsia" w:ascii="宋体" w:hAnsi="宋体"/>
          <w:sz w:val="24"/>
        </w:rPr>
        <w:t>) 近期进行过维修、保养的综合评分定标。</w:t>
      </w:r>
    </w:p>
    <w:p>
      <w:pPr>
        <w:pStyle w:val="4"/>
        <w:numPr>
          <w:ilvl w:val="0"/>
          <w:numId w:val="1"/>
        </w:numPr>
        <w:adjustRightInd/>
        <w:spacing w:before="0" w:after="0"/>
        <w:ind w:left="0" w:firstLine="482" w:firstLineChars="200"/>
        <w:jc w:val="both"/>
        <w:textAlignment w:val="auto"/>
        <w:rPr>
          <w:sz w:val="24"/>
          <w:szCs w:val="24"/>
        </w:rPr>
      </w:pPr>
      <w:r>
        <w:rPr>
          <w:rFonts w:hint="eastAsia"/>
          <w:sz w:val="24"/>
          <w:szCs w:val="24"/>
        </w:rPr>
        <w:t>检测标准</w:t>
      </w:r>
    </w:p>
    <w:p>
      <w:pPr>
        <w:pStyle w:val="33"/>
        <w:numPr>
          <w:ilvl w:val="0"/>
          <w:numId w:val="5"/>
        </w:numPr>
        <w:ind w:firstLineChars="0"/>
        <w:rPr>
          <w:rFonts w:ascii="宋体" w:hAnsi="宋体"/>
          <w:b/>
          <w:sz w:val="24"/>
        </w:rPr>
      </w:pPr>
      <w:bookmarkStart w:id="8" w:name="_Toc6494"/>
      <w:bookmarkStart w:id="9" w:name="_Toc20444"/>
      <w:bookmarkStart w:id="10" w:name="_Toc21134"/>
      <w:bookmarkStart w:id="11" w:name="_Toc16164"/>
      <w:bookmarkStart w:id="12" w:name="_Toc25969"/>
      <w:bookmarkStart w:id="13" w:name="_Toc25042"/>
      <w:bookmarkStart w:id="14" w:name="_Toc9564"/>
      <w:bookmarkStart w:id="15" w:name="_Toc24793"/>
      <w:r>
        <w:rPr>
          <w:rFonts w:hint="eastAsia" w:ascii="宋体" w:hAnsi="宋体"/>
          <w:b/>
          <w:sz w:val="24"/>
        </w:rPr>
        <w:t>电气系统的带电设备红外诊断</w:t>
      </w:r>
      <w:bookmarkEnd w:id="8"/>
      <w:bookmarkEnd w:id="9"/>
      <w:bookmarkEnd w:id="10"/>
      <w:bookmarkEnd w:id="11"/>
      <w:bookmarkEnd w:id="12"/>
      <w:bookmarkEnd w:id="13"/>
      <w:bookmarkEnd w:id="14"/>
      <w:bookmarkEnd w:id="15"/>
    </w:p>
    <w:p>
      <w:pPr>
        <w:ind w:firstLine="480" w:firstLineChars="200"/>
        <w:rPr>
          <w:rFonts w:ascii="宋体" w:hAnsi="宋体"/>
          <w:sz w:val="24"/>
        </w:rPr>
      </w:pPr>
      <w:r>
        <w:rPr>
          <w:rFonts w:hint="eastAsia" w:ascii="宋体" w:hAnsi="宋体"/>
          <w:sz w:val="24"/>
        </w:rPr>
        <w:t>采用高科技设备“红外热成像仪”检测仪检测。红外热成像仪应用领域广泛：电气设备；机械设备；管道；电子研发；建筑和暖通等面应用广泛。其中在电气设备领域中主要是检测：电气接头松动、配电盘过载、谐波与三相不平衡、熔丝、断路器与开关、线路绝缘老化、变压器散热与状态、高压线路缺陷等。</w:t>
      </w:r>
    </w:p>
    <w:p>
      <w:pPr>
        <w:ind w:firstLine="480" w:firstLineChars="200"/>
        <w:rPr>
          <w:rFonts w:ascii="宋体" w:hAnsi="宋体"/>
          <w:sz w:val="24"/>
        </w:rPr>
      </w:pPr>
      <w:r>
        <w:rPr>
          <w:rFonts w:hint="eastAsia" w:ascii="宋体" w:hAnsi="宋体"/>
          <w:sz w:val="24"/>
        </w:rPr>
        <w:t xml:space="preserve">采用国际领先软件IR-Fusion技术（以全屏或画中画方式融合可见光图像和红外图像），方便识别电气设备和线路接触松动、接触不良、不平衡负荷、过载发热等故障和隐患，这些消防隐患的存在，极易产生电弧、短路、烧毁、起火。温度范围和热灵敏度对学校建筑物电气设备设施诊断非常有效。 </w:t>
      </w:r>
    </w:p>
    <w:p>
      <w:pPr>
        <w:pStyle w:val="33"/>
        <w:numPr>
          <w:ilvl w:val="0"/>
          <w:numId w:val="5"/>
        </w:numPr>
        <w:ind w:firstLineChars="0"/>
        <w:rPr>
          <w:rFonts w:ascii="宋体" w:hAnsi="宋体"/>
          <w:b/>
          <w:sz w:val="24"/>
        </w:rPr>
      </w:pPr>
      <w:bookmarkStart w:id="16" w:name="_Toc9829"/>
      <w:bookmarkStart w:id="17" w:name="_Toc4313"/>
      <w:bookmarkStart w:id="18" w:name="_Toc18316"/>
      <w:bookmarkStart w:id="19" w:name="_Toc23198"/>
      <w:bookmarkStart w:id="20" w:name="_Toc5685"/>
      <w:bookmarkStart w:id="21" w:name="_Toc2328"/>
      <w:bookmarkStart w:id="22" w:name="_Toc10714"/>
      <w:bookmarkStart w:id="23" w:name="_Toc22928"/>
      <w:r>
        <w:rPr>
          <w:rFonts w:hint="eastAsia" w:ascii="宋体" w:hAnsi="宋体"/>
          <w:b/>
          <w:sz w:val="24"/>
        </w:rPr>
        <w:t>电气系统的接地电阻检测</w:t>
      </w:r>
      <w:bookmarkEnd w:id="16"/>
      <w:bookmarkEnd w:id="17"/>
      <w:bookmarkEnd w:id="18"/>
      <w:bookmarkEnd w:id="19"/>
      <w:bookmarkEnd w:id="20"/>
      <w:bookmarkEnd w:id="21"/>
      <w:bookmarkEnd w:id="22"/>
      <w:bookmarkEnd w:id="23"/>
    </w:p>
    <w:p>
      <w:pPr>
        <w:ind w:firstLine="480" w:firstLineChars="200"/>
        <w:rPr>
          <w:rFonts w:ascii="宋体" w:hAnsi="宋体"/>
          <w:sz w:val="24"/>
        </w:rPr>
      </w:pPr>
      <w:r>
        <w:rPr>
          <w:rFonts w:hint="eastAsia" w:ascii="宋体" w:hAnsi="宋体"/>
          <w:sz w:val="24"/>
        </w:rPr>
        <w:t>1)电机、变压器、用电器具等的底座和外壳；</w:t>
      </w:r>
    </w:p>
    <w:p>
      <w:pPr>
        <w:ind w:firstLine="480" w:firstLineChars="200"/>
        <w:rPr>
          <w:rFonts w:ascii="宋体" w:hAnsi="宋体"/>
          <w:sz w:val="24"/>
        </w:rPr>
      </w:pPr>
      <w:r>
        <w:rPr>
          <w:rFonts w:hint="eastAsia" w:ascii="宋体" w:hAnsi="宋体"/>
          <w:sz w:val="24"/>
        </w:rPr>
        <w:t>2)电力设备传动装置；</w:t>
      </w:r>
    </w:p>
    <w:p>
      <w:pPr>
        <w:ind w:firstLine="480" w:firstLineChars="200"/>
        <w:rPr>
          <w:rFonts w:ascii="宋体" w:hAnsi="宋体"/>
          <w:sz w:val="24"/>
        </w:rPr>
      </w:pPr>
      <w:r>
        <w:rPr>
          <w:rFonts w:hint="eastAsia" w:ascii="宋体" w:hAnsi="宋体"/>
          <w:sz w:val="24"/>
        </w:rPr>
        <w:t>3)互感器的二次绕组；</w:t>
      </w:r>
    </w:p>
    <w:p>
      <w:pPr>
        <w:ind w:firstLine="480" w:firstLineChars="200"/>
        <w:rPr>
          <w:rFonts w:ascii="宋体" w:hAnsi="宋体"/>
          <w:sz w:val="24"/>
        </w:rPr>
      </w:pPr>
      <w:r>
        <w:rPr>
          <w:rFonts w:hint="eastAsia" w:ascii="宋体" w:hAnsi="宋体"/>
          <w:sz w:val="24"/>
        </w:rPr>
        <w:t>4)配电屏与控制屏的框架；</w:t>
      </w:r>
    </w:p>
    <w:p>
      <w:pPr>
        <w:ind w:firstLine="480" w:firstLineChars="200"/>
        <w:rPr>
          <w:rFonts w:ascii="宋体" w:hAnsi="宋体"/>
          <w:sz w:val="24"/>
        </w:rPr>
      </w:pPr>
      <w:r>
        <w:rPr>
          <w:rFonts w:hint="eastAsia" w:ascii="宋体" w:hAnsi="宋体"/>
          <w:sz w:val="24"/>
        </w:rPr>
        <w:t>5)房内外配电装置的金属架构和钢筋混凝土架构以及靠近带电部分的金属围栏和门；</w:t>
      </w:r>
    </w:p>
    <w:p>
      <w:pPr>
        <w:ind w:firstLine="480" w:firstLineChars="200"/>
        <w:rPr>
          <w:rFonts w:ascii="宋体" w:hAnsi="宋体"/>
          <w:sz w:val="24"/>
        </w:rPr>
      </w:pPr>
      <w:r>
        <w:rPr>
          <w:rFonts w:hint="eastAsia" w:ascii="宋体" w:hAnsi="宋体"/>
          <w:sz w:val="24"/>
        </w:rPr>
        <w:t>6)交、直流电力电缆接线盒、终端盒的外壳和电缆的外皮，穿线的钢管等；</w:t>
      </w:r>
    </w:p>
    <w:p>
      <w:pPr>
        <w:ind w:firstLine="480" w:firstLineChars="200"/>
        <w:rPr>
          <w:rFonts w:ascii="宋体" w:hAnsi="宋体"/>
          <w:sz w:val="24"/>
        </w:rPr>
      </w:pPr>
      <w:r>
        <w:rPr>
          <w:rFonts w:hint="eastAsia" w:ascii="宋体" w:hAnsi="宋体"/>
          <w:sz w:val="24"/>
        </w:rPr>
        <w:t>7)安装在配电线路杆塔上的开关设备、电容器等电力设备；</w:t>
      </w:r>
    </w:p>
    <w:p>
      <w:pPr>
        <w:ind w:firstLine="480" w:firstLineChars="200"/>
        <w:rPr>
          <w:rFonts w:ascii="宋体" w:hAnsi="宋体"/>
          <w:sz w:val="24"/>
        </w:rPr>
      </w:pPr>
      <w:r>
        <w:rPr>
          <w:rFonts w:hint="eastAsia" w:ascii="宋体" w:hAnsi="宋体"/>
          <w:sz w:val="24"/>
        </w:rPr>
        <w:t>8)控制电缆的外皮。</w:t>
      </w:r>
    </w:p>
    <w:p>
      <w:pPr>
        <w:pStyle w:val="33"/>
        <w:numPr>
          <w:ilvl w:val="0"/>
          <w:numId w:val="5"/>
        </w:numPr>
        <w:ind w:firstLineChars="0"/>
        <w:rPr>
          <w:rFonts w:ascii="宋体" w:hAnsi="宋体"/>
          <w:b/>
          <w:sz w:val="24"/>
        </w:rPr>
      </w:pPr>
      <w:bookmarkStart w:id="24" w:name="_Toc5637"/>
      <w:bookmarkStart w:id="25" w:name="_Toc6835"/>
      <w:bookmarkStart w:id="26" w:name="_Toc22513"/>
      <w:bookmarkStart w:id="27" w:name="_Toc8065"/>
      <w:bookmarkStart w:id="28" w:name="_Toc21350"/>
      <w:bookmarkStart w:id="29" w:name="_Toc18824"/>
      <w:bookmarkStart w:id="30" w:name="_Toc21584"/>
      <w:bookmarkStart w:id="31" w:name="_Toc12747"/>
      <w:r>
        <w:rPr>
          <w:rFonts w:hint="eastAsia" w:ascii="宋体" w:hAnsi="宋体"/>
          <w:b/>
          <w:sz w:val="24"/>
        </w:rPr>
        <w:t>电气系统的剩余电流动作保护装置检测</w:t>
      </w:r>
      <w:bookmarkEnd w:id="24"/>
      <w:bookmarkEnd w:id="25"/>
      <w:bookmarkEnd w:id="26"/>
      <w:bookmarkEnd w:id="27"/>
      <w:bookmarkEnd w:id="28"/>
      <w:bookmarkEnd w:id="29"/>
      <w:bookmarkEnd w:id="30"/>
      <w:bookmarkEnd w:id="31"/>
    </w:p>
    <w:p>
      <w:pPr>
        <w:ind w:firstLine="480" w:firstLineChars="200"/>
        <w:rPr>
          <w:rFonts w:ascii="宋体" w:hAnsi="宋体"/>
          <w:sz w:val="24"/>
        </w:rPr>
      </w:pPr>
      <w:r>
        <w:rPr>
          <w:rFonts w:hint="eastAsia" w:ascii="宋体" w:hAnsi="宋体"/>
          <w:sz w:val="24"/>
        </w:rPr>
        <w:t>进口最先进的剩余电流保护器测试仪，是针对建筑电气漏电保护器检测，按照要求可在线、离线测试漏电保护器的动作电流，动作时间。极限不动作时间，可实时显示被测线路的电压，特别适合各大中小学校、幼儿园电气系统剩余电流动作保护装置检测。</w:t>
      </w:r>
    </w:p>
    <w:p>
      <w:pPr>
        <w:pStyle w:val="33"/>
        <w:numPr>
          <w:ilvl w:val="0"/>
          <w:numId w:val="5"/>
        </w:numPr>
        <w:ind w:firstLineChars="0"/>
        <w:rPr>
          <w:rFonts w:ascii="宋体" w:hAnsi="宋体"/>
          <w:b/>
          <w:sz w:val="24"/>
        </w:rPr>
      </w:pPr>
      <w:bookmarkStart w:id="32" w:name="_Toc14479"/>
      <w:bookmarkStart w:id="33" w:name="_Toc2573"/>
      <w:bookmarkStart w:id="34" w:name="_Toc21854"/>
      <w:bookmarkStart w:id="35" w:name="_Toc19913"/>
      <w:bookmarkStart w:id="36" w:name="_Toc2349"/>
      <w:bookmarkStart w:id="37" w:name="_Toc9920"/>
      <w:bookmarkStart w:id="38" w:name="_Toc12083"/>
      <w:bookmarkStart w:id="39" w:name="_Toc30389"/>
      <w:r>
        <w:rPr>
          <w:rFonts w:hint="eastAsia" w:ascii="宋体" w:hAnsi="宋体"/>
          <w:b/>
          <w:sz w:val="24"/>
        </w:rPr>
        <w:t>变配电系统建筑、接线端子的安装情况</w:t>
      </w:r>
      <w:bookmarkEnd w:id="32"/>
      <w:bookmarkEnd w:id="33"/>
      <w:bookmarkEnd w:id="34"/>
      <w:bookmarkEnd w:id="35"/>
      <w:bookmarkEnd w:id="36"/>
      <w:bookmarkEnd w:id="37"/>
      <w:bookmarkEnd w:id="38"/>
      <w:bookmarkEnd w:id="39"/>
    </w:p>
    <w:p>
      <w:pPr>
        <w:ind w:firstLine="480" w:firstLineChars="200"/>
        <w:rPr>
          <w:rFonts w:ascii="宋体" w:hAnsi="宋体"/>
          <w:sz w:val="24"/>
        </w:rPr>
      </w:pPr>
      <w:r>
        <w:rPr>
          <w:rFonts w:hint="eastAsia" w:ascii="宋体" w:hAnsi="宋体"/>
          <w:sz w:val="24"/>
        </w:rPr>
        <w:t>1)盘、柜装置及二次回路结线的安装工程应按已批准的设计进行施工。</w:t>
      </w:r>
    </w:p>
    <w:p>
      <w:pPr>
        <w:ind w:firstLine="480" w:firstLineChars="200"/>
        <w:rPr>
          <w:rFonts w:ascii="宋体" w:hAnsi="宋体"/>
          <w:sz w:val="24"/>
        </w:rPr>
      </w:pPr>
      <w:r>
        <w:rPr>
          <w:rFonts w:hint="eastAsia" w:ascii="宋体" w:hAnsi="宋体"/>
          <w:sz w:val="24"/>
        </w:rPr>
        <w:t>2)采用的设备和器材，必须是符合国家现行技术标准的合格产品，并有合格证。设备应有铭牌。</w:t>
      </w:r>
    </w:p>
    <w:p>
      <w:pPr>
        <w:ind w:firstLine="480" w:firstLineChars="200"/>
        <w:rPr>
          <w:rFonts w:ascii="宋体" w:hAnsi="宋体"/>
          <w:sz w:val="24"/>
        </w:rPr>
      </w:pPr>
      <w:r>
        <w:rPr>
          <w:rFonts w:hint="eastAsia" w:ascii="宋体" w:hAnsi="宋体"/>
          <w:sz w:val="24"/>
        </w:rPr>
        <w:t>3)设备安装用的紧固件，应用镀锌制品，并宜采用标准件。</w:t>
      </w:r>
    </w:p>
    <w:p>
      <w:pPr>
        <w:ind w:firstLine="480" w:firstLineChars="200"/>
        <w:rPr>
          <w:rFonts w:ascii="宋体" w:hAnsi="宋体"/>
          <w:sz w:val="24"/>
        </w:rPr>
      </w:pPr>
      <w:r>
        <w:rPr>
          <w:rFonts w:hint="eastAsia" w:ascii="宋体" w:hAnsi="宋体"/>
          <w:sz w:val="24"/>
        </w:rPr>
        <w:t>4)安装调试完毕后，建筑中的预留孔洞及电缆管口，应做好封堵。</w:t>
      </w:r>
    </w:p>
    <w:p>
      <w:pPr>
        <w:ind w:firstLine="480" w:firstLineChars="200"/>
        <w:rPr>
          <w:rFonts w:ascii="宋体" w:hAnsi="宋体"/>
          <w:sz w:val="24"/>
        </w:rPr>
      </w:pPr>
      <w:r>
        <w:rPr>
          <w:rFonts w:hint="eastAsia" w:ascii="宋体" w:hAnsi="宋体"/>
          <w:sz w:val="24"/>
        </w:rPr>
        <w:t>5)端子箱安装应牢固，封闭良好，并应能防潮、防尘。</w:t>
      </w:r>
    </w:p>
    <w:p>
      <w:pPr>
        <w:ind w:firstLine="480" w:firstLineChars="200"/>
        <w:rPr>
          <w:rFonts w:ascii="宋体" w:hAnsi="宋体"/>
          <w:sz w:val="24"/>
        </w:rPr>
      </w:pPr>
      <w:r>
        <w:rPr>
          <w:rFonts w:hint="eastAsia" w:ascii="宋体" w:hAnsi="宋体"/>
          <w:sz w:val="24"/>
        </w:rPr>
        <w:t>6)盘、柜、台、箱的接地应牢固良好。</w:t>
      </w:r>
    </w:p>
    <w:p>
      <w:pPr>
        <w:ind w:firstLine="480" w:firstLineChars="200"/>
        <w:rPr>
          <w:rFonts w:ascii="宋体" w:hAnsi="宋体"/>
          <w:sz w:val="24"/>
        </w:rPr>
      </w:pPr>
      <w:r>
        <w:rPr>
          <w:rFonts w:hint="eastAsia" w:ascii="宋体" w:hAnsi="宋体"/>
          <w:sz w:val="24"/>
        </w:rPr>
        <w:t>7)装有电器的可开启的门，应以裸铜软线与接地的金属构架可靠的连接。</w:t>
      </w:r>
    </w:p>
    <w:p>
      <w:pPr>
        <w:ind w:firstLine="480" w:firstLineChars="200"/>
        <w:rPr>
          <w:rFonts w:ascii="宋体" w:hAnsi="宋体"/>
          <w:sz w:val="24"/>
        </w:rPr>
      </w:pPr>
      <w:r>
        <w:rPr>
          <w:rFonts w:hint="eastAsia" w:ascii="宋体" w:hAnsi="宋体"/>
          <w:sz w:val="24"/>
        </w:rPr>
        <w:t>8)盘、柜的漆层应完整，无损伤。固定电器的支架等应刷漆。</w:t>
      </w:r>
    </w:p>
    <w:p>
      <w:pPr>
        <w:ind w:firstLine="480" w:firstLineChars="200"/>
        <w:rPr>
          <w:rFonts w:ascii="宋体" w:hAnsi="宋体"/>
          <w:sz w:val="24"/>
        </w:rPr>
      </w:pPr>
      <w:r>
        <w:rPr>
          <w:rFonts w:hint="eastAsia" w:ascii="宋体" w:hAnsi="宋体"/>
          <w:sz w:val="24"/>
        </w:rPr>
        <w:t>9)电器元件质量良好，型号、规格应符合设计要求，外观应完好，且附件齐全，排列整齐，固定牢固，密封良好。</w:t>
      </w:r>
    </w:p>
    <w:p>
      <w:pPr>
        <w:ind w:firstLine="480" w:firstLineChars="200"/>
        <w:rPr>
          <w:rFonts w:ascii="宋体" w:hAnsi="宋体"/>
          <w:sz w:val="24"/>
        </w:rPr>
      </w:pPr>
      <w:r>
        <w:rPr>
          <w:rFonts w:hint="eastAsia" w:ascii="宋体" w:hAnsi="宋体"/>
          <w:sz w:val="24"/>
        </w:rPr>
        <w:t>10)各电器应能单独拆装更换而不影响其它电器及导线束的固定。</w:t>
      </w:r>
    </w:p>
    <w:p>
      <w:pPr>
        <w:ind w:firstLine="480" w:firstLineChars="200"/>
        <w:rPr>
          <w:rFonts w:ascii="宋体" w:hAnsi="宋体"/>
          <w:sz w:val="24"/>
        </w:rPr>
      </w:pPr>
      <w:r>
        <w:rPr>
          <w:rFonts w:hint="eastAsia" w:ascii="宋体" w:hAnsi="宋体"/>
          <w:sz w:val="24"/>
        </w:rPr>
        <w:t>11)发热元件两个发热元件之间的连线应采用耐热导线或裸铜线套瓷管。</w:t>
      </w:r>
    </w:p>
    <w:p>
      <w:pPr>
        <w:ind w:firstLine="480" w:firstLineChars="200"/>
        <w:rPr>
          <w:rFonts w:ascii="宋体" w:hAnsi="宋体"/>
          <w:sz w:val="24"/>
        </w:rPr>
      </w:pPr>
      <w:r>
        <w:rPr>
          <w:rFonts w:hint="eastAsia" w:ascii="宋体" w:hAnsi="宋体"/>
          <w:sz w:val="24"/>
        </w:rPr>
        <w:t>12)熔断器的熔体规格、自动开关的整定值应符合设计要求。</w:t>
      </w:r>
    </w:p>
    <w:p>
      <w:pPr>
        <w:ind w:firstLine="480" w:firstLineChars="200"/>
        <w:rPr>
          <w:rFonts w:ascii="宋体" w:hAnsi="宋体"/>
          <w:sz w:val="24"/>
        </w:rPr>
      </w:pPr>
      <w:r>
        <w:rPr>
          <w:rFonts w:hint="eastAsia" w:ascii="宋体" w:hAnsi="宋体"/>
          <w:sz w:val="24"/>
        </w:rPr>
        <w:t>13)端子排应无损坏，固定牢固，绝缘良好。</w:t>
      </w:r>
    </w:p>
    <w:p>
      <w:pPr>
        <w:ind w:firstLine="480" w:firstLineChars="200"/>
        <w:rPr>
          <w:rFonts w:ascii="宋体" w:hAnsi="宋体"/>
          <w:sz w:val="24"/>
        </w:rPr>
      </w:pPr>
      <w:r>
        <w:rPr>
          <w:rFonts w:hint="eastAsia" w:ascii="宋体" w:hAnsi="宋体"/>
          <w:sz w:val="24"/>
        </w:rPr>
        <w:t>14)端子排强、弱电端子宜分开布置；当有困难时，应有明显标志并设空端子隔开或设加强绝缘的隔板。</w:t>
      </w:r>
    </w:p>
    <w:p>
      <w:pPr>
        <w:ind w:firstLine="480" w:firstLineChars="200"/>
        <w:rPr>
          <w:rFonts w:ascii="宋体" w:hAnsi="宋体"/>
          <w:sz w:val="24"/>
        </w:rPr>
      </w:pPr>
      <w:r>
        <w:rPr>
          <w:rFonts w:hint="eastAsia" w:ascii="宋体" w:hAnsi="宋体"/>
          <w:sz w:val="24"/>
        </w:rPr>
        <w:t>15)端子排接线端子应与导线截面匹配，不应使用小端子配大截面导线。</w:t>
      </w:r>
    </w:p>
    <w:p>
      <w:pPr>
        <w:ind w:firstLine="480" w:firstLineChars="200"/>
        <w:rPr>
          <w:rFonts w:ascii="宋体" w:hAnsi="宋体"/>
          <w:sz w:val="24"/>
        </w:rPr>
      </w:pPr>
      <w:r>
        <w:rPr>
          <w:rFonts w:hint="eastAsia" w:ascii="宋体" w:hAnsi="宋体"/>
          <w:sz w:val="24"/>
        </w:rPr>
        <w:t>16)二次回路的连接件均采用铜质制品；绝缘件应采用自熄性阻燃材料。</w:t>
      </w:r>
    </w:p>
    <w:p>
      <w:pPr>
        <w:ind w:firstLine="480" w:firstLineChars="200"/>
        <w:rPr>
          <w:rFonts w:ascii="宋体" w:hAnsi="宋体"/>
          <w:sz w:val="24"/>
        </w:rPr>
      </w:pPr>
      <w:r>
        <w:rPr>
          <w:rFonts w:hint="eastAsia" w:ascii="宋体" w:hAnsi="宋体"/>
          <w:sz w:val="24"/>
        </w:rPr>
        <w:t>17)盘、柜的正面及背面各电器、端子牌等应标明编号、名称、用途及操作位置。</w:t>
      </w:r>
    </w:p>
    <w:p>
      <w:pPr>
        <w:ind w:firstLine="480" w:firstLineChars="200"/>
        <w:rPr>
          <w:rFonts w:ascii="宋体" w:hAnsi="宋体"/>
          <w:sz w:val="24"/>
        </w:rPr>
      </w:pPr>
      <w:r>
        <w:rPr>
          <w:rFonts w:hint="eastAsia" w:ascii="宋体" w:hAnsi="宋体"/>
          <w:sz w:val="24"/>
        </w:rPr>
        <w:t>18)盘、柜的正面及背面标明的字迹应清晰、工整，且不易脱色。</w:t>
      </w:r>
    </w:p>
    <w:p>
      <w:pPr>
        <w:ind w:firstLine="480" w:firstLineChars="200"/>
        <w:rPr>
          <w:rFonts w:ascii="宋体" w:hAnsi="宋体"/>
          <w:sz w:val="24"/>
        </w:rPr>
      </w:pPr>
      <w:r>
        <w:rPr>
          <w:rFonts w:hint="eastAsia" w:ascii="宋体" w:hAnsi="宋体"/>
          <w:sz w:val="24"/>
        </w:rPr>
        <w:t>19)盘、柜式的导线不应有接头，导线芯线应无损伤。</w:t>
      </w:r>
    </w:p>
    <w:p>
      <w:pPr>
        <w:ind w:firstLine="480" w:firstLineChars="200"/>
        <w:rPr>
          <w:rFonts w:ascii="宋体" w:hAnsi="宋体"/>
          <w:sz w:val="24"/>
        </w:rPr>
      </w:pPr>
      <w:r>
        <w:rPr>
          <w:rFonts w:hint="eastAsia" w:ascii="宋体" w:hAnsi="宋体"/>
          <w:sz w:val="24"/>
        </w:rPr>
        <w:t>20)每个接线端子的每侧接线宜为1根，不得超过2根。</w:t>
      </w:r>
    </w:p>
    <w:p>
      <w:pPr>
        <w:ind w:firstLine="480" w:firstLineChars="200"/>
        <w:rPr>
          <w:rFonts w:ascii="宋体" w:hAnsi="宋体"/>
          <w:sz w:val="24"/>
        </w:rPr>
      </w:pPr>
      <w:r>
        <w:rPr>
          <w:rFonts w:hint="eastAsia" w:ascii="宋体" w:hAnsi="宋体"/>
          <w:sz w:val="24"/>
        </w:rPr>
        <w:t>21)盘、柜内的配线电流回路应采用电压不低于500V的铜芯绝缘导线。</w:t>
      </w:r>
    </w:p>
    <w:p>
      <w:pPr>
        <w:ind w:firstLine="480" w:firstLineChars="200"/>
        <w:rPr>
          <w:rFonts w:ascii="宋体" w:hAnsi="宋体"/>
          <w:sz w:val="24"/>
        </w:rPr>
      </w:pPr>
      <w:r>
        <w:rPr>
          <w:rFonts w:hint="eastAsia" w:ascii="宋体" w:hAnsi="宋体"/>
          <w:sz w:val="24"/>
        </w:rPr>
        <w:t>22)盘、柜内的配线电流回路铜芯绝缘导线截面不应小于2.5mm²。</w:t>
      </w:r>
    </w:p>
    <w:p>
      <w:pPr>
        <w:ind w:firstLine="480" w:firstLineChars="200"/>
        <w:rPr>
          <w:rFonts w:ascii="宋体" w:hAnsi="宋体"/>
          <w:sz w:val="24"/>
        </w:rPr>
      </w:pPr>
      <w:r>
        <w:rPr>
          <w:rFonts w:hint="eastAsia" w:ascii="宋体" w:hAnsi="宋体"/>
          <w:sz w:val="24"/>
        </w:rPr>
        <w:t xml:space="preserve">23)盘、柜内的其它回路截面不应小于1.5mm²。   </w:t>
      </w:r>
    </w:p>
    <w:p>
      <w:pPr>
        <w:ind w:firstLine="480" w:firstLineChars="200"/>
        <w:rPr>
          <w:rFonts w:ascii="宋体" w:hAnsi="宋体"/>
          <w:sz w:val="24"/>
        </w:rPr>
      </w:pPr>
      <w:r>
        <w:rPr>
          <w:rFonts w:hint="eastAsia" w:ascii="宋体" w:hAnsi="宋体"/>
          <w:sz w:val="24"/>
        </w:rPr>
        <w:t>24)用于连接门上的电器、控制台板等可动部位的导线应采用多股软导线，敷设长度应有适当裕度。</w:t>
      </w:r>
    </w:p>
    <w:p>
      <w:pPr>
        <w:ind w:firstLine="480" w:firstLineChars="200"/>
        <w:rPr>
          <w:rFonts w:ascii="宋体" w:hAnsi="宋体"/>
          <w:sz w:val="24"/>
        </w:rPr>
      </w:pPr>
      <w:r>
        <w:rPr>
          <w:rFonts w:hint="eastAsia" w:ascii="宋体" w:hAnsi="宋体"/>
          <w:sz w:val="24"/>
        </w:rPr>
        <w:t>25)引入盘、柜内的电缆应排列整齐，编号清晰，避免交叉，并应固定牢固，不得使所接的端子排受到机械应力。</w:t>
      </w:r>
    </w:p>
    <w:p>
      <w:pPr>
        <w:ind w:firstLine="480" w:firstLineChars="200"/>
        <w:rPr>
          <w:rFonts w:ascii="宋体" w:hAnsi="宋体"/>
          <w:sz w:val="24"/>
        </w:rPr>
      </w:pPr>
      <w:r>
        <w:rPr>
          <w:rFonts w:hint="eastAsia" w:ascii="宋体" w:hAnsi="宋体"/>
          <w:sz w:val="24"/>
        </w:rPr>
        <w:t>26)盘，柜内的电缆芯线应按垂直或水平有规律地配置。不得任意歪斜交叉连接。</w:t>
      </w:r>
      <w:bookmarkStart w:id="40" w:name="_Toc20630"/>
      <w:bookmarkStart w:id="41" w:name="_Toc9769"/>
      <w:bookmarkStart w:id="42" w:name="_Toc31875"/>
      <w:bookmarkStart w:id="43" w:name="_Toc3047"/>
      <w:bookmarkStart w:id="44" w:name="_Toc9048"/>
      <w:bookmarkStart w:id="45" w:name="_Toc30497"/>
      <w:bookmarkStart w:id="46" w:name="_Toc24500"/>
      <w:bookmarkStart w:id="47" w:name="_Toc24303"/>
    </w:p>
    <w:p>
      <w:pPr>
        <w:ind w:firstLine="480" w:firstLineChars="200"/>
        <w:rPr>
          <w:rFonts w:ascii="宋体" w:hAnsi="宋体"/>
          <w:sz w:val="24"/>
        </w:rPr>
      </w:pPr>
    </w:p>
    <w:p>
      <w:pPr>
        <w:pStyle w:val="33"/>
        <w:numPr>
          <w:ilvl w:val="0"/>
          <w:numId w:val="5"/>
        </w:numPr>
        <w:ind w:firstLineChars="0"/>
        <w:rPr>
          <w:rFonts w:ascii="宋体" w:hAnsi="宋体"/>
          <w:b/>
          <w:sz w:val="24"/>
        </w:rPr>
      </w:pPr>
      <w:r>
        <w:rPr>
          <w:rFonts w:hint="eastAsia" w:ascii="宋体" w:hAnsi="宋体"/>
          <w:b/>
          <w:sz w:val="24"/>
        </w:rPr>
        <w:t>室内低压配电线路配线情况，动力照明配电箱、开关插座安装</w:t>
      </w:r>
      <w:bookmarkEnd w:id="40"/>
      <w:bookmarkEnd w:id="41"/>
      <w:bookmarkEnd w:id="42"/>
      <w:bookmarkEnd w:id="43"/>
      <w:bookmarkEnd w:id="44"/>
      <w:bookmarkEnd w:id="45"/>
      <w:bookmarkEnd w:id="46"/>
      <w:bookmarkEnd w:id="47"/>
    </w:p>
    <w:p>
      <w:pPr>
        <w:ind w:firstLine="480" w:firstLineChars="200"/>
        <w:rPr>
          <w:rFonts w:ascii="宋体" w:hAnsi="宋体"/>
          <w:sz w:val="24"/>
        </w:rPr>
      </w:pPr>
      <w:r>
        <w:rPr>
          <w:rFonts w:hint="eastAsia" w:ascii="宋体" w:hAnsi="宋体"/>
          <w:sz w:val="24"/>
        </w:rPr>
        <w:t>1)盘、柜装置及二次回路结线的安装工程应按已批准的设计进行施工。</w:t>
      </w:r>
    </w:p>
    <w:p>
      <w:pPr>
        <w:ind w:firstLine="480" w:firstLineChars="200"/>
        <w:rPr>
          <w:rFonts w:ascii="宋体" w:hAnsi="宋体"/>
          <w:sz w:val="24"/>
        </w:rPr>
      </w:pPr>
      <w:r>
        <w:rPr>
          <w:rFonts w:hint="eastAsia" w:ascii="宋体" w:hAnsi="宋体"/>
          <w:sz w:val="24"/>
        </w:rPr>
        <w:t>2)采用的设备和器材，必须是符合国家现行技术标准的合格产品，并有合格证件。设备应有铭牌。</w:t>
      </w:r>
    </w:p>
    <w:p>
      <w:pPr>
        <w:ind w:firstLine="480" w:firstLineChars="200"/>
        <w:rPr>
          <w:rFonts w:ascii="宋体" w:hAnsi="宋体"/>
          <w:sz w:val="24"/>
        </w:rPr>
      </w:pPr>
      <w:r>
        <w:rPr>
          <w:rFonts w:hint="eastAsia" w:ascii="宋体" w:hAnsi="宋体"/>
          <w:sz w:val="24"/>
        </w:rPr>
        <w:t>3)设备安装用的紧固件，应用镀锌制品，并宜采用标准件。</w:t>
      </w:r>
    </w:p>
    <w:p>
      <w:pPr>
        <w:ind w:firstLine="480" w:firstLineChars="200"/>
        <w:rPr>
          <w:rFonts w:ascii="宋体" w:hAnsi="宋体"/>
          <w:sz w:val="24"/>
        </w:rPr>
      </w:pPr>
      <w:r>
        <w:rPr>
          <w:rFonts w:hint="eastAsia" w:ascii="宋体" w:hAnsi="宋体"/>
          <w:sz w:val="24"/>
        </w:rPr>
        <w:t>4)安装调试完毕后，建筑中的预留孔洞及电缆管口，应做好封堵。</w:t>
      </w:r>
    </w:p>
    <w:p>
      <w:pPr>
        <w:ind w:firstLine="480" w:firstLineChars="200"/>
        <w:rPr>
          <w:rFonts w:ascii="宋体" w:hAnsi="宋体"/>
          <w:sz w:val="24"/>
        </w:rPr>
      </w:pPr>
      <w:r>
        <w:rPr>
          <w:rFonts w:hint="eastAsia" w:ascii="宋体" w:hAnsi="宋体"/>
          <w:sz w:val="24"/>
        </w:rPr>
        <w:t>5)基础型钢的安装应符合不直度允许偏差mm/m小于1。</w:t>
      </w:r>
    </w:p>
    <w:p>
      <w:pPr>
        <w:ind w:firstLine="480" w:firstLineChars="200"/>
        <w:rPr>
          <w:rFonts w:ascii="宋体" w:hAnsi="宋体"/>
          <w:sz w:val="24"/>
        </w:rPr>
      </w:pPr>
      <w:r>
        <w:rPr>
          <w:rFonts w:hint="eastAsia" w:ascii="宋体" w:hAnsi="宋体"/>
          <w:sz w:val="24"/>
        </w:rPr>
        <w:t>6)基础型钢的安装应符合不直度允许偏差mm/全长小于5。</w:t>
      </w:r>
    </w:p>
    <w:p>
      <w:pPr>
        <w:ind w:firstLine="480" w:firstLineChars="200"/>
        <w:rPr>
          <w:rFonts w:ascii="宋体" w:hAnsi="宋体"/>
          <w:sz w:val="24"/>
        </w:rPr>
      </w:pPr>
      <w:r>
        <w:rPr>
          <w:rFonts w:hint="eastAsia" w:ascii="宋体" w:hAnsi="宋体"/>
          <w:sz w:val="24"/>
        </w:rPr>
        <w:t>7)基础型钢的安装应符合水平度允许偏差mm/m小于1。</w:t>
      </w:r>
    </w:p>
    <w:p>
      <w:pPr>
        <w:ind w:firstLine="480" w:firstLineChars="200"/>
        <w:rPr>
          <w:rFonts w:ascii="宋体" w:hAnsi="宋体"/>
          <w:sz w:val="24"/>
        </w:rPr>
      </w:pPr>
      <w:r>
        <w:rPr>
          <w:rFonts w:hint="eastAsia" w:ascii="宋体" w:hAnsi="宋体"/>
          <w:sz w:val="24"/>
        </w:rPr>
        <w:t>8)基础型钢的安装应符合水平度允许偏差mm/全长小于5。</w:t>
      </w:r>
    </w:p>
    <w:p>
      <w:pPr>
        <w:ind w:firstLine="480" w:firstLineChars="200"/>
        <w:rPr>
          <w:rFonts w:ascii="宋体" w:hAnsi="宋体"/>
          <w:sz w:val="24"/>
        </w:rPr>
      </w:pPr>
      <w:r>
        <w:rPr>
          <w:rFonts w:hint="eastAsia" w:ascii="宋体" w:hAnsi="宋体"/>
          <w:sz w:val="24"/>
        </w:rPr>
        <w:t>9)基础型钢的安装应符合位置误差及不平行度小于5。</w:t>
      </w:r>
    </w:p>
    <w:p>
      <w:pPr>
        <w:ind w:firstLine="480" w:firstLineChars="200"/>
        <w:rPr>
          <w:rFonts w:ascii="宋体" w:hAnsi="宋体"/>
          <w:sz w:val="24"/>
        </w:rPr>
      </w:pPr>
      <w:r>
        <w:rPr>
          <w:rFonts w:hint="eastAsia" w:ascii="宋体" w:hAnsi="宋体"/>
          <w:sz w:val="24"/>
        </w:rPr>
        <w:t>10)端子箱安装应牢固，封闭良好，并应能防潮、防尘。</w:t>
      </w:r>
    </w:p>
    <w:p>
      <w:pPr>
        <w:ind w:firstLine="480" w:firstLineChars="200"/>
        <w:rPr>
          <w:rFonts w:ascii="宋体" w:hAnsi="宋体"/>
          <w:sz w:val="24"/>
        </w:rPr>
      </w:pPr>
      <w:r>
        <w:rPr>
          <w:rFonts w:hint="eastAsia" w:ascii="宋体" w:hAnsi="宋体"/>
          <w:sz w:val="24"/>
        </w:rPr>
        <w:t>11)端子箱安装的位置应便于检查；成列安装时，应排列整齐。</w:t>
      </w:r>
    </w:p>
    <w:p>
      <w:pPr>
        <w:ind w:firstLine="480" w:firstLineChars="200"/>
        <w:rPr>
          <w:rFonts w:ascii="宋体" w:hAnsi="宋体"/>
          <w:sz w:val="24"/>
        </w:rPr>
      </w:pPr>
      <w:r>
        <w:rPr>
          <w:rFonts w:hint="eastAsia" w:ascii="宋体" w:hAnsi="宋体"/>
          <w:sz w:val="24"/>
        </w:rPr>
        <w:t>12)盘、柜、台、箱的接地应牢固良好。</w:t>
      </w:r>
    </w:p>
    <w:p>
      <w:pPr>
        <w:ind w:firstLine="480" w:firstLineChars="200"/>
        <w:rPr>
          <w:rFonts w:ascii="宋体" w:hAnsi="宋体"/>
          <w:sz w:val="24"/>
        </w:rPr>
      </w:pPr>
      <w:r>
        <w:rPr>
          <w:rFonts w:hint="eastAsia" w:ascii="宋体" w:hAnsi="宋体"/>
          <w:sz w:val="24"/>
        </w:rPr>
        <w:t>13)装有电器的可开启的门，应以裸铜软线与接地的金属构架可靠的连接。</w:t>
      </w:r>
    </w:p>
    <w:p>
      <w:pPr>
        <w:ind w:firstLine="480" w:firstLineChars="200"/>
        <w:rPr>
          <w:rFonts w:ascii="宋体" w:hAnsi="宋体"/>
          <w:sz w:val="24"/>
        </w:rPr>
      </w:pPr>
      <w:r>
        <w:rPr>
          <w:rFonts w:hint="eastAsia" w:ascii="宋体" w:hAnsi="宋体"/>
          <w:sz w:val="24"/>
        </w:rPr>
        <w:t>14)抽屉式配电柜抽屉推拉灵活轻便，无卡阻、碰撞现象，抽屉应能互换。</w:t>
      </w:r>
    </w:p>
    <w:p>
      <w:pPr>
        <w:ind w:firstLine="480" w:firstLineChars="200"/>
        <w:rPr>
          <w:rFonts w:ascii="宋体" w:hAnsi="宋体"/>
          <w:sz w:val="24"/>
        </w:rPr>
      </w:pPr>
      <w:r>
        <w:rPr>
          <w:rFonts w:hint="eastAsia" w:ascii="宋体" w:hAnsi="宋体"/>
          <w:sz w:val="24"/>
        </w:rPr>
        <w:t>15)抽屉式配电柜抽屉的机械联锁或电气联锁装置应动作正确可靠，断路器分闸后，隔离触头才能分开。</w:t>
      </w:r>
    </w:p>
    <w:p>
      <w:pPr>
        <w:ind w:firstLine="480" w:firstLineChars="200"/>
        <w:rPr>
          <w:rFonts w:ascii="宋体" w:hAnsi="宋体"/>
          <w:sz w:val="24"/>
        </w:rPr>
      </w:pPr>
      <w:r>
        <w:rPr>
          <w:rFonts w:hint="eastAsia" w:ascii="宋体" w:hAnsi="宋体"/>
          <w:sz w:val="24"/>
        </w:rPr>
        <w:t>16)抽屉式配电柜抽屉与柜体间的二次回路连接插件应接触良好。</w:t>
      </w:r>
    </w:p>
    <w:p>
      <w:pPr>
        <w:ind w:firstLine="480" w:firstLineChars="200"/>
        <w:rPr>
          <w:rFonts w:ascii="宋体" w:hAnsi="宋体"/>
          <w:sz w:val="24"/>
        </w:rPr>
      </w:pPr>
      <w:r>
        <w:rPr>
          <w:rFonts w:hint="eastAsia" w:ascii="宋体" w:hAnsi="宋体"/>
          <w:sz w:val="24"/>
        </w:rPr>
        <w:t>17)抽屉式配电柜抽屉与柜体间的接触及柜体、框架的接地应良好。</w:t>
      </w:r>
    </w:p>
    <w:p>
      <w:pPr>
        <w:ind w:firstLine="480" w:firstLineChars="200"/>
        <w:rPr>
          <w:rFonts w:ascii="宋体" w:hAnsi="宋体"/>
          <w:sz w:val="24"/>
        </w:rPr>
      </w:pPr>
      <w:r>
        <w:rPr>
          <w:rFonts w:hint="eastAsia" w:ascii="宋体" w:hAnsi="宋体"/>
          <w:sz w:val="24"/>
        </w:rPr>
        <w:t>18)盘、柜的漆层应完整，无损伤。固定电器的支架等应刷漆。</w:t>
      </w:r>
    </w:p>
    <w:p>
      <w:pPr>
        <w:ind w:firstLine="480" w:firstLineChars="200"/>
        <w:rPr>
          <w:rFonts w:ascii="宋体" w:hAnsi="宋体"/>
          <w:sz w:val="24"/>
        </w:rPr>
      </w:pPr>
      <w:r>
        <w:rPr>
          <w:rFonts w:hint="eastAsia" w:ascii="宋体" w:hAnsi="宋体"/>
          <w:sz w:val="24"/>
        </w:rPr>
        <w:t>19)安装于同一室内的盘、柜、其盘面颜色宜和谐一致。</w:t>
      </w:r>
    </w:p>
    <w:p>
      <w:pPr>
        <w:ind w:firstLine="480" w:firstLineChars="200"/>
        <w:rPr>
          <w:rFonts w:ascii="宋体" w:hAnsi="宋体"/>
          <w:sz w:val="24"/>
        </w:rPr>
      </w:pPr>
      <w:r>
        <w:rPr>
          <w:rFonts w:hint="eastAsia" w:ascii="宋体" w:hAnsi="宋体"/>
          <w:sz w:val="24"/>
        </w:rPr>
        <w:t>20)电器元件质量良好，型号、规格应符合设计要求，外观应完好，且附件齐全，排列整齐，固定牢固，密封良好。</w:t>
      </w:r>
    </w:p>
    <w:p>
      <w:pPr>
        <w:ind w:firstLine="480" w:firstLineChars="200"/>
        <w:rPr>
          <w:rFonts w:ascii="宋体" w:hAnsi="宋体"/>
          <w:sz w:val="24"/>
        </w:rPr>
      </w:pPr>
      <w:r>
        <w:rPr>
          <w:rFonts w:hint="eastAsia" w:ascii="宋体" w:hAnsi="宋体"/>
          <w:sz w:val="24"/>
        </w:rPr>
        <w:t>21)各电器应能单独拆装更换而不影响其它电器及导线束的固定。</w:t>
      </w:r>
    </w:p>
    <w:p>
      <w:pPr>
        <w:ind w:firstLine="480" w:firstLineChars="200"/>
        <w:rPr>
          <w:rFonts w:ascii="宋体" w:hAnsi="宋体"/>
          <w:sz w:val="24"/>
        </w:rPr>
      </w:pPr>
      <w:r>
        <w:rPr>
          <w:rFonts w:hint="eastAsia" w:ascii="宋体" w:hAnsi="宋体"/>
          <w:sz w:val="24"/>
        </w:rPr>
        <w:t>22)发热元件宜安装在散热良好的地方。</w:t>
      </w:r>
    </w:p>
    <w:p>
      <w:pPr>
        <w:ind w:firstLine="480" w:firstLineChars="200"/>
        <w:rPr>
          <w:rFonts w:ascii="宋体" w:hAnsi="宋体"/>
          <w:sz w:val="24"/>
        </w:rPr>
      </w:pPr>
      <w:r>
        <w:rPr>
          <w:rFonts w:hint="eastAsia" w:ascii="宋体" w:hAnsi="宋体"/>
          <w:sz w:val="24"/>
        </w:rPr>
        <w:t>23)发热元件两个发热元件之间的连线应采用耐热导线或裸铜线套瓷管。</w:t>
      </w:r>
    </w:p>
    <w:p>
      <w:pPr>
        <w:ind w:firstLine="480" w:firstLineChars="200"/>
        <w:rPr>
          <w:rFonts w:ascii="宋体" w:hAnsi="宋体"/>
          <w:sz w:val="24"/>
        </w:rPr>
      </w:pPr>
      <w:r>
        <w:rPr>
          <w:rFonts w:hint="eastAsia" w:ascii="宋体" w:hAnsi="宋体"/>
          <w:sz w:val="24"/>
        </w:rPr>
        <w:t>24)熔断器的熔体规格、自动开关的整定值应符合设计要求。</w:t>
      </w:r>
    </w:p>
    <w:p>
      <w:pPr>
        <w:ind w:firstLine="480" w:firstLineChars="200"/>
        <w:rPr>
          <w:rFonts w:ascii="宋体" w:hAnsi="宋体"/>
          <w:sz w:val="24"/>
        </w:rPr>
      </w:pPr>
      <w:r>
        <w:rPr>
          <w:rFonts w:hint="eastAsia" w:ascii="宋体" w:hAnsi="宋体"/>
          <w:sz w:val="24"/>
        </w:rPr>
        <w:t>25)信号回路的信号灯、光字牌等应显示准确，工作可靠。</w:t>
      </w:r>
    </w:p>
    <w:p>
      <w:pPr>
        <w:ind w:firstLine="480" w:firstLineChars="200"/>
        <w:rPr>
          <w:rFonts w:ascii="宋体" w:hAnsi="宋体"/>
          <w:sz w:val="24"/>
        </w:rPr>
      </w:pPr>
      <w:r>
        <w:rPr>
          <w:rFonts w:hint="eastAsia" w:ascii="宋体" w:hAnsi="宋体"/>
          <w:sz w:val="24"/>
        </w:rPr>
        <w:t>26)带有照明的封闭式盘、柜应保证照明完好。</w:t>
      </w:r>
    </w:p>
    <w:p>
      <w:pPr>
        <w:ind w:firstLine="480" w:firstLineChars="200"/>
        <w:rPr>
          <w:rFonts w:ascii="宋体" w:hAnsi="宋体"/>
          <w:sz w:val="24"/>
        </w:rPr>
      </w:pPr>
      <w:r>
        <w:rPr>
          <w:rFonts w:hint="eastAsia" w:ascii="宋体" w:hAnsi="宋体"/>
          <w:sz w:val="24"/>
        </w:rPr>
        <w:t>27)端子排应无损坏，固定牢固，绝缘良好。</w:t>
      </w:r>
    </w:p>
    <w:p>
      <w:pPr>
        <w:ind w:firstLine="480" w:firstLineChars="200"/>
        <w:rPr>
          <w:rFonts w:ascii="宋体" w:hAnsi="宋体"/>
          <w:sz w:val="24"/>
        </w:rPr>
      </w:pPr>
      <w:r>
        <w:rPr>
          <w:rFonts w:hint="eastAsia" w:ascii="宋体" w:hAnsi="宋体"/>
          <w:sz w:val="24"/>
        </w:rPr>
        <w:t>28)端子排应有序号，端子排应便于更换且接线方便；离地高度宜大于350mm。</w:t>
      </w:r>
    </w:p>
    <w:p>
      <w:pPr>
        <w:ind w:firstLine="480" w:firstLineChars="200"/>
        <w:rPr>
          <w:rFonts w:ascii="宋体" w:hAnsi="宋体"/>
          <w:sz w:val="24"/>
        </w:rPr>
      </w:pPr>
      <w:r>
        <w:rPr>
          <w:rFonts w:hint="eastAsia" w:ascii="宋体" w:hAnsi="宋体"/>
          <w:sz w:val="24"/>
        </w:rPr>
        <w:t>29)端子排强、弱电端子宜分开布置；当有困难时，应有明显标志并设空端子隔开或设加强绝缘的隔板。</w:t>
      </w:r>
    </w:p>
    <w:p>
      <w:pPr>
        <w:ind w:firstLine="480" w:firstLineChars="200"/>
        <w:rPr>
          <w:rFonts w:ascii="宋体" w:hAnsi="宋体"/>
          <w:sz w:val="24"/>
        </w:rPr>
      </w:pPr>
      <w:r>
        <w:rPr>
          <w:rFonts w:hint="eastAsia" w:ascii="宋体" w:hAnsi="宋体"/>
          <w:sz w:val="24"/>
        </w:rPr>
        <w:t>30)端子排接线端子应与导线截面匹配，不应使用小端子配大截面导线。</w:t>
      </w:r>
    </w:p>
    <w:p>
      <w:pPr>
        <w:ind w:firstLine="480" w:firstLineChars="200"/>
        <w:rPr>
          <w:rFonts w:ascii="宋体" w:hAnsi="宋体"/>
          <w:sz w:val="24"/>
        </w:rPr>
      </w:pPr>
      <w:r>
        <w:rPr>
          <w:rFonts w:hint="eastAsia" w:ascii="宋体" w:hAnsi="宋体"/>
          <w:sz w:val="24"/>
        </w:rPr>
        <w:t>31)二次回路的连接件均采用铜质制品；绝缘件应采用自熄性阻燃材料。</w:t>
      </w:r>
    </w:p>
    <w:p>
      <w:pPr>
        <w:ind w:firstLine="480" w:firstLineChars="200"/>
        <w:rPr>
          <w:rFonts w:ascii="宋体" w:hAnsi="宋体"/>
          <w:sz w:val="24"/>
        </w:rPr>
      </w:pPr>
      <w:r>
        <w:rPr>
          <w:rFonts w:hint="eastAsia" w:ascii="宋体" w:hAnsi="宋体"/>
          <w:sz w:val="24"/>
        </w:rPr>
        <w:t>32)盘、柜的正面及背面各电器、端子牌等应标明编号、名称、用途及操作位置。</w:t>
      </w:r>
    </w:p>
    <w:p>
      <w:pPr>
        <w:ind w:firstLine="480" w:firstLineChars="200"/>
        <w:rPr>
          <w:rFonts w:ascii="宋体" w:hAnsi="宋体"/>
          <w:sz w:val="24"/>
        </w:rPr>
      </w:pPr>
      <w:r>
        <w:rPr>
          <w:rFonts w:hint="eastAsia" w:ascii="宋体" w:hAnsi="宋体"/>
          <w:sz w:val="24"/>
        </w:rPr>
        <w:t>33)盘、柜的正面及背面标明的字迹应清晰、工整，且不易脱色。</w:t>
      </w:r>
    </w:p>
    <w:p>
      <w:pPr>
        <w:pStyle w:val="33"/>
        <w:numPr>
          <w:ilvl w:val="0"/>
          <w:numId w:val="5"/>
        </w:numPr>
        <w:ind w:firstLineChars="0"/>
        <w:rPr>
          <w:rFonts w:ascii="宋体" w:hAnsi="宋体"/>
          <w:b/>
          <w:sz w:val="24"/>
        </w:rPr>
      </w:pPr>
      <w:bookmarkStart w:id="48" w:name="_Toc27416"/>
      <w:bookmarkStart w:id="49" w:name="_Toc3813"/>
      <w:bookmarkStart w:id="50" w:name="_Toc15020"/>
      <w:bookmarkStart w:id="51" w:name="_Toc21958"/>
      <w:bookmarkStart w:id="52" w:name="_Toc20168"/>
      <w:bookmarkStart w:id="53" w:name="_Toc8195"/>
      <w:bookmarkStart w:id="54" w:name="_Toc6447"/>
      <w:bookmarkStart w:id="55" w:name="_Toc26897"/>
      <w:r>
        <w:rPr>
          <w:rFonts w:hint="eastAsia" w:ascii="宋体" w:hAnsi="宋体"/>
          <w:b/>
          <w:sz w:val="24"/>
        </w:rPr>
        <w:t>吊顶内线路的敷设</w:t>
      </w:r>
      <w:bookmarkEnd w:id="48"/>
      <w:bookmarkEnd w:id="49"/>
      <w:bookmarkEnd w:id="50"/>
      <w:bookmarkEnd w:id="51"/>
      <w:bookmarkEnd w:id="52"/>
      <w:bookmarkEnd w:id="53"/>
      <w:bookmarkEnd w:id="54"/>
      <w:bookmarkEnd w:id="55"/>
    </w:p>
    <w:p>
      <w:pPr>
        <w:ind w:firstLine="480" w:firstLineChars="200"/>
        <w:rPr>
          <w:rFonts w:ascii="宋体" w:hAnsi="宋体"/>
          <w:sz w:val="24"/>
        </w:rPr>
      </w:pPr>
      <w:r>
        <w:rPr>
          <w:rFonts w:hint="eastAsia" w:ascii="宋体" w:hAnsi="宋体"/>
          <w:sz w:val="24"/>
        </w:rPr>
        <w:t>1)二次回路接线应按图施工，接线正确。</w:t>
      </w:r>
    </w:p>
    <w:p>
      <w:pPr>
        <w:ind w:firstLine="480" w:firstLineChars="200"/>
        <w:rPr>
          <w:rFonts w:ascii="宋体" w:hAnsi="宋体"/>
          <w:sz w:val="24"/>
        </w:rPr>
      </w:pPr>
      <w:r>
        <w:rPr>
          <w:rFonts w:hint="eastAsia" w:ascii="宋体" w:hAnsi="宋体"/>
          <w:sz w:val="24"/>
        </w:rPr>
        <w:t>2)二次回路的导线与电气元件间采用螺栓连接、插接、焊接或压接等，均应牢固可靠。</w:t>
      </w:r>
    </w:p>
    <w:p>
      <w:pPr>
        <w:ind w:firstLine="480" w:firstLineChars="200"/>
        <w:rPr>
          <w:rFonts w:ascii="宋体" w:hAnsi="宋体"/>
          <w:sz w:val="24"/>
        </w:rPr>
      </w:pPr>
      <w:r>
        <w:rPr>
          <w:rFonts w:hint="eastAsia" w:ascii="宋体" w:hAnsi="宋体"/>
          <w:sz w:val="24"/>
        </w:rPr>
        <w:t>3)盘、柜式的导线不应有接头，导线芯线应无损伤。</w:t>
      </w:r>
    </w:p>
    <w:p>
      <w:pPr>
        <w:ind w:firstLine="480" w:firstLineChars="200"/>
        <w:rPr>
          <w:rFonts w:ascii="宋体" w:hAnsi="宋体"/>
          <w:sz w:val="24"/>
        </w:rPr>
      </w:pPr>
      <w:r>
        <w:rPr>
          <w:rFonts w:hint="eastAsia" w:ascii="宋体" w:hAnsi="宋体"/>
          <w:sz w:val="24"/>
        </w:rPr>
        <w:t>4)每个接线端子的每侧接线宜为1根，不得超过2根。</w:t>
      </w:r>
    </w:p>
    <w:p>
      <w:pPr>
        <w:ind w:firstLine="480" w:firstLineChars="200"/>
        <w:rPr>
          <w:rFonts w:ascii="宋体" w:hAnsi="宋体"/>
          <w:sz w:val="24"/>
        </w:rPr>
      </w:pPr>
      <w:r>
        <w:rPr>
          <w:rFonts w:hint="eastAsia" w:ascii="宋体" w:hAnsi="宋体"/>
          <w:sz w:val="24"/>
        </w:rPr>
        <w:t>5)盘、柜内的配线电流回路应采用电压不低于500V的铜芯绝缘导线。</w:t>
      </w:r>
    </w:p>
    <w:p>
      <w:pPr>
        <w:ind w:firstLine="480" w:firstLineChars="200"/>
        <w:rPr>
          <w:rFonts w:ascii="宋体" w:hAnsi="宋体"/>
          <w:sz w:val="24"/>
        </w:rPr>
      </w:pPr>
      <w:r>
        <w:rPr>
          <w:rFonts w:hint="eastAsia" w:ascii="宋体" w:hAnsi="宋体"/>
          <w:sz w:val="24"/>
        </w:rPr>
        <w:t>6)盘、柜内的配线电流回路铜芯绝缘导线截面不应小于2.5mm² 。</w:t>
      </w:r>
    </w:p>
    <w:p>
      <w:pPr>
        <w:ind w:firstLine="480" w:firstLineChars="200"/>
        <w:rPr>
          <w:rFonts w:ascii="宋体" w:hAnsi="宋体"/>
          <w:sz w:val="24"/>
        </w:rPr>
      </w:pPr>
      <w:r>
        <w:rPr>
          <w:rFonts w:hint="eastAsia" w:ascii="宋体" w:hAnsi="宋体"/>
          <w:sz w:val="24"/>
        </w:rPr>
        <w:t xml:space="preserve">7)盘、柜内的其它回路截面不应小于1.5mm²。  </w:t>
      </w:r>
    </w:p>
    <w:p>
      <w:pPr>
        <w:ind w:firstLine="480" w:firstLineChars="200"/>
        <w:rPr>
          <w:rFonts w:ascii="宋体" w:hAnsi="宋体"/>
          <w:sz w:val="24"/>
        </w:rPr>
      </w:pPr>
      <w:r>
        <w:rPr>
          <w:rFonts w:hint="eastAsia" w:ascii="宋体" w:hAnsi="宋体"/>
          <w:sz w:val="24"/>
        </w:rPr>
        <w:t>8)用于连接门上的电器、控制台板等可动部位的导线应采用多股软导线，敷设长度应有适当裕度。</w:t>
      </w:r>
    </w:p>
    <w:p>
      <w:pPr>
        <w:ind w:firstLine="480" w:firstLineChars="200"/>
        <w:rPr>
          <w:rFonts w:ascii="宋体" w:hAnsi="宋体"/>
          <w:sz w:val="24"/>
        </w:rPr>
      </w:pPr>
      <w:r>
        <w:rPr>
          <w:rFonts w:hint="eastAsia" w:ascii="宋体" w:hAnsi="宋体"/>
          <w:sz w:val="24"/>
        </w:rPr>
        <w:t>9)引入盘、柜内的电缆应排列整齐，编号清晰，避免交叉，并应固定牢固，不得使所接的端子排受到机械应力。</w:t>
      </w:r>
    </w:p>
    <w:p>
      <w:pPr>
        <w:ind w:firstLine="480" w:firstLineChars="200"/>
        <w:rPr>
          <w:rFonts w:ascii="宋体" w:hAnsi="宋体"/>
          <w:sz w:val="24"/>
        </w:rPr>
      </w:pPr>
      <w:r>
        <w:rPr>
          <w:rFonts w:hint="eastAsia" w:ascii="宋体" w:hAnsi="宋体"/>
          <w:sz w:val="24"/>
        </w:rPr>
        <w:t>10)盘，柜内的电缆芯线应按垂直或水平有规律地配置。不得任意歪斜交叉连接。</w:t>
      </w:r>
    </w:p>
    <w:p>
      <w:pPr>
        <w:pStyle w:val="33"/>
        <w:numPr>
          <w:ilvl w:val="0"/>
          <w:numId w:val="5"/>
        </w:numPr>
        <w:ind w:firstLineChars="0"/>
        <w:rPr>
          <w:rFonts w:ascii="宋体" w:hAnsi="宋体"/>
          <w:b/>
          <w:sz w:val="24"/>
        </w:rPr>
      </w:pPr>
      <w:bookmarkStart w:id="56" w:name="_Toc3331"/>
      <w:bookmarkStart w:id="57" w:name="_Toc31589"/>
      <w:bookmarkStart w:id="58" w:name="_Toc26098"/>
      <w:bookmarkStart w:id="59" w:name="_Toc14900"/>
      <w:bookmarkStart w:id="60" w:name="_Toc10043"/>
      <w:bookmarkStart w:id="61" w:name="_Toc7392"/>
      <w:bookmarkStart w:id="62" w:name="_Toc14820"/>
      <w:bookmarkStart w:id="63" w:name="_Toc7196"/>
      <w:r>
        <w:rPr>
          <w:rFonts w:hint="eastAsia" w:ascii="宋体" w:hAnsi="宋体"/>
          <w:b/>
          <w:sz w:val="24"/>
        </w:rPr>
        <w:t>电气设备接地和等电位联结等</w:t>
      </w:r>
      <w:bookmarkEnd w:id="56"/>
      <w:bookmarkEnd w:id="57"/>
      <w:bookmarkEnd w:id="58"/>
      <w:bookmarkEnd w:id="59"/>
      <w:bookmarkEnd w:id="60"/>
      <w:bookmarkEnd w:id="61"/>
      <w:bookmarkEnd w:id="62"/>
      <w:bookmarkEnd w:id="63"/>
    </w:p>
    <w:p>
      <w:pPr>
        <w:ind w:firstLine="480" w:firstLineChars="200"/>
        <w:rPr>
          <w:rFonts w:ascii="宋体" w:hAnsi="宋体"/>
          <w:sz w:val="24"/>
        </w:rPr>
      </w:pPr>
      <w:r>
        <w:rPr>
          <w:rFonts w:hint="eastAsia" w:ascii="宋体" w:hAnsi="宋体"/>
          <w:sz w:val="24"/>
        </w:rPr>
        <w:t>1)进出建筑物等电位连接：金属管道、电力线路、通信线路。</w:t>
      </w:r>
    </w:p>
    <w:p>
      <w:pPr>
        <w:ind w:firstLine="480" w:firstLineChars="200"/>
        <w:rPr>
          <w:rFonts w:ascii="宋体" w:hAnsi="宋体"/>
          <w:sz w:val="24"/>
        </w:rPr>
      </w:pPr>
      <w:r>
        <w:rPr>
          <w:rFonts w:hint="eastAsia" w:ascii="宋体" w:hAnsi="宋体"/>
          <w:sz w:val="24"/>
        </w:rPr>
        <w:t>2)屋顶天面（LPZOB区）等电位连接：接地体、引下线、等电位连接带、天面金属构架之间的等电位连接。</w:t>
      </w:r>
    </w:p>
    <w:p>
      <w:pPr>
        <w:ind w:firstLine="480" w:firstLineChars="200"/>
        <w:rPr>
          <w:rFonts w:ascii="宋体" w:hAnsi="宋体"/>
          <w:sz w:val="24"/>
        </w:rPr>
      </w:pPr>
      <w:r>
        <w:rPr>
          <w:rFonts w:hint="eastAsia" w:ascii="宋体" w:hAnsi="宋体"/>
          <w:sz w:val="24"/>
        </w:rPr>
        <w:t>3)室内等电位连接：电力线路、通信线路、金属轨道、变配电系统接地装置、SPD电涌保护器安装位置。</w:t>
      </w:r>
    </w:p>
    <w:p>
      <w:pPr>
        <w:ind w:firstLine="480" w:firstLineChars="200"/>
        <w:rPr>
          <w:rFonts w:ascii="宋体" w:hAnsi="宋体"/>
          <w:sz w:val="24"/>
        </w:rPr>
      </w:pPr>
      <w:r>
        <w:rPr>
          <w:rFonts w:hint="eastAsia" w:ascii="宋体" w:hAnsi="宋体"/>
          <w:sz w:val="24"/>
        </w:rPr>
        <w:t>4)电源线、信息线路在建筑物进出处SPD电涌保护器状况。</w:t>
      </w:r>
    </w:p>
    <w:p>
      <w:pPr>
        <w:ind w:firstLine="480" w:firstLineChars="200"/>
        <w:rPr>
          <w:rFonts w:ascii="宋体" w:hAnsi="宋体"/>
          <w:sz w:val="24"/>
        </w:rPr>
      </w:pPr>
      <w:r>
        <w:rPr>
          <w:rFonts w:hint="eastAsia" w:ascii="宋体" w:hAnsi="宋体"/>
          <w:sz w:val="24"/>
        </w:rPr>
        <w:t>5)检测电气设备接地电阻。</w:t>
      </w:r>
    </w:p>
    <w:p>
      <w:pPr>
        <w:ind w:firstLine="480" w:firstLineChars="200"/>
        <w:rPr>
          <w:rFonts w:ascii="宋体" w:hAnsi="宋体"/>
          <w:sz w:val="24"/>
        </w:rPr>
      </w:pPr>
    </w:p>
    <w:p>
      <w:pPr>
        <w:ind w:firstLine="482" w:firstLineChars="200"/>
        <w:rPr>
          <w:rFonts w:ascii="宋体" w:hAnsi="宋体"/>
          <w:b/>
          <w:sz w:val="24"/>
        </w:rPr>
      </w:pPr>
      <w:r>
        <w:rPr>
          <w:rFonts w:hint="eastAsia" w:ascii="宋体" w:hAnsi="宋体"/>
          <w:b/>
          <w:sz w:val="24"/>
        </w:rPr>
        <w:t>注：投标人本次投标方案中拟检测内容应包含以上内容，但不限于以上内容。</w:t>
      </w:r>
    </w:p>
    <w:p>
      <w:pPr>
        <w:ind w:firstLine="482" w:firstLineChars="200"/>
        <w:rPr>
          <w:rFonts w:ascii="宋体" w:hAnsi="宋体"/>
          <w:b/>
          <w:sz w:val="24"/>
        </w:rPr>
      </w:pPr>
    </w:p>
    <w:p>
      <w:pPr>
        <w:pStyle w:val="4"/>
        <w:numPr>
          <w:ilvl w:val="0"/>
          <w:numId w:val="1"/>
        </w:numPr>
        <w:adjustRightInd/>
        <w:spacing w:before="0" w:after="0"/>
        <w:ind w:left="0" w:firstLine="482" w:firstLineChars="200"/>
        <w:jc w:val="both"/>
        <w:textAlignment w:val="auto"/>
        <w:rPr>
          <w:sz w:val="24"/>
          <w:szCs w:val="24"/>
        </w:rPr>
      </w:pPr>
      <w:r>
        <w:rPr>
          <w:rFonts w:hint="eastAsia"/>
          <w:sz w:val="24"/>
          <w:szCs w:val="24"/>
        </w:rPr>
        <w:t>质量要求</w:t>
      </w:r>
    </w:p>
    <w:p>
      <w:pPr>
        <w:pStyle w:val="33"/>
        <w:numPr>
          <w:ilvl w:val="0"/>
          <w:numId w:val="6"/>
        </w:numPr>
        <w:ind w:firstLineChars="0"/>
        <w:rPr>
          <w:rFonts w:ascii="宋体" w:hAnsi="宋体"/>
          <w:sz w:val="24"/>
        </w:rPr>
      </w:pPr>
      <w:r>
        <w:rPr>
          <w:rFonts w:hint="eastAsia" w:ascii="宋体" w:hAnsi="宋体"/>
          <w:sz w:val="24"/>
        </w:rPr>
        <w:t>明确检测人员责任，进场前对管理人员及检测人员进行质量和安全教育，采取措施，使检测过程始终处于受控状态。</w:t>
      </w:r>
    </w:p>
    <w:p>
      <w:pPr>
        <w:pStyle w:val="33"/>
        <w:numPr>
          <w:ilvl w:val="0"/>
          <w:numId w:val="6"/>
        </w:numPr>
        <w:ind w:firstLineChars="0"/>
        <w:rPr>
          <w:rFonts w:ascii="宋体" w:hAnsi="宋体"/>
          <w:sz w:val="24"/>
        </w:rPr>
      </w:pPr>
      <w:r>
        <w:rPr>
          <w:rFonts w:hint="eastAsia" w:ascii="宋体" w:hAnsi="宋体"/>
          <w:sz w:val="24"/>
        </w:rPr>
        <w:t>检测人员持证挂牌上岗，统一着装，安全文明检测。</w:t>
      </w:r>
    </w:p>
    <w:p>
      <w:pPr>
        <w:pStyle w:val="33"/>
        <w:numPr>
          <w:ilvl w:val="0"/>
          <w:numId w:val="6"/>
        </w:numPr>
        <w:ind w:firstLineChars="0"/>
        <w:rPr>
          <w:rFonts w:ascii="宋体" w:hAnsi="宋体"/>
          <w:sz w:val="24"/>
        </w:rPr>
      </w:pPr>
      <w:r>
        <w:rPr>
          <w:rFonts w:hint="eastAsia" w:ascii="宋体" w:hAnsi="宋体"/>
          <w:sz w:val="24"/>
        </w:rPr>
        <w:t>保证工作进度。</w:t>
      </w:r>
    </w:p>
    <w:p>
      <w:pPr>
        <w:pStyle w:val="33"/>
        <w:numPr>
          <w:ilvl w:val="0"/>
          <w:numId w:val="6"/>
        </w:numPr>
        <w:ind w:firstLineChars="0"/>
        <w:rPr>
          <w:rFonts w:ascii="宋体" w:hAnsi="宋体"/>
          <w:sz w:val="24"/>
        </w:rPr>
      </w:pPr>
      <w:r>
        <w:rPr>
          <w:rFonts w:hint="eastAsia" w:ascii="宋体" w:hAnsi="宋体"/>
          <w:sz w:val="24"/>
        </w:rPr>
        <w:t>检测记录细致、数据准确。</w:t>
      </w:r>
    </w:p>
    <w:p>
      <w:pPr>
        <w:pStyle w:val="33"/>
        <w:numPr>
          <w:ilvl w:val="0"/>
          <w:numId w:val="6"/>
        </w:numPr>
        <w:ind w:firstLineChars="0"/>
        <w:rPr>
          <w:rFonts w:ascii="宋体" w:hAnsi="宋体"/>
          <w:sz w:val="24"/>
        </w:rPr>
      </w:pPr>
      <w:r>
        <w:rPr>
          <w:rFonts w:hint="eastAsia" w:ascii="宋体" w:hAnsi="宋体"/>
          <w:sz w:val="24"/>
        </w:rPr>
        <w:t>针对发现的问题（附照片）提出合理整改建议。</w:t>
      </w:r>
    </w:p>
    <w:p>
      <w:pPr>
        <w:pStyle w:val="4"/>
        <w:numPr>
          <w:ilvl w:val="0"/>
          <w:numId w:val="1"/>
        </w:numPr>
        <w:adjustRightInd/>
        <w:spacing w:before="0" w:after="0"/>
        <w:ind w:left="0" w:firstLine="482" w:firstLineChars="200"/>
        <w:jc w:val="both"/>
        <w:textAlignment w:val="auto"/>
        <w:rPr>
          <w:sz w:val="24"/>
          <w:szCs w:val="24"/>
        </w:rPr>
      </w:pPr>
      <w:r>
        <w:rPr>
          <w:rFonts w:hint="eastAsia"/>
          <w:sz w:val="24"/>
          <w:szCs w:val="24"/>
        </w:rPr>
        <w:t>服务及报告交付方式</w:t>
      </w:r>
    </w:p>
    <w:p>
      <w:pPr>
        <w:pStyle w:val="33"/>
        <w:numPr>
          <w:ilvl w:val="0"/>
          <w:numId w:val="7"/>
        </w:numPr>
        <w:ind w:firstLineChars="0"/>
        <w:rPr>
          <w:rFonts w:ascii="宋体" w:hAnsi="宋体"/>
          <w:sz w:val="24"/>
        </w:rPr>
      </w:pPr>
      <w:r>
        <w:rPr>
          <w:rFonts w:hint="eastAsia" w:ascii="宋体" w:hAnsi="宋体"/>
          <w:sz w:val="24"/>
        </w:rPr>
        <w:t>服务：对于初检出的隐患问题，甲方应及时整改，整改完毕后乙方提供一次免费的复检并提供复检合格报告。</w:t>
      </w:r>
      <w:r>
        <w:rPr>
          <w:rFonts w:ascii="宋体" w:hAnsi="宋体"/>
          <w:sz w:val="24"/>
        </w:rPr>
        <w:t xml:space="preserve"> </w:t>
      </w:r>
      <w:r>
        <w:rPr>
          <w:rFonts w:hint="eastAsia" w:ascii="宋体" w:hAnsi="宋体"/>
          <w:sz w:val="24"/>
        </w:rPr>
        <w:tab/>
      </w:r>
    </w:p>
    <w:p>
      <w:pPr>
        <w:pStyle w:val="33"/>
        <w:numPr>
          <w:ilvl w:val="0"/>
          <w:numId w:val="7"/>
        </w:numPr>
        <w:ind w:firstLineChars="0"/>
        <w:rPr>
          <w:rFonts w:ascii="宋体" w:hAnsi="宋体"/>
          <w:sz w:val="24"/>
        </w:rPr>
      </w:pPr>
      <w:r>
        <w:rPr>
          <w:rFonts w:hint="eastAsia" w:ascii="宋体" w:hAnsi="宋体"/>
          <w:sz w:val="24"/>
        </w:rPr>
        <w:t>报告：</w:t>
      </w:r>
      <w:r>
        <w:rPr>
          <w:rFonts w:ascii="宋体" w:hAnsi="宋体"/>
          <w:sz w:val="24"/>
        </w:rPr>
        <w:t>乙方</w:t>
      </w:r>
      <w:r>
        <w:rPr>
          <w:rFonts w:hint="eastAsia" w:ascii="宋体" w:hAnsi="宋体"/>
          <w:sz w:val="24"/>
        </w:rPr>
        <w:t>出具的检测报告必须加盖具有法律效力的CMA认证的《</w:t>
      </w:r>
      <w:r>
        <w:rPr>
          <w:rFonts w:ascii="宋体" w:hAnsi="宋体"/>
          <w:sz w:val="24"/>
        </w:rPr>
        <w:t>检测报告</w:t>
      </w:r>
      <w:r>
        <w:rPr>
          <w:rFonts w:hint="eastAsia" w:ascii="宋体" w:hAnsi="宋体"/>
          <w:sz w:val="24"/>
        </w:rPr>
        <w:t>》</w:t>
      </w:r>
      <w:r>
        <w:rPr>
          <w:rFonts w:ascii="宋体" w:hAnsi="宋体"/>
          <w:sz w:val="24"/>
        </w:rPr>
        <w:t>，并以书面报告</w:t>
      </w:r>
      <w:r>
        <w:rPr>
          <w:rFonts w:hint="eastAsia" w:ascii="宋体" w:hAnsi="宋体"/>
          <w:sz w:val="24"/>
        </w:rPr>
        <w:t>（正、副本）</w:t>
      </w:r>
      <w:r>
        <w:rPr>
          <w:rFonts w:ascii="宋体" w:hAnsi="宋体"/>
          <w:sz w:val="24"/>
        </w:rPr>
        <w:t>的形式交</w:t>
      </w:r>
      <w:r>
        <w:rPr>
          <w:rFonts w:hint="eastAsia" w:ascii="宋体" w:hAnsi="宋体"/>
          <w:sz w:val="24"/>
        </w:rPr>
        <w:t>给</w:t>
      </w:r>
      <w:r>
        <w:rPr>
          <w:rFonts w:ascii="宋体" w:hAnsi="宋体"/>
          <w:sz w:val="24"/>
        </w:rPr>
        <w:t>甲方</w:t>
      </w:r>
      <w:r>
        <w:rPr>
          <w:rFonts w:hint="eastAsia" w:ascii="宋体" w:hAnsi="宋体"/>
          <w:sz w:val="24"/>
        </w:rPr>
        <w:t>。</w:t>
      </w:r>
    </w:p>
    <w:p>
      <w:pPr>
        <w:pStyle w:val="33"/>
        <w:numPr>
          <w:ilvl w:val="0"/>
          <w:numId w:val="7"/>
        </w:numPr>
        <w:ind w:firstLineChars="0"/>
        <w:rPr>
          <w:rFonts w:ascii="宋体" w:hAnsi="宋体"/>
          <w:sz w:val="24"/>
        </w:rPr>
      </w:pPr>
      <w:r>
        <w:rPr>
          <w:rFonts w:hint="eastAsia" w:ascii="宋体" w:hAnsi="宋体"/>
          <w:sz w:val="24"/>
        </w:rPr>
        <w:t>中标人请第三方协助的费用（如消防设备设施的生产或安装厂家、消防部门等），由中标人承担。</w:t>
      </w:r>
    </w:p>
    <w:p>
      <w:pPr>
        <w:pStyle w:val="33"/>
        <w:numPr>
          <w:ilvl w:val="0"/>
          <w:numId w:val="7"/>
        </w:numPr>
        <w:ind w:firstLineChars="0"/>
        <w:rPr>
          <w:rFonts w:ascii="宋体" w:hAnsi="宋体"/>
          <w:sz w:val="24"/>
        </w:rPr>
      </w:pPr>
      <w:r>
        <w:rPr>
          <w:rFonts w:hint="eastAsia" w:ascii="宋体" w:hAnsi="宋体"/>
          <w:sz w:val="24"/>
        </w:rPr>
        <w:t>检测时如对建筑发生破坏性施工，恢复费用由中标人承担。</w:t>
      </w:r>
    </w:p>
    <w:p>
      <w:pPr>
        <w:pStyle w:val="33"/>
        <w:numPr>
          <w:ilvl w:val="0"/>
          <w:numId w:val="7"/>
        </w:numPr>
        <w:ind w:firstLineChars="0"/>
        <w:rPr>
          <w:rFonts w:ascii="宋体" w:hAnsi="宋体"/>
          <w:sz w:val="24"/>
        </w:rPr>
      </w:pPr>
      <w:r>
        <w:rPr>
          <w:rFonts w:hint="eastAsia" w:ascii="宋体" w:hAnsi="宋体"/>
          <w:sz w:val="24"/>
        </w:rPr>
        <w:t>检测时发生的不可预知的消防设备设施及建筑损坏的维修费用，由中标人承担。</w:t>
      </w:r>
    </w:p>
    <w:p>
      <w:pPr>
        <w:pStyle w:val="4"/>
        <w:numPr>
          <w:ilvl w:val="0"/>
          <w:numId w:val="1"/>
        </w:numPr>
        <w:adjustRightInd/>
        <w:spacing w:before="0" w:after="0"/>
        <w:ind w:left="0" w:firstLine="482" w:firstLineChars="200"/>
        <w:jc w:val="both"/>
        <w:textAlignment w:val="auto"/>
        <w:rPr>
          <w:sz w:val="24"/>
          <w:szCs w:val="24"/>
        </w:rPr>
      </w:pPr>
      <w:r>
        <w:rPr>
          <w:rFonts w:hint="eastAsia"/>
          <w:sz w:val="24"/>
          <w:szCs w:val="24"/>
        </w:rPr>
        <w:t>商务需求</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701"/>
        <w:gridCol w:w="6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tcPr>
          <w:p>
            <w:pPr>
              <w:pStyle w:val="2"/>
              <w:rPr>
                <w:rFonts w:hint="eastAsia"/>
                <w:sz w:val="21"/>
              </w:rPr>
            </w:pPr>
            <w:r>
              <w:rPr>
                <w:rFonts w:hint="eastAsia"/>
                <w:sz w:val="21"/>
              </w:rPr>
              <w:t>序号</w:t>
            </w:r>
          </w:p>
        </w:tc>
        <w:tc>
          <w:tcPr>
            <w:tcW w:w="1701" w:type="dxa"/>
          </w:tcPr>
          <w:p>
            <w:pPr>
              <w:pStyle w:val="2"/>
              <w:rPr>
                <w:rFonts w:hint="eastAsia"/>
                <w:sz w:val="21"/>
              </w:rPr>
            </w:pPr>
            <w:r>
              <w:rPr>
                <w:rFonts w:hint="eastAsia"/>
                <w:sz w:val="21"/>
              </w:rPr>
              <w:t>目录</w:t>
            </w:r>
          </w:p>
        </w:tc>
        <w:tc>
          <w:tcPr>
            <w:tcW w:w="6004" w:type="dxa"/>
          </w:tcPr>
          <w:p>
            <w:pPr>
              <w:pStyle w:val="2"/>
              <w:rPr>
                <w:rFonts w:hint="eastAsia"/>
                <w:sz w:val="21"/>
              </w:rPr>
            </w:pPr>
            <w:r>
              <w:rPr>
                <w:rFonts w:hint="eastAsia"/>
                <w:sz w:val="21"/>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2"/>
              <w:rPr>
                <w:rFonts w:hint="eastAsia"/>
                <w:b w:val="0"/>
                <w:sz w:val="21"/>
              </w:rPr>
            </w:pPr>
            <w:r>
              <w:rPr>
                <w:rFonts w:hint="eastAsia"/>
                <w:b w:val="0"/>
                <w:sz w:val="21"/>
              </w:rPr>
              <w:t>1</w:t>
            </w:r>
          </w:p>
        </w:tc>
        <w:tc>
          <w:tcPr>
            <w:tcW w:w="1701" w:type="dxa"/>
          </w:tcPr>
          <w:p>
            <w:pPr>
              <w:pStyle w:val="2"/>
              <w:rPr>
                <w:rFonts w:hint="eastAsia"/>
                <w:b w:val="0"/>
                <w:sz w:val="21"/>
              </w:rPr>
            </w:pPr>
            <w:r>
              <w:rPr>
                <w:rFonts w:hint="eastAsia"/>
                <w:b w:val="0"/>
                <w:sz w:val="21"/>
              </w:rPr>
              <w:t>投标人资质</w:t>
            </w:r>
          </w:p>
        </w:tc>
        <w:tc>
          <w:tcPr>
            <w:tcW w:w="6004" w:type="dxa"/>
          </w:tcPr>
          <w:p>
            <w:pPr>
              <w:pStyle w:val="2"/>
              <w:rPr>
                <w:rFonts w:hint="eastAsia"/>
                <w:b w:val="0"/>
                <w:sz w:val="21"/>
              </w:rPr>
            </w:pPr>
            <w:r>
              <w:rPr>
                <w:rFonts w:hint="eastAsia"/>
                <w:b w:val="0"/>
                <w:sz w:val="21"/>
              </w:rPr>
              <w:t>投标人必须具有</w:t>
            </w:r>
            <w:r>
              <w:rPr>
                <w:rFonts w:hint="eastAsia"/>
                <w:b w:val="0"/>
                <w:sz w:val="21"/>
                <w:lang w:eastAsia="zh-CN"/>
              </w:rPr>
              <w:t>投标人必须具有省级市场监督管理局颁发的计量认证(CMA)证书，提供能力附表（检测对象包含电气防火、工程设备建筑设备(电气工程)等项目）。</w:t>
            </w:r>
            <w:bookmarkStart w:id="64" w:name="_GoBack"/>
            <w:bookmark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2"/>
              <w:rPr>
                <w:rFonts w:hint="eastAsia"/>
                <w:b w:val="0"/>
                <w:sz w:val="21"/>
              </w:rPr>
            </w:pPr>
            <w:r>
              <w:rPr>
                <w:rFonts w:hint="eastAsia"/>
                <w:b w:val="0"/>
                <w:sz w:val="21"/>
              </w:rPr>
              <w:t>2</w:t>
            </w:r>
          </w:p>
        </w:tc>
        <w:tc>
          <w:tcPr>
            <w:tcW w:w="1701" w:type="dxa"/>
          </w:tcPr>
          <w:p>
            <w:pPr>
              <w:pStyle w:val="2"/>
              <w:rPr>
                <w:rFonts w:hint="eastAsia"/>
                <w:b w:val="0"/>
                <w:sz w:val="21"/>
              </w:rPr>
            </w:pPr>
            <w:r>
              <w:rPr>
                <w:rFonts w:hint="eastAsia"/>
                <w:b w:val="0"/>
                <w:sz w:val="21"/>
              </w:rPr>
              <w:t>付款方式</w:t>
            </w:r>
          </w:p>
        </w:tc>
        <w:tc>
          <w:tcPr>
            <w:tcW w:w="6004" w:type="dxa"/>
          </w:tcPr>
          <w:p>
            <w:pPr>
              <w:pStyle w:val="2"/>
              <w:rPr>
                <w:rFonts w:hint="eastAsia"/>
                <w:b w:val="0"/>
                <w:sz w:val="21"/>
              </w:rPr>
            </w:pPr>
            <w:r>
              <w:rPr>
                <w:rFonts w:hint="eastAsia"/>
                <w:b w:val="0"/>
                <w:sz w:val="21"/>
              </w:rPr>
              <w:t>乙方完成首次现场检测完工后出具《检测报告》，经甲方验收合格后，甲方在收到乙方付款所需要的材料后15个工作日内，将资金一次性支付</w:t>
            </w:r>
            <w:r>
              <w:rPr>
                <w:rFonts w:hint="eastAsia"/>
                <w:b w:val="0"/>
                <w:sz w:val="21"/>
                <w:lang w:eastAsia="zh-CN"/>
              </w:rPr>
              <w:t>。</w:t>
            </w:r>
          </w:p>
        </w:tc>
      </w:tr>
    </w:tbl>
    <w:p>
      <w:pPr>
        <w:pStyle w:val="2"/>
        <w:rPr>
          <w:rFonts w:hint="eastAsia"/>
        </w:rPr>
      </w:pPr>
    </w:p>
    <w:p>
      <w:pPr>
        <w:ind w:firstLine="482" w:firstLineChars="200"/>
        <w:rPr>
          <w:rFonts w:ascii="宋体" w:hAnsi="宋体"/>
          <w:b/>
          <w:sz w:val="24"/>
        </w:rPr>
      </w:pPr>
      <w:r>
        <w:rPr>
          <w:rFonts w:ascii="宋体" w:hAnsi="宋体"/>
          <w:b/>
          <w:sz w:val="24"/>
        </w:rPr>
        <w:br w:type="page"/>
      </w:r>
    </w:p>
    <w:p>
      <w:pPr>
        <w:pStyle w:val="3"/>
      </w:pPr>
      <w:r>
        <w:rPr>
          <w:rFonts w:hint="eastAsia"/>
        </w:rPr>
        <w:t>第三章  投标文件格式</w:t>
      </w:r>
    </w:p>
    <w:p>
      <w:pPr>
        <w:rPr>
          <w:rStyle w:val="27"/>
          <w:rFonts w:ascii="宋体" w:hAnsi="宋体" w:eastAsia="宋体" w:cs="宋体"/>
          <w:sz w:val="28"/>
          <w:szCs w:val="28"/>
        </w:rPr>
      </w:pPr>
      <w:r>
        <w:rPr>
          <w:rStyle w:val="27"/>
          <w:rFonts w:hint="eastAsia" w:ascii="宋体" w:hAnsi="宋体" w:eastAsia="宋体" w:cs="宋体"/>
          <w:b/>
          <w:bCs w:val="0"/>
          <w:sz w:val="28"/>
          <w:szCs w:val="28"/>
        </w:rPr>
        <w:t>投标文件组成：</w:t>
      </w:r>
    </w:p>
    <w:p>
      <w:pPr>
        <w:rPr>
          <w:rFonts w:ascii="宋体" w:hAnsi="宋体" w:cs="宋体"/>
          <w:sz w:val="24"/>
        </w:rPr>
      </w:pPr>
    </w:p>
    <w:p>
      <w:pPr>
        <w:rPr>
          <w:rFonts w:ascii="宋体" w:hAnsi="宋体" w:cs="宋体"/>
          <w:sz w:val="24"/>
        </w:rPr>
      </w:pPr>
      <w:r>
        <w:rPr>
          <w:rFonts w:hint="eastAsia" w:ascii="宋体" w:hAnsi="宋体" w:cs="宋体"/>
          <w:sz w:val="24"/>
        </w:rPr>
        <w:t>目录</w:t>
      </w:r>
    </w:p>
    <w:p>
      <w:pPr>
        <w:rPr>
          <w:rFonts w:ascii="宋体" w:hAnsi="宋体" w:cs="宋体"/>
          <w:sz w:val="24"/>
        </w:rPr>
      </w:pPr>
    </w:p>
    <w:p>
      <w:pPr>
        <w:rPr>
          <w:rFonts w:ascii="宋体" w:hAnsi="宋体" w:cs="宋体"/>
          <w:sz w:val="24"/>
        </w:rPr>
      </w:pPr>
      <w:r>
        <w:rPr>
          <w:rFonts w:hint="eastAsia" w:ascii="宋体" w:hAnsi="宋体" w:cs="宋体"/>
          <w:szCs w:val="21"/>
        </w:rPr>
        <w:t>投标一览表</w:t>
      </w:r>
    </w:p>
    <w:p>
      <w:pPr>
        <w:rPr>
          <w:rFonts w:ascii="宋体" w:hAnsi="宋体" w:cs="宋体"/>
          <w:sz w:val="24"/>
        </w:rPr>
      </w:pPr>
      <w:r>
        <w:rPr>
          <w:rFonts w:hint="eastAsia" w:ascii="宋体" w:hAnsi="宋体" w:cs="宋体"/>
          <w:sz w:val="24"/>
        </w:rPr>
        <w:t>1、评标指引表</w:t>
      </w:r>
      <w:r>
        <w:rPr>
          <w:rFonts w:hint="eastAsia" w:ascii="宋体" w:hAnsi="宋体" w:cs="宋体"/>
          <w:sz w:val="24"/>
        </w:rPr>
        <w:cr/>
      </w:r>
      <w:r>
        <w:rPr>
          <w:rFonts w:hint="eastAsia" w:ascii="宋体" w:hAnsi="宋体" w:cs="宋体"/>
          <w:sz w:val="24"/>
        </w:rPr>
        <w:t>2、法定代表人证明书</w:t>
      </w:r>
      <w:r>
        <w:rPr>
          <w:rFonts w:hint="eastAsia" w:ascii="宋体" w:hAnsi="宋体" w:cs="宋体"/>
          <w:sz w:val="24"/>
        </w:rPr>
        <w:cr/>
      </w:r>
      <w:r>
        <w:rPr>
          <w:rFonts w:hint="eastAsia" w:ascii="宋体" w:hAnsi="宋体" w:cs="宋体"/>
          <w:sz w:val="24"/>
        </w:rPr>
        <w:t>3、投标文件签署授权委托书</w:t>
      </w:r>
      <w:r>
        <w:rPr>
          <w:rFonts w:hint="eastAsia" w:ascii="宋体" w:hAnsi="宋体" w:cs="宋体"/>
          <w:sz w:val="24"/>
        </w:rPr>
        <w:cr/>
      </w:r>
      <w:r>
        <w:rPr>
          <w:rFonts w:hint="eastAsia" w:ascii="宋体" w:hAnsi="宋体" w:cs="宋体"/>
          <w:sz w:val="24"/>
        </w:rPr>
        <w:t>4、投标承诺函</w:t>
      </w:r>
      <w:r>
        <w:rPr>
          <w:rFonts w:hint="eastAsia" w:ascii="宋体" w:hAnsi="宋体" w:cs="宋体"/>
          <w:sz w:val="24"/>
        </w:rPr>
        <w:cr/>
      </w:r>
      <w:r>
        <w:rPr>
          <w:rFonts w:hint="eastAsia" w:ascii="宋体" w:hAnsi="宋体" w:cs="宋体"/>
          <w:sz w:val="24"/>
        </w:rPr>
        <w:t>5、投标人情况介绍</w:t>
      </w:r>
      <w:r>
        <w:rPr>
          <w:rFonts w:hint="eastAsia" w:ascii="宋体" w:hAnsi="宋体" w:cs="宋体"/>
          <w:sz w:val="24"/>
        </w:rPr>
        <w:cr/>
      </w:r>
      <w:r>
        <w:rPr>
          <w:rFonts w:hint="eastAsia" w:ascii="宋体" w:hAnsi="宋体" w:cs="宋体"/>
          <w:sz w:val="24"/>
        </w:rPr>
        <w:t>6、分项报价清单</w:t>
      </w:r>
      <w:r>
        <w:rPr>
          <w:rFonts w:hint="eastAsia" w:ascii="宋体" w:hAnsi="宋体" w:cs="宋体"/>
          <w:sz w:val="24"/>
        </w:rPr>
        <w:cr/>
      </w:r>
      <w:r>
        <w:rPr>
          <w:rFonts w:hint="eastAsia" w:ascii="宋体" w:hAnsi="宋体" w:cs="宋体"/>
          <w:sz w:val="24"/>
        </w:rPr>
        <w:t>7、项目主要管理及技术人员情况</w:t>
      </w:r>
      <w:r>
        <w:rPr>
          <w:rFonts w:hint="eastAsia" w:ascii="宋体" w:hAnsi="宋体" w:cs="宋体"/>
          <w:sz w:val="24"/>
        </w:rPr>
        <w:cr/>
      </w:r>
      <w:r>
        <w:rPr>
          <w:rFonts w:hint="eastAsia" w:ascii="宋体" w:hAnsi="宋体" w:cs="宋体"/>
          <w:sz w:val="24"/>
        </w:rPr>
        <w:t>8、商务需求偏离表</w:t>
      </w:r>
      <w:r>
        <w:rPr>
          <w:rFonts w:hint="eastAsia" w:ascii="宋体" w:hAnsi="宋体" w:cs="宋体"/>
          <w:sz w:val="24"/>
        </w:rPr>
        <w:cr/>
      </w:r>
      <w:r>
        <w:rPr>
          <w:rFonts w:hint="eastAsia" w:ascii="宋体" w:hAnsi="宋体" w:cs="宋体"/>
          <w:sz w:val="24"/>
        </w:rPr>
        <w:t>9、技术保障措施</w:t>
      </w:r>
      <w:r>
        <w:rPr>
          <w:rFonts w:hint="eastAsia" w:ascii="宋体" w:hAnsi="宋体" w:cs="宋体"/>
          <w:sz w:val="24"/>
        </w:rPr>
        <w:cr/>
      </w:r>
      <w:r>
        <w:rPr>
          <w:rFonts w:hint="eastAsia" w:ascii="宋体" w:hAnsi="宋体" w:cs="宋体"/>
          <w:sz w:val="24"/>
        </w:rPr>
        <w:t>10、实施安全保障措施</w:t>
      </w:r>
      <w:r>
        <w:rPr>
          <w:rFonts w:hint="eastAsia" w:ascii="宋体" w:hAnsi="宋体" w:cs="宋体"/>
          <w:sz w:val="24"/>
        </w:rPr>
        <w:cr/>
      </w:r>
      <w:r>
        <w:rPr>
          <w:rFonts w:hint="eastAsia" w:ascii="宋体" w:hAnsi="宋体" w:cs="宋体"/>
          <w:sz w:val="24"/>
        </w:rPr>
        <w:t>11、项目实施方案</w:t>
      </w:r>
      <w:r>
        <w:rPr>
          <w:rFonts w:hint="eastAsia" w:ascii="宋体" w:hAnsi="宋体" w:cs="宋体"/>
          <w:sz w:val="24"/>
        </w:rPr>
        <w:cr/>
      </w:r>
      <w:r>
        <w:rPr>
          <w:rFonts w:hint="eastAsia" w:ascii="宋体" w:hAnsi="宋体" w:cs="宋体"/>
          <w:sz w:val="24"/>
        </w:rPr>
        <w:t>12、售后服务方案</w:t>
      </w:r>
      <w:r>
        <w:rPr>
          <w:rFonts w:ascii="宋体" w:hAnsi="宋体" w:cs="宋体"/>
          <w:sz w:val="24"/>
        </w:rPr>
        <w:cr/>
      </w:r>
    </w:p>
    <w:p>
      <w:pPr>
        <w:outlineLvl w:val="1"/>
        <w:rPr>
          <w:rFonts w:ascii="宋体" w:hAnsi="宋体" w:cs="宋体"/>
          <w:b/>
          <w:sz w:val="28"/>
          <w:szCs w:val="28"/>
        </w:rPr>
      </w:pPr>
      <w:r>
        <w:rPr>
          <w:rFonts w:hint="eastAsia" w:ascii="宋体" w:hAnsi="宋体" w:cs="宋体"/>
          <w:b/>
          <w:sz w:val="28"/>
          <w:szCs w:val="28"/>
        </w:rPr>
        <w:t>投标文件格式：</w:t>
      </w:r>
    </w:p>
    <w:p>
      <w:pPr>
        <w:keepNext/>
        <w:keepLines/>
        <w:spacing w:before="120" w:after="120" w:line="416" w:lineRule="auto"/>
        <w:jc w:val="center"/>
        <w:outlineLvl w:val="2"/>
        <w:rPr>
          <w:rFonts w:ascii="宋体" w:hAnsi="宋体" w:cs="宋体"/>
          <w:bCs/>
          <w:color w:val="000000"/>
          <w:sz w:val="44"/>
          <w:szCs w:val="32"/>
        </w:rPr>
      </w:pPr>
      <w:r>
        <w:rPr>
          <w:rFonts w:hint="eastAsia" w:ascii="宋体" w:hAnsi="宋体" w:cs="宋体"/>
          <w:b/>
          <w:bCs/>
          <w:color w:val="000000"/>
          <w:sz w:val="32"/>
          <w:szCs w:val="32"/>
        </w:rPr>
        <w:t>开标一览表</w:t>
      </w:r>
    </w:p>
    <w:p>
      <w:pPr>
        <w:jc w:val="right"/>
        <w:rPr>
          <w:rFonts w:ascii="宋体" w:hAnsi="宋体" w:cs="宋体"/>
          <w:bCs/>
          <w:snapToGrid w:val="0"/>
          <w:color w:val="000000"/>
          <w:kern w:val="0"/>
          <w:szCs w:val="22"/>
        </w:rPr>
      </w:pPr>
      <w:r>
        <w:rPr>
          <w:rFonts w:hint="eastAsia" w:ascii="宋体" w:hAnsi="宋体" w:cs="宋体"/>
          <w:bCs/>
          <w:snapToGrid w:val="0"/>
          <w:color w:val="000000"/>
          <w:kern w:val="0"/>
          <w:szCs w:val="22"/>
        </w:rPr>
        <w:t xml:space="preserve">                  单位： 人民币 元</w:t>
      </w:r>
    </w:p>
    <w:tbl>
      <w:tblPr>
        <w:tblStyle w:val="17"/>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603"/>
        <w:gridCol w:w="2217"/>
        <w:gridCol w:w="201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1800"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项目名称</w:t>
            </w:r>
          </w:p>
        </w:tc>
        <w:tc>
          <w:tcPr>
            <w:tcW w:w="2603"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投标报价</w:t>
            </w:r>
          </w:p>
        </w:tc>
        <w:tc>
          <w:tcPr>
            <w:tcW w:w="2217"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交货期</w:t>
            </w:r>
          </w:p>
        </w:tc>
        <w:tc>
          <w:tcPr>
            <w:tcW w:w="2013"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945" w:hRule="atLeast"/>
          <w:jc w:val="center"/>
        </w:trPr>
        <w:tc>
          <w:tcPr>
            <w:tcW w:w="1800" w:type="dxa"/>
            <w:tcBorders>
              <w:top w:val="single" w:color="auto" w:sz="4" w:space="0"/>
            </w:tcBorders>
            <w:vAlign w:val="center"/>
          </w:tcPr>
          <w:p>
            <w:pPr>
              <w:rPr>
                <w:rFonts w:ascii="宋体" w:hAnsi="宋体" w:cs="宋体"/>
                <w:snapToGrid w:val="0"/>
                <w:color w:val="000000"/>
                <w:kern w:val="0"/>
                <w:szCs w:val="22"/>
                <w:u w:val="single"/>
              </w:rPr>
            </w:pPr>
          </w:p>
        </w:tc>
        <w:tc>
          <w:tcPr>
            <w:tcW w:w="2603" w:type="dxa"/>
            <w:tcBorders>
              <w:top w:val="single" w:color="auto" w:sz="4" w:space="0"/>
            </w:tcBorders>
            <w:vAlign w:val="center"/>
          </w:tcPr>
          <w:p>
            <w:pPr>
              <w:rPr>
                <w:rFonts w:ascii="宋体" w:hAnsi="宋体" w:cs="宋体"/>
                <w:szCs w:val="21"/>
              </w:rPr>
            </w:pPr>
            <w:r>
              <w:rPr>
                <w:rFonts w:hint="eastAsia" w:ascii="宋体" w:hAnsi="宋体" w:cs="宋体"/>
                <w:szCs w:val="21"/>
              </w:rPr>
              <w:t>大写：</w:t>
            </w:r>
          </w:p>
          <w:p>
            <w:pPr>
              <w:rPr>
                <w:rFonts w:ascii="宋体" w:hAnsi="宋体" w:cs="宋体"/>
                <w:color w:val="FF0000"/>
                <w:szCs w:val="21"/>
              </w:rPr>
            </w:pPr>
            <w:r>
              <w:rPr>
                <w:rFonts w:hint="eastAsia" w:ascii="宋体" w:hAnsi="宋体" w:cs="宋体"/>
                <w:szCs w:val="21"/>
              </w:rPr>
              <w:t>小写：</w:t>
            </w:r>
          </w:p>
        </w:tc>
        <w:tc>
          <w:tcPr>
            <w:tcW w:w="2217" w:type="dxa"/>
            <w:tcBorders>
              <w:top w:val="single" w:color="auto" w:sz="4" w:space="0"/>
            </w:tcBorders>
            <w:vAlign w:val="center"/>
          </w:tcPr>
          <w:p>
            <w:pPr>
              <w:ind w:firstLine="210" w:firstLineChars="100"/>
              <w:rPr>
                <w:rFonts w:ascii="宋体" w:hAnsi="宋体" w:cs="宋体"/>
                <w:color w:val="000000"/>
                <w:kern w:val="0"/>
                <w:szCs w:val="21"/>
                <w:lang w:val="zh-CN"/>
              </w:rPr>
            </w:pPr>
            <w:r>
              <w:rPr>
                <w:rFonts w:hint="eastAsia" w:ascii="宋体" w:hAnsi="宋体" w:cs="宋体"/>
                <w:snapToGrid w:val="0"/>
                <w:color w:val="000000"/>
                <w:kern w:val="0"/>
                <w:szCs w:val="22"/>
              </w:rPr>
              <w:t>日历日</w:t>
            </w:r>
          </w:p>
        </w:tc>
        <w:tc>
          <w:tcPr>
            <w:tcW w:w="2013" w:type="dxa"/>
            <w:tcBorders>
              <w:top w:val="single" w:color="auto" w:sz="4" w:space="0"/>
            </w:tcBorders>
            <w:vAlign w:val="center"/>
          </w:tcPr>
          <w:p>
            <w:pPr>
              <w:rPr>
                <w:rFonts w:ascii="宋体" w:hAnsi="宋体" w:cs="宋体"/>
                <w:snapToGrid w:val="0"/>
                <w:color w:val="000000"/>
                <w:kern w:val="0"/>
                <w:szCs w:val="22"/>
              </w:rPr>
            </w:pPr>
          </w:p>
        </w:tc>
      </w:tr>
    </w:tbl>
    <w:p>
      <w:pPr>
        <w:rPr>
          <w:rFonts w:ascii="宋体" w:hAnsi="宋体" w:cs="宋体"/>
          <w:snapToGrid w:val="0"/>
          <w:color w:val="000000"/>
          <w:kern w:val="0"/>
          <w:szCs w:val="22"/>
        </w:rPr>
      </w:pPr>
    </w:p>
    <w:p>
      <w:pPr>
        <w:rPr>
          <w:rFonts w:ascii="宋体" w:hAnsi="宋体" w:cs="宋体"/>
          <w:snapToGrid w:val="0"/>
          <w:kern w:val="0"/>
          <w:szCs w:val="22"/>
        </w:rPr>
      </w:pPr>
      <w:r>
        <w:rPr>
          <w:rFonts w:hint="eastAsia" w:ascii="宋体" w:hAnsi="宋体" w:cs="宋体"/>
          <w:snapToGrid w:val="0"/>
          <w:kern w:val="0"/>
          <w:szCs w:val="22"/>
        </w:rPr>
        <w:t>注：1、价格应按“招标文件”中规定的货币单位填写。</w:t>
      </w:r>
    </w:p>
    <w:p>
      <w:pPr>
        <w:ind w:firstLine="420"/>
        <w:rPr>
          <w:rFonts w:ascii="宋体" w:hAnsi="宋体" w:cs="宋体"/>
          <w:szCs w:val="22"/>
        </w:rPr>
      </w:pPr>
      <w:r>
        <w:rPr>
          <w:rFonts w:hint="eastAsia" w:ascii="宋体" w:hAnsi="宋体" w:cs="宋体"/>
          <w:snapToGrid w:val="0"/>
          <w:kern w:val="0"/>
          <w:szCs w:val="22"/>
        </w:rPr>
        <w:t>2、投标人如果需要对报价或其它内容加以说明，可在备注栏填写。</w:t>
      </w:r>
    </w:p>
    <w:p>
      <w:pPr>
        <w:ind w:firstLine="420"/>
        <w:rPr>
          <w:rFonts w:ascii="宋体" w:hAnsi="宋体" w:cs="宋体"/>
          <w:b/>
          <w:szCs w:val="22"/>
        </w:rPr>
      </w:pPr>
      <w:r>
        <w:rPr>
          <w:rFonts w:hint="eastAsia" w:ascii="宋体" w:hAnsi="宋体" w:cs="宋体"/>
          <w:b/>
          <w:szCs w:val="22"/>
        </w:rPr>
        <w:t>3、开标一览表和投标文件（含正本和副本）应分开独立密封包装。开标一览表未按规定密封、签字、盖章将导致废标。</w:t>
      </w:r>
    </w:p>
    <w:p>
      <w:pPr>
        <w:snapToGrid w:val="0"/>
        <w:ind w:firstLine="411" w:firstLineChars="196"/>
        <w:rPr>
          <w:rFonts w:ascii="宋体" w:hAnsi="宋体" w:cs="宋体"/>
          <w:szCs w:val="21"/>
        </w:rPr>
      </w:pPr>
      <w:r>
        <w:rPr>
          <w:rFonts w:hint="eastAsia" w:ascii="宋体" w:hAnsi="宋体" w:cs="宋体"/>
          <w:szCs w:val="22"/>
        </w:rPr>
        <w:t>4、</w:t>
      </w:r>
      <w:r>
        <w:rPr>
          <w:rFonts w:hint="eastAsia" w:ascii="宋体" w:hAnsi="宋体" w:cs="宋体"/>
          <w:szCs w:val="21"/>
        </w:rPr>
        <w:t>若开标一览表中大写金额和小写金额不一致的，以大写金额为准。</w:t>
      </w:r>
    </w:p>
    <w:p>
      <w:pPr>
        <w:snapToGrid w:val="0"/>
        <w:ind w:firstLine="411" w:firstLineChars="196"/>
        <w:rPr>
          <w:rFonts w:ascii="宋体" w:hAnsi="宋体" w:cs="宋体"/>
          <w:szCs w:val="21"/>
        </w:rPr>
      </w:pPr>
    </w:p>
    <w:p>
      <w:pPr>
        <w:ind w:firstLine="420"/>
        <w:rPr>
          <w:rFonts w:ascii="宋体" w:hAnsi="宋体" w:cs="宋体"/>
          <w:szCs w:val="22"/>
        </w:rPr>
      </w:pPr>
    </w:p>
    <w:p>
      <w:pPr>
        <w:ind w:right="2100" w:rightChars="1000"/>
        <w:jc w:val="right"/>
        <w:rPr>
          <w:rFonts w:ascii="宋体" w:hAnsi="宋体" w:cs="宋体"/>
          <w:snapToGrid w:val="0"/>
          <w:kern w:val="0"/>
          <w:szCs w:val="22"/>
        </w:rPr>
      </w:pPr>
      <w:r>
        <w:rPr>
          <w:rFonts w:hint="eastAsia" w:ascii="宋体" w:hAnsi="宋体" w:cs="宋体"/>
          <w:snapToGrid w:val="0"/>
          <w:kern w:val="0"/>
          <w:szCs w:val="22"/>
        </w:rPr>
        <w:t>法定代表人或被授权人签名：</w:t>
      </w:r>
    </w:p>
    <w:p>
      <w:pPr>
        <w:ind w:right="2100" w:rightChars="1000"/>
        <w:jc w:val="right"/>
        <w:rPr>
          <w:rFonts w:ascii="宋体" w:hAnsi="宋体" w:cs="宋体"/>
          <w:snapToGrid w:val="0"/>
          <w:kern w:val="0"/>
          <w:szCs w:val="22"/>
        </w:rPr>
      </w:pPr>
    </w:p>
    <w:p>
      <w:pPr>
        <w:ind w:right="2100" w:rightChars="1000"/>
        <w:jc w:val="right"/>
        <w:rPr>
          <w:rFonts w:ascii="宋体" w:hAnsi="宋体" w:cs="宋体"/>
          <w:snapToGrid w:val="0"/>
          <w:kern w:val="0"/>
          <w:szCs w:val="22"/>
        </w:rPr>
      </w:pPr>
      <w:r>
        <w:rPr>
          <w:rFonts w:hint="eastAsia" w:ascii="宋体" w:hAnsi="宋体" w:cs="宋体"/>
          <w:snapToGrid w:val="0"/>
          <w:kern w:val="0"/>
          <w:szCs w:val="22"/>
        </w:rPr>
        <w:t xml:space="preserve">                         投标单位公章：</w:t>
      </w:r>
    </w:p>
    <w:p>
      <w:pPr>
        <w:pStyle w:val="10"/>
      </w:pPr>
    </w:p>
    <w:p>
      <w:pPr>
        <w:pStyle w:val="5"/>
        <w:numPr>
          <w:ilvl w:val="0"/>
          <w:numId w:val="8"/>
        </w:numPr>
        <w:jc w:val="center"/>
        <w:rPr>
          <w:rFonts w:cs="宋体"/>
          <w:bCs w:val="0"/>
          <w:kern w:val="0"/>
          <w:szCs w:val="28"/>
        </w:rPr>
      </w:pPr>
      <w:r>
        <w:rPr>
          <w:rFonts w:hint="eastAsia" w:cs="宋体"/>
          <w:bCs w:val="0"/>
          <w:kern w:val="0"/>
          <w:szCs w:val="28"/>
        </w:rPr>
        <w:t>评标指引表</w:t>
      </w:r>
    </w:p>
    <w:tbl>
      <w:tblPr>
        <w:tblStyle w:val="17"/>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344"/>
        <w:gridCol w:w="3442"/>
        <w:gridCol w:w="2068"/>
        <w:gridCol w:w="1422"/>
        <w:gridCol w:w="144"/>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jc w:val="center"/>
              <w:rPr>
                <w:color w:val="000000"/>
                <w:szCs w:val="22"/>
              </w:rPr>
            </w:pPr>
            <w:r>
              <w:rPr>
                <w:rFonts w:hint="eastAsia"/>
                <w:b/>
                <w:bCs/>
                <w:color w:val="000000"/>
                <w:szCs w:val="22"/>
              </w:rPr>
              <w:t>一、资格性审查指引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pPr>
              <w:jc w:val="center"/>
              <w:rPr>
                <w:b/>
                <w:color w:val="000000"/>
                <w:szCs w:val="22"/>
              </w:rPr>
            </w:pPr>
            <w:r>
              <w:rPr>
                <w:rFonts w:hint="eastAsia"/>
                <w:b/>
                <w:color w:val="000000"/>
                <w:szCs w:val="22"/>
              </w:rPr>
              <w:t>序号</w:t>
            </w:r>
          </w:p>
        </w:tc>
        <w:tc>
          <w:tcPr>
            <w:tcW w:w="3786" w:type="dxa"/>
            <w:gridSpan w:val="2"/>
            <w:vAlign w:val="center"/>
          </w:tcPr>
          <w:p>
            <w:pPr>
              <w:jc w:val="center"/>
              <w:rPr>
                <w:b/>
                <w:color w:val="000000"/>
                <w:szCs w:val="22"/>
              </w:rPr>
            </w:pPr>
            <w:r>
              <w:rPr>
                <w:rFonts w:hint="eastAsia"/>
                <w:b/>
                <w:color w:val="000000"/>
                <w:szCs w:val="22"/>
              </w:rPr>
              <w:t>资格性检查项目</w:t>
            </w:r>
          </w:p>
        </w:tc>
        <w:tc>
          <w:tcPr>
            <w:tcW w:w="3490" w:type="dxa"/>
            <w:gridSpan w:val="2"/>
            <w:vAlign w:val="center"/>
          </w:tcPr>
          <w:p>
            <w:pPr>
              <w:jc w:val="center"/>
              <w:rPr>
                <w:b/>
                <w:color w:val="000000"/>
                <w:szCs w:val="22"/>
              </w:rPr>
            </w:pPr>
            <w:r>
              <w:rPr>
                <w:rFonts w:hint="eastAsia"/>
                <w:b/>
                <w:color w:val="000000"/>
                <w:szCs w:val="22"/>
              </w:rPr>
              <w:t>证明文件</w:t>
            </w:r>
          </w:p>
        </w:tc>
        <w:tc>
          <w:tcPr>
            <w:tcW w:w="1358" w:type="dxa"/>
            <w:gridSpan w:val="2"/>
            <w:vAlign w:val="center"/>
          </w:tcPr>
          <w:p>
            <w:pPr>
              <w:jc w:val="center"/>
              <w:rPr>
                <w:b/>
                <w:color w:val="000000"/>
                <w:szCs w:val="22"/>
              </w:rPr>
            </w:pPr>
            <w:r>
              <w:rPr>
                <w:rFonts w:hint="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792" w:type="dxa"/>
            <w:vMerge w:val="restart"/>
          </w:tcPr>
          <w:p>
            <w:pPr>
              <w:jc w:val="center"/>
              <w:rPr>
                <w:b/>
                <w:color w:val="000000"/>
                <w:szCs w:val="22"/>
              </w:rPr>
            </w:pPr>
            <w:r>
              <w:rPr>
                <w:rFonts w:hint="eastAsia"/>
                <w:b/>
                <w:color w:val="000000"/>
                <w:szCs w:val="22"/>
              </w:rPr>
              <w:t>1</w:t>
            </w:r>
          </w:p>
        </w:tc>
        <w:tc>
          <w:tcPr>
            <w:tcW w:w="3786" w:type="dxa"/>
            <w:gridSpan w:val="2"/>
            <w:vMerge w:val="restart"/>
            <w:vAlign w:val="center"/>
          </w:tcPr>
          <w:p>
            <w:pPr>
              <w:jc w:val="center"/>
              <w:rPr>
                <w:b/>
                <w:color w:val="000000"/>
                <w:szCs w:val="22"/>
              </w:rPr>
            </w:pPr>
            <w:r>
              <w:rPr>
                <w:rFonts w:hint="eastAsia" w:ascii="宋体" w:hAnsi="宋体" w:cs="宋体"/>
              </w:rPr>
              <w:t>投标人不具备招标文件所列的资格要求，或未提交相应的资格证明资料（详见招标公告投标人资格要求）</w:t>
            </w:r>
          </w:p>
        </w:tc>
        <w:tc>
          <w:tcPr>
            <w:tcW w:w="3490" w:type="dxa"/>
            <w:gridSpan w:val="2"/>
            <w:vAlign w:val="center"/>
          </w:tcPr>
          <w:p>
            <w:pPr>
              <w:jc w:val="center"/>
              <w:rPr>
                <w:color w:val="000000"/>
                <w:szCs w:val="22"/>
              </w:rPr>
            </w:pPr>
            <w:r>
              <w:rPr>
                <w:rFonts w:hint="eastAsia"/>
                <w:color w:val="000000"/>
                <w:szCs w:val="22"/>
              </w:rPr>
              <w:t>营业执照</w:t>
            </w:r>
          </w:p>
        </w:tc>
        <w:tc>
          <w:tcPr>
            <w:tcW w:w="1358" w:type="dxa"/>
            <w:gridSpan w:val="2"/>
            <w:vAlign w:val="center"/>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pPr>
              <w:jc w:val="center"/>
              <w:rPr>
                <w:b/>
                <w:color w:val="000000"/>
                <w:szCs w:val="22"/>
              </w:rPr>
            </w:pPr>
          </w:p>
        </w:tc>
        <w:tc>
          <w:tcPr>
            <w:tcW w:w="3786" w:type="dxa"/>
            <w:gridSpan w:val="2"/>
            <w:vMerge w:val="continue"/>
            <w:vAlign w:val="center"/>
          </w:tcPr>
          <w:p>
            <w:pPr>
              <w:jc w:val="center"/>
              <w:rPr>
                <w:color w:val="000000"/>
                <w:szCs w:val="22"/>
              </w:rPr>
            </w:pPr>
          </w:p>
        </w:tc>
        <w:tc>
          <w:tcPr>
            <w:tcW w:w="3490" w:type="dxa"/>
            <w:gridSpan w:val="2"/>
            <w:vAlign w:val="center"/>
          </w:tcPr>
          <w:p>
            <w:pPr>
              <w:jc w:val="center"/>
              <w:rPr>
                <w:color w:val="000000"/>
                <w:szCs w:val="22"/>
              </w:rPr>
            </w:pPr>
          </w:p>
        </w:tc>
        <w:tc>
          <w:tcPr>
            <w:tcW w:w="1358" w:type="dxa"/>
            <w:gridSpan w:val="2"/>
            <w:vAlign w:val="center"/>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pPr>
              <w:jc w:val="center"/>
              <w:rPr>
                <w:b/>
                <w:color w:val="000000"/>
                <w:szCs w:val="22"/>
              </w:rPr>
            </w:pPr>
          </w:p>
        </w:tc>
        <w:tc>
          <w:tcPr>
            <w:tcW w:w="3786" w:type="dxa"/>
            <w:gridSpan w:val="2"/>
            <w:vMerge w:val="continue"/>
            <w:vAlign w:val="center"/>
          </w:tcPr>
          <w:p>
            <w:pPr>
              <w:jc w:val="center"/>
              <w:rPr>
                <w:color w:val="000000"/>
                <w:szCs w:val="22"/>
              </w:rPr>
            </w:pPr>
          </w:p>
        </w:tc>
        <w:tc>
          <w:tcPr>
            <w:tcW w:w="3490" w:type="dxa"/>
            <w:gridSpan w:val="2"/>
            <w:vAlign w:val="center"/>
          </w:tcPr>
          <w:p>
            <w:pPr>
              <w:jc w:val="center"/>
              <w:rPr>
                <w:color w:val="000000"/>
                <w:szCs w:val="22"/>
              </w:rPr>
            </w:pPr>
            <w:r>
              <w:rPr>
                <w:rFonts w:hint="eastAsia"/>
                <w:color w:val="000000"/>
                <w:szCs w:val="22"/>
              </w:rPr>
              <w:t>...</w:t>
            </w:r>
          </w:p>
        </w:tc>
        <w:tc>
          <w:tcPr>
            <w:tcW w:w="1358" w:type="dxa"/>
            <w:gridSpan w:val="2"/>
            <w:vAlign w:val="center"/>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jc w:val="center"/>
              <w:rPr>
                <w:b/>
                <w:color w:val="000000"/>
                <w:szCs w:val="22"/>
              </w:rPr>
            </w:pPr>
            <w:r>
              <w:rPr>
                <w:rFonts w:hint="eastAsia"/>
                <w:b/>
                <w:bCs/>
                <w:color w:val="000000"/>
                <w:szCs w:val="22"/>
              </w:rPr>
              <w:t>二、符合性审查指引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pPr>
              <w:jc w:val="center"/>
              <w:rPr>
                <w:b/>
                <w:color w:val="000000"/>
                <w:szCs w:val="22"/>
              </w:rPr>
            </w:pPr>
            <w:r>
              <w:rPr>
                <w:rFonts w:hint="eastAsia"/>
                <w:b/>
                <w:color w:val="000000"/>
                <w:szCs w:val="22"/>
              </w:rPr>
              <w:t>序号</w:t>
            </w:r>
          </w:p>
        </w:tc>
        <w:tc>
          <w:tcPr>
            <w:tcW w:w="5854" w:type="dxa"/>
            <w:gridSpan w:val="3"/>
            <w:vAlign w:val="center"/>
          </w:tcPr>
          <w:p>
            <w:pPr>
              <w:jc w:val="center"/>
              <w:rPr>
                <w:b/>
                <w:color w:val="000000"/>
                <w:szCs w:val="22"/>
              </w:rPr>
            </w:pPr>
            <w:r>
              <w:rPr>
                <w:rFonts w:hint="eastAsia"/>
                <w:b/>
                <w:color w:val="000000"/>
                <w:szCs w:val="22"/>
              </w:rPr>
              <w:t>符合性审查项目</w:t>
            </w:r>
          </w:p>
        </w:tc>
        <w:tc>
          <w:tcPr>
            <w:tcW w:w="1566" w:type="dxa"/>
            <w:gridSpan w:val="2"/>
            <w:vAlign w:val="center"/>
          </w:tcPr>
          <w:p>
            <w:pPr>
              <w:jc w:val="center"/>
              <w:rPr>
                <w:b/>
                <w:color w:val="000000"/>
                <w:szCs w:val="22"/>
              </w:rPr>
            </w:pPr>
            <w:r>
              <w:rPr>
                <w:rFonts w:hint="eastAsia"/>
                <w:b/>
                <w:color w:val="000000"/>
                <w:szCs w:val="22"/>
              </w:rPr>
              <w:t>说明</w:t>
            </w:r>
          </w:p>
          <w:p>
            <w:pPr>
              <w:jc w:val="center"/>
              <w:rPr>
                <w:b/>
                <w:color w:val="000000"/>
                <w:szCs w:val="22"/>
              </w:rPr>
            </w:pPr>
            <w:r>
              <w:rPr>
                <w:rFonts w:hint="eastAsia"/>
                <w:b/>
                <w:color w:val="000000"/>
                <w:szCs w:val="22"/>
              </w:rPr>
              <w:t>(</w:t>
            </w:r>
            <w:r>
              <w:rPr>
                <w:rFonts w:hint="eastAsia"/>
                <w:szCs w:val="22"/>
              </w:rPr>
              <w:t>存在/不存在）</w:t>
            </w:r>
          </w:p>
        </w:tc>
        <w:tc>
          <w:tcPr>
            <w:tcW w:w="1214" w:type="dxa"/>
            <w:vAlign w:val="center"/>
          </w:tcPr>
          <w:p>
            <w:pPr>
              <w:widowControl/>
              <w:jc w:val="left"/>
              <w:rPr>
                <w:b/>
                <w:color w:val="000000"/>
                <w:szCs w:val="22"/>
              </w:rPr>
            </w:pPr>
            <w:r>
              <w:rPr>
                <w:rFonts w:hint="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2</w:t>
            </w:r>
          </w:p>
        </w:tc>
        <w:tc>
          <w:tcPr>
            <w:tcW w:w="5854" w:type="dxa"/>
            <w:gridSpan w:val="3"/>
          </w:tcPr>
          <w:p>
            <w:r>
              <w:rPr>
                <w:rFonts w:hint="eastAsia"/>
              </w:rPr>
              <w:t>未按招标文件对投标文件组成的要求提供投标文件的（投标文件组成不完整）或未按规定密封、签字、盖章；</w:t>
            </w:r>
          </w:p>
        </w:tc>
        <w:tc>
          <w:tcPr>
            <w:tcW w:w="1566" w:type="dxa"/>
            <w:gridSpan w:val="2"/>
            <w:vAlign w:val="center"/>
          </w:tcPr>
          <w:p>
            <w:pPr>
              <w:jc w:val="center"/>
              <w:rPr>
                <w:szCs w:val="22"/>
              </w:rPr>
            </w:pPr>
          </w:p>
        </w:tc>
        <w:tc>
          <w:tcPr>
            <w:tcW w:w="1214" w:type="dxa"/>
            <w:vAlign w:val="center"/>
          </w:tcPr>
          <w:p>
            <w:pPr>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3</w:t>
            </w:r>
          </w:p>
        </w:tc>
        <w:tc>
          <w:tcPr>
            <w:tcW w:w="5854" w:type="dxa"/>
            <w:gridSpan w:val="3"/>
          </w:tcPr>
          <w:p>
            <w:r>
              <w:rPr>
                <w:rFonts w:hint="eastAsia"/>
              </w:rPr>
              <w:t>《技术规格偏离表》或《商务需求偏离表》填写不全或不实</w:t>
            </w:r>
          </w:p>
        </w:tc>
        <w:tc>
          <w:tcPr>
            <w:tcW w:w="1566" w:type="dxa"/>
            <w:gridSpan w:val="2"/>
            <w:vAlign w:val="center"/>
          </w:tcPr>
          <w:p>
            <w:pPr>
              <w:jc w:val="center"/>
              <w:rPr>
                <w:szCs w:val="22"/>
              </w:rPr>
            </w:pPr>
          </w:p>
        </w:tc>
        <w:tc>
          <w:tcPr>
            <w:tcW w:w="1214" w:type="dxa"/>
            <w:vAlign w:val="center"/>
          </w:tcPr>
          <w:p>
            <w:pPr>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4</w:t>
            </w:r>
          </w:p>
        </w:tc>
        <w:tc>
          <w:tcPr>
            <w:tcW w:w="5854" w:type="dxa"/>
            <w:gridSpan w:val="3"/>
          </w:tcPr>
          <w:p>
            <w:r>
              <w:rPr>
                <w:rFonts w:hint="eastAsia"/>
              </w:rPr>
              <w:t>投标总价高于预算限额的或报价低于其成本且不能做出合理说明</w:t>
            </w:r>
          </w:p>
        </w:tc>
        <w:tc>
          <w:tcPr>
            <w:tcW w:w="1566" w:type="dxa"/>
            <w:gridSpan w:val="2"/>
            <w:vAlign w:val="center"/>
          </w:tcPr>
          <w:p>
            <w:pPr>
              <w:jc w:val="center"/>
              <w:rPr>
                <w:szCs w:val="22"/>
              </w:rPr>
            </w:pPr>
          </w:p>
        </w:tc>
        <w:tc>
          <w:tcPr>
            <w:tcW w:w="1214" w:type="dxa"/>
            <w:vAlign w:val="center"/>
          </w:tcPr>
          <w:p>
            <w:pPr>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5</w:t>
            </w:r>
          </w:p>
        </w:tc>
        <w:tc>
          <w:tcPr>
            <w:tcW w:w="5854" w:type="dxa"/>
            <w:gridSpan w:val="3"/>
          </w:tcPr>
          <w:p>
            <w:r>
              <w:rPr>
                <w:rFonts w:hint="eastAsia"/>
              </w:rPr>
              <w:t>投标报价有严重缺漏项目</w:t>
            </w:r>
          </w:p>
        </w:tc>
        <w:tc>
          <w:tcPr>
            <w:tcW w:w="1566" w:type="dxa"/>
            <w:gridSpan w:val="2"/>
            <w:vAlign w:val="center"/>
          </w:tcPr>
          <w:p>
            <w:pPr>
              <w:jc w:val="center"/>
              <w:rPr>
                <w:b/>
                <w:szCs w:val="22"/>
              </w:rPr>
            </w:pPr>
          </w:p>
        </w:tc>
        <w:tc>
          <w:tcPr>
            <w:tcW w:w="1214" w:type="dxa"/>
            <w:vAlign w:val="center"/>
          </w:tcPr>
          <w:p>
            <w:pPr>
              <w:jc w:val="center"/>
              <w:rPr>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6</w:t>
            </w:r>
          </w:p>
        </w:tc>
        <w:tc>
          <w:tcPr>
            <w:tcW w:w="5854" w:type="dxa"/>
            <w:gridSpan w:val="3"/>
          </w:tcPr>
          <w:p>
            <w:r>
              <w:rPr>
                <w:rFonts w:hint="eastAsia"/>
              </w:rPr>
              <w:t>投标文件载明的交货期超过招标文件规定的期限或免费保修期低于招标文件规定的期限</w:t>
            </w:r>
          </w:p>
        </w:tc>
        <w:tc>
          <w:tcPr>
            <w:tcW w:w="1566" w:type="dxa"/>
            <w:gridSpan w:val="2"/>
            <w:vAlign w:val="center"/>
          </w:tcPr>
          <w:p>
            <w:pPr>
              <w:jc w:val="center"/>
              <w:rPr>
                <w:b/>
                <w:szCs w:val="22"/>
              </w:rPr>
            </w:pPr>
          </w:p>
        </w:tc>
        <w:tc>
          <w:tcPr>
            <w:tcW w:w="1214" w:type="dxa"/>
            <w:vAlign w:val="center"/>
          </w:tcPr>
          <w:p>
            <w:pPr>
              <w:jc w:val="center"/>
              <w:rPr>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7</w:t>
            </w:r>
          </w:p>
        </w:tc>
        <w:tc>
          <w:tcPr>
            <w:tcW w:w="5854" w:type="dxa"/>
            <w:gridSpan w:val="3"/>
          </w:tcPr>
          <w:p>
            <w:r>
              <w:rPr>
                <w:rFonts w:hint="eastAsia"/>
              </w:rPr>
              <w:t>所投产品、工程、服务在质量、技术、方案等方面没有实质性满足招标文件要求</w:t>
            </w:r>
          </w:p>
        </w:tc>
        <w:tc>
          <w:tcPr>
            <w:tcW w:w="1566" w:type="dxa"/>
            <w:gridSpan w:val="2"/>
            <w:vAlign w:val="center"/>
          </w:tcPr>
          <w:p>
            <w:pPr>
              <w:jc w:val="center"/>
              <w:rPr>
                <w:b/>
                <w:szCs w:val="22"/>
              </w:rPr>
            </w:pPr>
          </w:p>
        </w:tc>
        <w:tc>
          <w:tcPr>
            <w:tcW w:w="1214" w:type="dxa"/>
            <w:vAlign w:val="center"/>
          </w:tcPr>
          <w:p>
            <w:pPr>
              <w:jc w:val="center"/>
              <w:rPr>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jc w:val="center"/>
              <w:rPr>
                <w:b/>
                <w:color w:val="000000"/>
                <w:szCs w:val="22"/>
              </w:rPr>
            </w:pPr>
            <w:r>
              <w:rPr>
                <w:rFonts w:hint="eastAsia"/>
                <w:b/>
                <w:color w:val="000000"/>
                <w:szCs w:val="22"/>
              </w:rPr>
              <w:t>三、综合评分指引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136" w:type="dxa"/>
            <w:gridSpan w:val="2"/>
          </w:tcPr>
          <w:p>
            <w:pPr>
              <w:jc w:val="center"/>
              <w:rPr>
                <w:b/>
                <w:color w:val="000000"/>
                <w:szCs w:val="22"/>
              </w:rPr>
            </w:pPr>
            <w:r>
              <w:rPr>
                <w:rFonts w:hint="eastAsia"/>
                <w:b/>
                <w:color w:val="000000"/>
                <w:szCs w:val="22"/>
              </w:rPr>
              <w:t>评分类别</w:t>
            </w:r>
          </w:p>
        </w:tc>
        <w:tc>
          <w:tcPr>
            <w:tcW w:w="5510" w:type="dxa"/>
            <w:gridSpan w:val="2"/>
            <w:vAlign w:val="center"/>
          </w:tcPr>
          <w:p>
            <w:pPr>
              <w:jc w:val="center"/>
              <w:rPr>
                <w:b/>
                <w:color w:val="000000"/>
                <w:szCs w:val="22"/>
              </w:rPr>
            </w:pPr>
            <w:r>
              <w:rPr>
                <w:rFonts w:hint="eastAsia"/>
                <w:b/>
                <w:color w:val="000000"/>
                <w:szCs w:val="22"/>
              </w:rPr>
              <w:t>评分项目</w:t>
            </w:r>
          </w:p>
        </w:tc>
        <w:tc>
          <w:tcPr>
            <w:tcW w:w="1422" w:type="dxa"/>
            <w:vAlign w:val="center"/>
          </w:tcPr>
          <w:p>
            <w:pPr>
              <w:jc w:val="center"/>
              <w:rPr>
                <w:b/>
                <w:color w:val="000000"/>
                <w:szCs w:val="22"/>
              </w:rPr>
            </w:pPr>
            <w:r>
              <w:rPr>
                <w:rFonts w:hint="eastAsia"/>
                <w:b/>
                <w:color w:val="000000"/>
                <w:szCs w:val="22"/>
              </w:rPr>
              <w:t>对应章节</w:t>
            </w:r>
          </w:p>
        </w:tc>
        <w:tc>
          <w:tcPr>
            <w:tcW w:w="1358" w:type="dxa"/>
            <w:gridSpan w:val="2"/>
            <w:vAlign w:val="center"/>
          </w:tcPr>
          <w:p>
            <w:pPr>
              <w:jc w:val="center"/>
              <w:rPr>
                <w:b/>
                <w:color w:val="000000"/>
                <w:szCs w:val="22"/>
              </w:rPr>
            </w:pPr>
            <w:r>
              <w:rPr>
                <w:rFonts w:hint="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restart"/>
            <w:vAlign w:val="center"/>
          </w:tcPr>
          <w:p>
            <w:pPr>
              <w:jc w:val="center"/>
              <w:rPr>
                <w:b/>
                <w:color w:val="000000"/>
                <w:szCs w:val="22"/>
              </w:rPr>
            </w:pPr>
            <w:r>
              <w:rPr>
                <w:rFonts w:hint="eastAsia"/>
                <w:b/>
                <w:color w:val="000000"/>
                <w:szCs w:val="22"/>
              </w:rPr>
              <w:t>技术部分</w:t>
            </w: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restart"/>
            <w:vAlign w:val="center"/>
          </w:tcPr>
          <w:p>
            <w:pPr>
              <w:jc w:val="center"/>
              <w:rPr>
                <w:b/>
                <w:color w:val="000000"/>
                <w:szCs w:val="22"/>
              </w:rPr>
            </w:pPr>
            <w:r>
              <w:rPr>
                <w:rFonts w:hint="eastAsia"/>
                <w:b/>
                <w:color w:val="000000"/>
                <w:szCs w:val="22"/>
              </w:rPr>
              <w:t>商务部分</w:t>
            </w: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restart"/>
            <w:vAlign w:val="center"/>
          </w:tcPr>
          <w:p>
            <w:pPr>
              <w:jc w:val="center"/>
              <w:rPr>
                <w:b/>
                <w:color w:val="000000"/>
                <w:szCs w:val="22"/>
              </w:rPr>
            </w:pPr>
            <w:r>
              <w:rPr>
                <w:rFonts w:hint="eastAsia"/>
                <w:b/>
                <w:color w:val="000000"/>
                <w:szCs w:val="22"/>
              </w:rPr>
              <w:t>综合实力</w:t>
            </w: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bl>
    <w:p/>
    <w:p>
      <w:pPr>
        <w:ind w:firstLine="422" w:firstLineChars="200"/>
        <w:rPr>
          <w:rFonts w:ascii="宋体" w:hAnsi="宋体" w:cs="宋体"/>
          <w:b/>
          <w:color w:val="000000"/>
          <w:szCs w:val="22"/>
        </w:rPr>
      </w:pPr>
      <w:r>
        <w:rPr>
          <w:rFonts w:hint="eastAsia" w:ascii="宋体" w:hAnsi="宋体" w:cs="宋体"/>
          <w:b/>
          <w:color w:val="000000"/>
          <w:szCs w:val="21"/>
        </w:rPr>
        <w:t>注：请投标人按照“评分方法和标准”的审查和评分内容，自上而下的顺序填写本表</w:t>
      </w:r>
      <w:r>
        <w:rPr>
          <w:rFonts w:hint="eastAsia" w:ascii="宋体" w:hAnsi="宋体" w:cs="宋体"/>
          <w:b/>
          <w:color w:val="000000"/>
          <w:szCs w:val="22"/>
        </w:rPr>
        <w:t>。因项目次序混乱而影响评标效率及评标结果者，投标人自负其责。</w:t>
      </w:r>
    </w:p>
    <w:p>
      <w:pPr>
        <w:jc w:val="center"/>
        <w:rPr>
          <w:rFonts w:ascii="宋体" w:hAnsi="宋体" w:cs="宋体"/>
          <w:b/>
          <w:color w:val="000000"/>
          <w:sz w:val="28"/>
          <w:szCs w:val="28"/>
        </w:rPr>
      </w:pPr>
    </w:p>
    <w:p>
      <w:pPr>
        <w:pStyle w:val="5"/>
        <w:jc w:val="center"/>
        <w:rPr>
          <w:rFonts w:cs="宋体"/>
          <w:bCs w:val="0"/>
          <w:kern w:val="0"/>
          <w:szCs w:val="28"/>
        </w:rPr>
      </w:pPr>
      <w:r>
        <w:rPr>
          <w:rFonts w:hint="eastAsia" w:cs="宋体"/>
          <w:bCs w:val="0"/>
          <w:kern w:val="0"/>
          <w:szCs w:val="28"/>
        </w:rPr>
        <w:t>二、法定代表人证明书</w:t>
      </w:r>
    </w:p>
    <w:p>
      <w:pPr>
        <w:spacing w:line="360" w:lineRule="auto"/>
        <w:rPr>
          <w:rFonts w:ascii="宋体" w:hAnsi="宋体" w:cs="宋体"/>
          <w:szCs w:val="21"/>
        </w:rPr>
      </w:pPr>
      <w:r>
        <w:rPr>
          <w:rFonts w:hint="eastAsia" w:ascii="宋体" w:hAnsi="宋体" w:cs="宋体"/>
          <w:szCs w:val="21"/>
          <w:u w:val="single"/>
        </w:rPr>
        <w:t>____________</w:t>
      </w:r>
      <w:r>
        <w:rPr>
          <w:rFonts w:hint="eastAsia" w:ascii="宋体" w:hAnsi="宋体" w:cs="宋体"/>
          <w:szCs w:val="21"/>
        </w:rPr>
        <w:t>同志，现任我单位职务，为法定代表人，特此证明。</w:t>
      </w:r>
    </w:p>
    <w:p>
      <w:pPr>
        <w:spacing w:line="360" w:lineRule="auto"/>
        <w:rPr>
          <w:rFonts w:ascii="宋体" w:hAnsi="宋体" w:cs="宋体"/>
          <w:szCs w:val="21"/>
        </w:rPr>
      </w:pPr>
      <w:r>
        <w:rPr>
          <w:rFonts w:hint="eastAsia" w:ascii="宋体" w:hAnsi="宋体" w:cs="宋体"/>
          <w:szCs w:val="21"/>
        </w:rPr>
        <w:t xml:space="preserve">有效日期：         签发日期：         单位：              </w:t>
      </w:r>
    </w:p>
    <w:p>
      <w:pPr>
        <w:spacing w:line="360" w:lineRule="auto"/>
        <w:rPr>
          <w:rFonts w:ascii="宋体" w:hAnsi="宋体" w:cs="宋体"/>
          <w:szCs w:val="21"/>
        </w:rPr>
      </w:pPr>
      <w:r>
        <w:rPr>
          <w:rFonts w:hint="eastAsia" w:ascii="宋体" w:hAnsi="宋体" w:cs="宋体"/>
          <w:szCs w:val="21"/>
        </w:rPr>
        <w:t>附：代表人性别：   年龄：      身份证号码：</w:t>
      </w:r>
    </w:p>
    <w:p>
      <w:pPr>
        <w:spacing w:line="360" w:lineRule="auto"/>
        <w:rPr>
          <w:rFonts w:ascii="宋体" w:hAnsi="宋体" w:cs="宋体"/>
          <w:szCs w:val="21"/>
        </w:rPr>
      </w:pPr>
      <w:r>
        <w:rPr>
          <w:rFonts w:hint="eastAsia" w:ascii="宋体" w:hAnsi="宋体" w:cs="宋体"/>
          <w:szCs w:val="21"/>
        </w:rPr>
        <w:t>营业执照号码：                 经济性质：</w:t>
      </w:r>
    </w:p>
    <w:p>
      <w:pPr>
        <w:spacing w:line="360" w:lineRule="auto"/>
        <w:rPr>
          <w:rFonts w:ascii="宋体" w:hAnsi="宋体" w:cs="宋体"/>
          <w:szCs w:val="21"/>
        </w:rPr>
      </w:pPr>
      <w:r>
        <w:rPr>
          <w:rFonts w:hint="eastAsia" w:ascii="宋体" w:hAnsi="宋体" w:cs="宋体"/>
          <w:szCs w:val="21"/>
        </w:rPr>
        <w:t>主营（产）：</w:t>
      </w:r>
    </w:p>
    <w:p>
      <w:pPr>
        <w:spacing w:line="360" w:lineRule="auto"/>
        <w:rPr>
          <w:rFonts w:ascii="宋体" w:hAnsi="宋体" w:cs="宋体"/>
          <w:szCs w:val="21"/>
        </w:rPr>
      </w:pPr>
      <w:r>
        <w:rPr>
          <w:rFonts w:hint="eastAsia" w:ascii="宋体" w:hAnsi="宋体" w:cs="宋体"/>
          <w:szCs w:val="21"/>
        </w:rPr>
        <w:t>兼营（产）：</w:t>
      </w:r>
    </w:p>
    <w:p>
      <w:pPr>
        <w:spacing w:line="360" w:lineRule="auto"/>
        <w:rPr>
          <w:rFonts w:ascii="宋体" w:hAnsi="宋体" w:cs="宋体"/>
          <w:szCs w:val="21"/>
        </w:rPr>
      </w:pPr>
      <w:r>
        <w:rPr>
          <w:rFonts w:hint="eastAsia" w:ascii="宋体" w:hAnsi="宋体" w:cs="宋体"/>
          <w:szCs w:val="21"/>
        </w:rPr>
        <w:t>进口物品经营许可证号码：</w:t>
      </w:r>
    </w:p>
    <w:p>
      <w:pPr>
        <w:spacing w:line="360" w:lineRule="auto"/>
        <w:rPr>
          <w:rFonts w:ascii="宋体" w:hAnsi="宋体" w:cs="宋体"/>
          <w:szCs w:val="21"/>
        </w:rPr>
      </w:pPr>
      <w:r>
        <w:rPr>
          <w:rFonts w:hint="eastAsia" w:ascii="宋体" w:hAnsi="宋体" w:cs="宋体"/>
          <w:szCs w:val="21"/>
        </w:rPr>
        <w:t>主营：</w:t>
      </w:r>
    </w:p>
    <w:p>
      <w:pPr>
        <w:spacing w:line="360" w:lineRule="auto"/>
        <w:rPr>
          <w:rFonts w:ascii="宋体" w:hAnsi="宋体" w:cs="宋体"/>
          <w:szCs w:val="21"/>
        </w:rPr>
      </w:pPr>
      <w:r>
        <w:rPr>
          <w:rFonts w:hint="eastAsia" w:ascii="宋体" w:hAnsi="宋体" w:cs="宋体"/>
          <w:szCs w:val="21"/>
        </w:rPr>
        <w:t>兼营：</w:t>
      </w:r>
    </w:p>
    <w:p>
      <w:pPr>
        <w:spacing w:line="360" w:lineRule="auto"/>
        <w:rPr>
          <w:rFonts w:ascii="宋体" w:hAnsi="宋体" w:cs="宋体"/>
          <w:szCs w:val="21"/>
        </w:rPr>
      </w:pPr>
      <w:r>
        <w:rPr>
          <w:rFonts w:hint="eastAsia" w:ascii="宋体" w:hAnsi="宋体" w:cs="宋体"/>
          <w:b/>
          <w:szCs w:val="21"/>
        </w:rPr>
        <w:t>说明：</w:t>
      </w:r>
      <w:r>
        <w:rPr>
          <w:rFonts w:hint="eastAsia" w:ascii="宋体" w:hAnsi="宋体" w:cs="宋体"/>
          <w:szCs w:val="21"/>
        </w:rPr>
        <w:t>1、法定代表人为企业事业单位、国家机关、社会团体的主要行政负责人。</w:t>
      </w:r>
    </w:p>
    <w:p>
      <w:pPr>
        <w:rPr>
          <w:rFonts w:ascii="宋体" w:hAnsi="宋体" w:cs="宋体"/>
          <w:szCs w:val="21"/>
        </w:rPr>
      </w:pPr>
      <w:r>
        <w:rPr>
          <w:rFonts w:hint="eastAsia" w:ascii="宋体" w:hAnsi="宋体" w:cs="宋体"/>
          <w:szCs w:val="21"/>
        </w:rPr>
        <w:t xml:space="preserve">      2、内容必须填写真实、清楚，涂改无效，不得转让、买卖。</w:t>
      </w:r>
    </w:p>
    <w:p>
      <w:pPr>
        <w:ind w:firstLine="630" w:firstLineChars="300"/>
        <w:rPr>
          <w:rFonts w:ascii="宋体" w:hAnsi="宋体" w:cs="宋体"/>
          <w:szCs w:val="21"/>
        </w:rPr>
      </w:pPr>
      <w:r>
        <w:rPr>
          <w:rFonts w:hint="eastAsia" w:ascii="宋体" w:hAnsi="宋体" w:cs="宋体"/>
          <w:szCs w:val="21"/>
        </w:rPr>
        <w:t>3. 本证明书要求投标人提供加盖公章后的原件方为有效。</w:t>
      </w:r>
    </w:p>
    <w:p>
      <w:pPr>
        <w:ind w:firstLine="630" w:firstLineChars="300"/>
        <w:rPr>
          <w:rFonts w:ascii="宋体" w:hAnsi="宋体" w:cs="宋体"/>
          <w:szCs w:val="21"/>
        </w:rPr>
      </w:pPr>
      <w:r>
        <w:rPr>
          <w:rFonts w:hint="eastAsia" w:ascii="宋体" w:hAnsi="宋体" w:cs="宋体"/>
          <w:szCs w:val="21"/>
        </w:rPr>
        <w:t>4. 须提供法定代表人的身份证复印件（附后）。</w:t>
      </w:r>
    </w:p>
    <w:p>
      <w:pPr>
        <w:rPr>
          <w:rFonts w:ascii="宋体" w:hAnsi="宋体" w:cs="宋体"/>
          <w:sz w:val="24"/>
        </w:rPr>
      </w:pPr>
    </w:p>
    <w:p>
      <w:pPr>
        <w:rPr>
          <w:rFonts w:ascii="宋体" w:hAnsi="宋体" w:cs="宋体"/>
          <w:sz w:val="24"/>
        </w:rPr>
      </w:pPr>
    </w:p>
    <w:p>
      <w:pPr>
        <w:rPr>
          <w:rFonts w:ascii="宋体" w:hAnsi="宋体" w:cs="宋体"/>
          <w:sz w:val="24"/>
        </w:rPr>
      </w:pP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三、投标文件签署授权委托书</w:t>
      </w:r>
    </w:p>
    <w:p>
      <w:pPr>
        <w:spacing w:line="360" w:lineRule="auto"/>
        <w:ind w:firstLine="420" w:firstLineChars="200"/>
        <w:rPr>
          <w:rFonts w:ascii="宋体" w:hAnsi="宋体" w:cs="宋体"/>
          <w:szCs w:val="21"/>
        </w:rPr>
      </w:pPr>
      <w:r>
        <w:rPr>
          <w:rFonts w:hint="eastAsia" w:ascii="宋体" w:hAnsi="宋体" w:cs="宋体"/>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pPr>
        <w:spacing w:line="360" w:lineRule="auto"/>
        <w:ind w:firstLine="420"/>
        <w:rPr>
          <w:rFonts w:ascii="宋体" w:hAnsi="宋体" w:cs="宋体"/>
          <w:szCs w:val="21"/>
        </w:rPr>
      </w:pPr>
      <w:r>
        <w:rPr>
          <w:rFonts w:hint="eastAsia" w:ascii="宋体" w:hAnsi="宋体" w:cs="宋体"/>
          <w:szCs w:val="21"/>
        </w:rPr>
        <w:t>代理人无转委托权，特此委托。</w:t>
      </w:r>
    </w:p>
    <w:p>
      <w:pPr>
        <w:spacing w:line="360" w:lineRule="auto"/>
        <w:ind w:firstLine="420"/>
        <w:rPr>
          <w:rFonts w:ascii="宋体" w:hAnsi="宋体" w:cs="宋体"/>
          <w:szCs w:val="21"/>
        </w:rPr>
      </w:pPr>
    </w:p>
    <w:p>
      <w:pPr>
        <w:spacing w:line="360" w:lineRule="auto"/>
        <w:ind w:left="540" w:leftChars="257"/>
        <w:rPr>
          <w:rFonts w:ascii="宋体" w:hAnsi="宋体" w:cs="宋体"/>
          <w:szCs w:val="21"/>
          <w:u w:val="single"/>
        </w:rPr>
      </w:pPr>
      <w:r>
        <w:rPr>
          <w:rFonts w:hint="eastAsia" w:ascii="宋体" w:hAnsi="宋体" w:cs="宋体"/>
          <w:szCs w:val="21"/>
        </w:rPr>
        <w:t>代理人（签名）：性别：年龄：</w:t>
      </w:r>
    </w:p>
    <w:p>
      <w:pPr>
        <w:spacing w:line="360" w:lineRule="auto"/>
        <w:ind w:left="540" w:leftChars="257"/>
        <w:rPr>
          <w:rFonts w:ascii="宋体" w:hAnsi="宋体" w:cs="宋体"/>
          <w:szCs w:val="21"/>
        </w:rPr>
      </w:pPr>
      <w:r>
        <w:rPr>
          <w:rFonts w:hint="eastAsia" w:ascii="宋体" w:hAnsi="宋体" w:cs="宋体"/>
          <w:szCs w:val="21"/>
        </w:rPr>
        <w:t>联系电话：  手机：</w:t>
      </w:r>
    </w:p>
    <w:p>
      <w:pPr>
        <w:spacing w:line="360" w:lineRule="auto"/>
        <w:ind w:left="540" w:leftChars="257"/>
        <w:rPr>
          <w:rFonts w:ascii="宋体" w:hAnsi="宋体" w:cs="宋体"/>
          <w:szCs w:val="21"/>
          <w:u w:val="single"/>
        </w:rPr>
      </w:pPr>
      <w:r>
        <w:rPr>
          <w:rFonts w:hint="eastAsia" w:ascii="宋体" w:hAnsi="宋体" w:cs="宋体"/>
          <w:szCs w:val="21"/>
        </w:rPr>
        <w:t>身份证号码：职务：</w:t>
      </w:r>
    </w:p>
    <w:p>
      <w:pPr>
        <w:spacing w:line="360" w:lineRule="auto"/>
        <w:ind w:left="540" w:leftChars="257"/>
        <w:rPr>
          <w:rFonts w:ascii="宋体" w:hAnsi="宋体" w:cs="宋体"/>
          <w:szCs w:val="21"/>
        </w:rPr>
      </w:pPr>
      <w:r>
        <w:rPr>
          <w:rFonts w:hint="eastAsia" w:ascii="宋体" w:hAnsi="宋体" w:cs="宋体"/>
          <w:szCs w:val="21"/>
        </w:rPr>
        <w:t>投标人（盖章）：</w:t>
      </w:r>
    </w:p>
    <w:p>
      <w:pPr>
        <w:spacing w:line="360" w:lineRule="auto"/>
        <w:ind w:left="540" w:leftChars="257"/>
        <w:rPr>
          <w:rFonts w:ascii="宋体" w:hAnsi="宋体" w:cs="宋体"/>
          <w:szCs w:val="21"/>
        </w:rPr>
      </w:pPr>
      <w:r>
        <w:rPr>
          <w:rFonts w:hint="eastAsia" w:ascii="宋体" w:hAnsi="宋体" w:cs="宋体"/>
          <w:szCs w:val="21"/>
        </w:rPr>
        <w:t>法定代表人（签名）：</w:t>
      </w:r>
    </w:p>
    <w:p>
      <w:pPr>
        <w:spacing w:line="360" w:lineRule="auto"/>
        <w:ind w:left="540" w:leftChars="257"/>
        <w:rPr>
          <w:rFonts w:ascii="宋体" w:hAnsi="宋体" w:cs="宋体"/>
          <w:szCs w:val="21"/>
        </w:rPr>
      </w:pPr>
      <w:r>
        <w:rPr>
          <w:rFonts w:hint="eastAsia" w:ascii="宋体" w:hAnsi="宋体" w:cs="宋体"/>
          <w:szCs w:val="21"/>
        </w:rPr>
        <w:t>授权委托日期：年月 日</w:t>
      </w:r>
    </w:p>
    <w:p>
      <w:pPr>
        <w:spacing w:line="360" w:lineRule="auto"/>
        <w:rPr>
          <w:rFonts w:ascii="宋体" w:hAnsi="宋体" w:cs="宋体"/>
          <w:szCs w:val="21"/>
        </w:rPr>
      </w:pPr>
      <w:r>
        <w:rPr>
          <w:rFonts w:hint="eastAsia" w:ascii="宋体" w:hAnsi="宋体" w:cs="宋体"/>
          <w:b/>
          <w:szCs w:val="21"/>
        </w:rPr>
        <w:t>说明：</w:t>
      </w:r>
      <w:r>
        <w:rPr>
          <w:rFonts w:hint="eastAsia" w:ascii="宋体" w:hAnsi="宋体" w:cs="宋体"/>
          <w:szCs w:val="21"/>
        </w:rPr>
        <w:t>1.本授权委托书要求投标人提供有代理人</w:t>
      </w:r>
      <w:r>
        <w:rPr>
          <w:rFonts w:hint="eastAsia" w:ascii="宋体" w:hAnsi="宋体" w:cs="宋体"/>
          <w:color w:val="FF0000"/>
          <w:szCs w:val="21"/>
        </w:rPr>
        <w:t>签字</w:t>
      </w:r>
      <w:r>
        <w:rPr>
          <w:rFonts w:hint="eastAsia" w:ascii="宋体" w:hAnsi="宋体" w:cs="宋体"/>
          <w:szCs w:val="21"/>
        </w:rPr>
        <w:t>、法定代表人的</w:t>
      </w:r>
      <w:r>
        <w:rPr>
          <w:rFonts w:hint="eastAsia" w:ascii="宋体" w:hAnsi="宋体" w:cs="宋体"/>
          <w:color w:val="FF0000"/>
          <w:szCs w:val="21"/>
        </w:rPr>
        <w:t>签字（或盖私章）</w:t>
      </w:r>
      <w:r>
        <w:rPr>
          <w:rFonts w:hint="eastAsia" w:ascii="宋体" w:hAnsi="宋体" w:cs="宋体"/>
          <w:szCs w:val="21"/>
        </w:rPr>
        <w:t>和加盖公章后的原件方为有效；</w:t>
      </w:r>
    </w:p>
    <w:p>
      <w:pPr>
        <w:spacing w:line="360" w:lineRule="auto"/>
        <w:ind w:firstLine="630" w:firstLineChars="300"/>
        <w:rPr>
          <w:rFonts w:ascii="宋体" w:hAnsi="宋体" w:cs="宋体"/>
          <w:szCs w:val="21"/>
        </w:rPr>
      </w:pPr>
      <w:r>
        <w:rPr>
          <w:rFonts w:hint="eastAsia" w:ascii="宋体" w:hAnsi="宋体" w:cs="宋体"/>
          <w:szCs w:val="21"/>
        </w:rPr>
        <w:t>2.提供代理人的身份证复印件及</w:t>
      </w:r>
      <w:r>
        <w:rPr>
          <w:rFonts w:hint="eastAsia" w:ascii="宋体" w:hAnsi="宋体" w:cs="宋体"/>
          <w:color w:val="FF0000"/>
          <w:szCs w:val="21"/>
        </w:rPr>
        <w:t>投标人为代理人缴交的最近3个月社保证明（网页截图或窗口打印资料或社保部门出具的证明均可）</w:t>
      </w: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四、投标承诺函</w:t>
      </w:r>
    </w:p>
    <w:p>
      <w:pPr>
        <w:pStyle w:val="5"/>
        <w:ind w:firstLine="3373" w:firstLineChars="1200"/>
        <w:rPr>
          <w:rFonts w:cs="宋体"/>
          <w:bCs w:val="0"/>
          <w:szCs w:val="28"/>
        </w:rPr>
      </w:pPr>
      <w:r>
        <w:rPr>
          <w:rFonts w:hint="eastAsia" w:cs="宋体"/>
          <w:bCs w:val="0"/>
          <w:szCs w:val="28"/>
        </w:rPr>
        <w:t>（一）投标函</w:t>
      </w:r>
    </w:p>
    <w:p>
      <w:pPr>
        <w:spacing w:line="360" w:lineRule="auto"/>
        <w:rPr>
          <w:rFonts w:ascii="宋体" w:hAnsi="宋体" w:cs="宋体"/>
          <w:sz w:val="22"/>
          <w:szCs w:val="22"/>
        </w:rPr>
      </w:pPr>
      <w:r>
        <w:rPr>
          <w:rFonts w:hint="eastAsia" w:ascii="宋体" w:hAnsi="宋体" w:cs="宋体"/>
          <w:sz w:val="22"/>
          <w:szCs w:val="22"/>
        </w:rPr>
        <w:t>致：</w:t>
      </w:r>
      <w:r>
        <w:rPr>
          <w:rFonts w:hint="eastAsia" w:ascii="宋体" w:hAnsi="宋体" w:cs="宋体"/>
          <w:sz w:val="22"/>
          <w:szCs w:val="22"/>
          <w:u w:val="single"/>
        </w:rPr>
        <w:t xml:space="preserve">深圳市第一职业技术学校 </w:t>
      </w:r>
    </w:p>
    <w:p>
      <w:pPr>
        <w:numPr>
          <w:ilvl w:val="0"/>
          <w:numId w:val="9"/>
        </w:numPr>
        <w:spacing w:after="156" w:afterLines="50"/>
        <w:ind w:firstLine="440" w:firstLineChars="200"/>
        <w:rPr>
          <w:rFonts w:ascii="宋体" w:hAnsi="宋体" w:cs="宋体"/>
          <w:sz w:val="22"/>
          <w:szCs w:val="22"/>
        </w:rPr>
      </w:pPr>
      <w:r>
        <w:rPr>
          <w:rFonts w:hint="eastAsia" w:ascii="宋体" w:hAnsi="宋体" w:cs="宋体"/>
          <w:sz w:val="22"/>
          <w:szCs w:val="22"/>
        </w:rPr>
        <w:t>根据已收到贵方的的项目的招标文件，遵照《深圳经济特区政府采购条例》和《深圳网上政府采购管理暂行办法》等有关规定，我单位经研究上述招标文件的专用条款及通用条款后，</w:t>
      </w:r>
      <w:r>
        <w:rPr>
          <w:rFonts w:hint="eastAsia" w:ascii="宋体" w:hAnsi="宋体" w:cs="宋体"/>
          <w:szCs w:val="21"/>
        </w:rPr>
        <w:t>我方愿以《开标一览表》中填写的投标报价并</w:t>
      </w:r>
      <w:r>
        <w:rPr>
          <w:rFonts w:hint="eastAsia" w:ascii="宋体" w:hAnsi="宋体" w:cs="宋体"/>
          <w:color w:val="FF0000"/>
          <w:szCs w:val="21"/>
        </w:rPr>
        <w:t>按招标文件要求</w:t>
      </w:r>
      <w:r>
        <w:rPr>
          <w:rFonts w:hint="eastAsia" w:ascii="宋体" w:hAnsi="宋体" w:cs="宋体"/>
          <w:szCs w:val="21"/>
        </w:rPr>
        <w:t>承包上述项目并修补其任何缺陷</w:t>
      </w:r>
      <w:r>
        <w:rPr>
          <w:rFonts w:hint="eastAsia" w:ascii="宋体" w:hAnsi="宋体" w:cs="宋体"/>
          <w:sz w:val="22"/>
          <w:szCs w:val="22"/>
        </w:rPr>
        <w:t>。</w:t>
      </w:r>
    </w:p>
    <w:p>
      <w:pPr>
        <w:spacing w:after="156" w:afterLines="50"/>
        <w:ind w:firstLine="440" w:firstLineChars="200"/>
        <w:rPr>
          <w:rFonts w:ascii="宋体" w:hAnsi="宋体" w:cs="宋体"/>
          <w:sz w:val="22"/>
          <w:szCs w:val="22"/>
        </w:rPr>
      </w:pPr>
      <w:r>
        <w:rPr>
          <w:rFonts w:hint="eastAsia" w:ascii="宋体" w:hAnsi="宋体" w:cs="宋体"/>
          <w:sz w:val="22"/>
          <w:szCs w:val="22"/>
        </w:rPr>
        <w:t>2、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pPr>
        <w:spacing w:after="156" w:afterLines="50"/>
        <w:ind w:firstLine="440" w:firstLineChars="200"/>
        <w:rPr>
          <w:rFonts w:ascii="宋体" w:hAnsi="宋体" w:cs="宋体"/>
          <w:sz w:val="22"/>
          <w:szCs w:val="22"/>
        </w:rPr>
      </w:pPr>
      <w:r>
        <w:rPr>
          <w:rFonts w:hint="eastAsia" w:ascii="宋体" w:hAnsi="宋体" w:cs="宋体"/>
          <w:sz w:val="22"/>
          <w:szCs w:val="22"/>
        </w:rPr>
        <w:t>3、在本项目投标过程中不弄虚作假，不隐瞒真实情况，不围标串标，不恶意质疑投诉。我公司已清楚违反上述要求的后果。</w:t>
      </w:r>
    </w:p>
    <w:p>
      <w:pPr>
        <w:spacing w:after="156" w:afterLines="50"/>
        <w:ind w:firstLine="440" w:firstLineChars="200"/>
        <w:rPr>
          <w:rFonts w:ascii="宋体" w:hAnsi="宋体" w:cs="宋体"/>
          <w:sz w:val="22"/>
          <w:szCs w:val="22"/>
        </w:rPr>
      </w:pPr>
      <w:r>
        <w:rPr>
          <w:rFonts w:hint="eastAsia" w:ascii="宋体" w:hAnsi="宋体" w:cs="宋体"/>
          <w:sz w:val="22"/>
          <w:szCs w:val="22"/>
        </w:rPr>
        <w:t>4、在本项目招标过程中，评标委员会若对投标人进行现场勘察或实地考察或检验有关证明材料的原件，我公司将随时做好接受检查的准备。</w:t>
      </w:r>
    </w:p>
    <w:p>
      <w:pPr>
        <w:spacing w:after="156" w:afterLines="50"/>
        <w:ind w:firstLine="440" w:firstLineChars="200"/>
        <w:rPr>
          <w:rFonts w:ascii="宋体" w:hAnsi="宋体" w:cs="宋体"/>
          <w:sz w:val="22"/>
          <w:szCs w:val="22"/>
        </w:rPr>
      </w:pPr>
      <w:r>
        <w:rPr>
          <w:rFonts w:hint="eastAsia" w:ascii="宋体" w:hAnsi="宋体" w:cs="宋体"/>
          <w:sz w:val="22"/>
          <w:szCs w:val="22"/>
        </w:rPr>
        <w:t>5、我方承诺所投标（响应）的货物、工程或服务，不存在侵犯知识产权的情况；已知悉并同意中标（成交）结果信息公示（公开）的内容。</w:t>
      </w:r>
    </w:p>
    <w:p>
      <w:pPr>
        <w:spacing w:after="156" w:afterLines="50"/>
        <w:ind w:firstLine="411" w:firstLineChars="196"/>
        <w:rPr>
          <w:rFonts w:ascii="宋体" w:hAnsi="宋体" w:cs="宋体"/>
          <w:szCs w:val="21"/>
        </w:rPr>
      </w:pP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投标人：                       单位地址：               </w:t>
      </w: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法定代表人或其委托代理人：                   </w:t>
      </w: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邮政编码：            电话：            传真：            </w:t>
      </w: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日期：       年     月    日                                </w:t>
      </w:r>
    </w:p>
    <w:p>
      <w:pPr>
        <w:spacing w:after="156" w:afterLines="50"/>
        <w:ind w:firstLine="1968" w:firstLineChars="700"/>
        <w:rPr>
          <w:rFonts w:ascii="宋体" w:hAnsi="宋体" w:cs="宋体"/>
          <w:b/>
          <w:bCs/>
          <w:sz w:val="28"/>
          <w:szCs w:val="28"/>
        </w:rPr>
      </w:pPr>
    </w:p>
    <w:p>
      <w:pPr>
        <w:spacing w:after="156" w:afterLines="50"/>
        <w:ind w:firstLine="1968" w:firstLineChars="700"/>
        <w:rPr>
          <w:rFonts w:ascii="宋体" w:hAnsi="宋体" w:cs="宋体"/>
          <w:b/>
          <w:bCs/>
          <w:sz w:val="28"/>
          <w:szCs w:val="28"/>
        </w:rPr>
      </w:pPr>
    </w:p>
    <w:p>
      <w:pPr>
        <w:spacing w:after="156" w:afterLines="50"/>
        <w:ind w:firstLine="1968" w:firstLineChars="700"/>
        <w:rPr>
          <w:rFonts w:ascii="宋体" w:hAnsi="宋体" w:cs="宋体"/>
          <w:sz w:val="28"/>
          <w:szCs w:val="28"/>
        </w:rPr>
      </w:pPr>
      <w:r>
        <w:rPr>
          <w:rFonts w:hint="eastAsia" w:ascii="宋体" w:hAnsi="宋体" w:cs="宋体"/>
          <w:b/>
          <w:bCs/>
          <w:sz w:val="28"/>
          <w:szCs w:val="28"/>
        </w:rPr>
        <w:t>（二）政府采购投标及履约承诺函</w:t>
      </w:r>
    </w:p>
    <w:p>
      <w:pPr>
        <w:spacing w:after="156" w:afterLines="50"/>
        <w:ind w:firstLine="440" w:firstLineChars="200"/>
        <w:rPr>
          <w:rFonts w:ascii="宋体" w:hAnsi="宋体" w:cs="宋体"/>
          <w:sz w:val="22"/>
          <w:szCs w:val="22"/>
        </w:rPr>
      </w:pPr>
    </w:p>
    <w:p>
      <w:pPr>
        <w:spacing w:after="156" w:afterLines="50"/>
        <w:ind w:firstLine="440" w:firstLineChars="200"/>
        <w:rPr>
          <w:rFonts w:ascii="宋体" w:hAnsi="宋体" w:cs="宋体"/>
          <w:sz w:val="22"/>
          <w:szCs w:val="22"/>
        </w:rPr>
      </w:pPr>
      <w:r>
        <w:rPr>
          <w:rFonts w:hint="eastAsia" w:ascii="宋体" w:hAnsi="宋体" w:cs="宋体"/>
          <w:sz w:val="22"/>
          <w:szCs w:val="22"/>
        </w:rPr>
        <w:t>致：深圳市第一职业技术学校</w:t>
      </w:r>
    </w:p>
    <w:p>
      <w:pPr>
        <w:spacing w:after="156" w:afterLines="50"/>
        <w:ind w:firstLine="440" w:firstLineChars="200"/>
        <w:rPr>
          <w:rFonts w:ascii="宋体" w:hAnsi="宋体" w:cs="宋体"/>
          <w:sz w:val="22"/>
          <w:szCs w:val="22"/>
        </w:rPr>
      </w:pPr>
      <w:r>
        <w:rPr>
          <w:rFonts w:hint="eastAsia" w:ascii="宋体" w:hAnsi="宋体" w:cs="宋体"/>
          <w:sz w:val="22"/>
          <w:szCs w:val="22"/>
        </w:rPr>
        <w:t>我单位承诺：</w:t>
      </w:r>
    </w:p>
    <w:p>
      <w:pPr>
        <w:spacing w:after="156" w:afterLines="50"/>
        <w:ind w:firstLine="440" w:firstLineChars="200"/>
        <w:rPr>
          <w:rFonts w:ascii="宋体" w:hAnsi="宋体" w:cs="宋体"/>
          <w:sz w:val="22"/>
          <w:szCs w:val="22"/>
        </w:rPr>
      </w:pPr>
      <w:r>
        <w:rPr>
          <w:rFonts w:hint="eastAsia" w:ascii="宋体" w:hAnsi="宋体" w:cs="宋体"/>
          <w:sz w:val="22"/>
          <w:szCs w:val="22"/>
        </w:rPr>
        <w:t>1.我单位参与本项目所投标（响应）的货物、工程或服务，不存在侵犯知识产权的情况；已知悉并同意中标（成交）结果信息公示（公开）的内容。</w:t>
      </w:r>
    </w:p>
    <w:p>
      <w:pPr>
        <w:spacing w:after="156" w:afterLines="50"/>
        <w:ind w:firstLine="440" w:firstLineChars="200"/>
        <w:rPr>
          <w:rFonts w:ascii="宋体" w:hAnsi="宋体" w:cs="宋体"/>
          <w:sz w:val="22"/>
          <w:szCs w:val="22"/>
        </w:rPr>
      </w:pPr>
      <w:r>
        <w:rPr>
          <w:rFonts w:hint="eastAsia" w:ascii="宋体" w:hAnsi="宋体" w:cs="宋体"/>
          <w:sz w:val="22"/>
          <w:szCs w:val="22"/>
        </w:rPr>
        <w:t>2.我单位参与本项目投标前三年内，在经营活动中没有重大违法记录。</w:t>
      </w:r>
    </w:p>
    <w:p>
      <w:pPr>
        <w:spacing w:after="156" w:afterLines="50"/>
        <w:ind w:firstLine="440" w:firstLineChars="200"/>
        <w:rPr>
          <w:rFonts w:ascii="宋体" w:hAnsi="宋体" w:cs="宋体"/>
          <w:sz w:val="22"/>
          <w:szCs w:val="22"/>
        </w:rPr>
      </w:pPr>
      <w:r>
        <w:rPr>
          <w:rFonts w:hint="eastAsia" w:ascii="宋体" w:hAnsi="宋体" w:cs="宋体"/>
          <w:sz w:val="22"/>
          <w:szCs w:val="22"/>
        </w:rPr>
        <w:t>3.我单位参与本项目政府采购活动时不存在被有关部门禁止参与政府采购活动且在有效期内的情况。</w:t>
      </w:r>
    </w:p>
    <w:p>
      <w:pPr>
        <w:spacing w:after="156" w:afterLines="50"/>
        <w:ind w:firstLine="440" w:firstLineChars="200"/>
        <w:rPr>
          <w:rFonts w:ascii="宋体" w:hAnsi="宋体" w:cs="宋体"/>
          <w:sz w:val="22"/>
          <w:szCs w:val="22"/>
        </w:rPr>
      </w:pPr>
      <w:r>
        <w:rPr>
          <w:rFonts w:hint="eastAsia" w:ascii="宋体" w:hAnsi="宋体" w:cs="宋体"/>
          <w:sz w:val="22"/>
          <w:szCs w:val="22"/>
        </w:rPr>
        <w:t>4.我单位具备《中华人民共和国政府采购法》第二十二条第一款规定的六项条件。</w:t>
      </w:r>
    </w:p>
    <w:p>
      <w:pPr>
        <w:spacing w:after="156" w:afterLines="50"/>
        <w:ind w:firstLine="440" w:firstLineChars="200"/>
        <w:rPr>
          <w:rFonts w:ascii="宋体" w:hAnsi="宋体" w:cs="宋体"/>
          <w:sz w:val="22"/>
          <w:szCs w:val="22"/>
        </w:rPr>
      </w:pPr>
      <w:r>
        <w:rPr>
          <w:rFonts w:hint="eastAsia" w:ascii="宋体" w:hAnsi="宋体" w:cs="宋体"/>
          <w:sz w:val="22"/>
          <w:szCs w:val="22"/>
        </w:rPr>
        <w:t>5.我单位未被列入失信被执行人、重大税收违法案件当事人名单、政府采购严重违法失信行为记录名单。</w:t>
      </w:r>
    </w:p>
    <w:p>
      <w:pPr>
        <w:spacing w:after="156" w:afterLines="50"/>
        <w:ind w:firstLine="440" w:firstLineChars="200"/>
        <w:rPr>
          <w:rFonts w:ascii="宋体" w:hAnsi="宋体" w:cs="宋体"/>
          <w:sz w:val="22"/>
          <w:szCs w:val="22"/>
        </w:rPr>
      </w:pPr>
      <w:r>
        <w:rPr>
          <w:rFonts w:hint="eastAsia" w:ascii="宋体" w:hAnsi="宋体" w:cs="宋体"/>
          <w:sz w:val="22"/>
          <w:szCs w:val="22"/>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spacing w:after="156" w:afterLines="50"/>
        <w:ind w:firstLine="440" w:firstLineChars="200"/>
        <w:rPr>
          <w:rFonts w:ascii="宋体" w:hAnsi="宋体" w:cs="宋体"/>
          <w:sz w:val="22"/>
          <w:szCs w:val="22"/>
        </w:rPr>
      </w:pPr>
      <w:r>
        <w:rPr>
          <w:rFonts w:hint="eastAsia" w:ascii="宋体" w:hAnsi="宋体" w:cs="宋体"/>
          <w:sz w:val="22"/>
          <w:szCs w:val="22"/>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spacing w:after="156" w:afterLines="50"/>
        <w:ind w:firstLine="440" w:firstLineChars="200"/>
        <w:rPr>
          <w:rFonts w:ascii="宋体" w:hAnsi="宋体" w:cs="宋体"/>
          <w:sz w:val="22"/>
          <w:szCs w:val="22"/>
        </w:rPr>
      </w:pPr>
      <w:r>
        <w:rPr>
          <w:rFonts w:hint="eastAsia" w:ascii="宋体" w:hAnsi="宋体" w:cs="宋体"/>
          <w:sz w:val="22"/>
          <w:szCs w:val="22"/>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after="156" w:afterLines="50"/>
        <w:ind w:firstLine="440" w:firstLineChars="200"/>
        <w:rPr>
          <w:rFonts w:ascii="宋体" w:hAnsi="宋体" w:cs="宋体"/>
          <w:sz w:val="22"/>
          <w:szCs w:val="22"/>
        </w:rPr>
      </w:pPr>
      <w:r>
        <w:rPr>
          <w:rFonts w:hint="eastAsia" w:ascii="宋体" w:hAnsi="宋体" w:cs="宋体"/>
          <w:sz w:val="22"/>
          <w:szCs w:val="22"/>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after="156" w:afterLines="50"/>
        <w:ind w:firstLine="440" w:firstLineChars="200"/>
        <w:rPr>
          <w:rFonts w:ascii="宋体" w:hAnsi="宋体" w:cs="宋体"/>
          <w:sz w:val="22"/>
          <w:szCs w:val="22"/>
        </w:rPr>
      </w:pPr>
      <w:r>
        <w:rPr>
          <w:rFonts w:hint="eastAsia" w:ascii="宋体" w:hAnsi="宋体" w:cs="宋体"/>
          <w:sz w:val="22"/>
          <w:szCs w:val="22"/>
        </w:rPr>
        <w:t>9.我单位承诺中标后项目不转包，未经采购人同意不进行分包。</w:t>
      </w:r>
    </w:p>
    <w:p>
      <w:pPr>
        <w:spacing w:after="156" w:afterLines="50"/>
        <w:ind w:firstLine="440" w:firstLineChars="200"/>
        <w:rPr>
          <w:rFonts w:ascii="宋体" w:hAnsi="宋体" w:cs="宋体"/>
          <w:sz w:val="22"/>
          <w:szCs w:val="22"/>
        </w:rPr>
      </w:pPr>
      <w:r>
        <w:rPr>
          <w:rFonts w:hint="eastAsia" w:ascii="宋体" w:hAnsi="宋体" w:cs="宋体"/>
          <w:sz w:val="22"/>
          <w:szCs w:val="22"/>
        </w:rPr>
        <w:t>10.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spacing w:after="156" w:afterLines="50"/>
        <w:ind w:firstLine="440" w:firstLineChars="200"/>
        <w:rPr>
          <w:rFonts w:ascii="宋体" w:hAnsi="宋体" w:cs="宋体"/>
          <w:sz w:val="22"/>
          <w:szCs w:val="22"/>
        </w:rPr>
      </w:pPr>
      <w:r>
        <w:rPr>
          <w:rFonts w:hint="eastAsia" w:ascii="宋体" w:hAnsi="宋体" w:cs="宋体"/>
          <w:sz w:val="22"/>
          <w:szCs w:val="22"/>
        </w:rPr>
        <w:t>11.我单位保证，若所投货物涉及《财政部生态环境部关于印发节能产品政府采购品目清单的通知》（财库〔2019〕19号）列明的政府采购强制产品，则所投该产品符合节能产品的认证要求。</w:t>
      </w:r>
    </w:p>
    <w:p>
      <w:pPr>
        <w:spacing w:after="156" w:afterLines="50"/>
        <w:ind w:firstLine="440" w:firstLineChars="200"/>
        <w:rPr>
          <w:rFonts w:ascii="宋体" w:hAnsi="宋体" w:cs="宋体"/>
          <w:sz w:val="22"/>
          <w:szCs w:val="22"/>
        </w:rPr>
      </w:pPr>
      <w:r>
        <w:rPr>
          <w:rFonts w:hint="eastAsia" w:ascii="宋体" w:hAnsi="宋体" w:cs="宋体"/>
          <w:sz w:val="22"/>
          <w:szCs w:val="22"/>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spacing w:after="156" w:afterLines="50"/>
        <w:ind w:firstLine="440" w:firstLineChars="200"/>
        <w:rPr>
          <w:rFonts w:ascii="宋体" w:hAnsi="宋体" w:cs="宋体"/>
          <w:sz w:val="22"/>
          <w:szCs w:val="22"/>
        </w:rPr>
      </w:pPr>
      <w:r>
        <w:rPr>
          <w:rFonts w:hint="eastAsia" w:ascii="宋体" w:hAnsi="宋体" w:cs="宋体"/>
          <w:sz w:val="22"/>
          <w:szCs w:val="22"/>
        </w:rPr>
        <w:t>13.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spacing w:after="156" w:afterLines="50"/>
        <w:ind w:firstLine="440" w:firstLineChars="200"/>
        <w:rPr>
          <w:rFonts w:ascii="宋体" w:hAnsi="宋体" w:cs="宋体"/>
          <w:sz w:val="22"/>
          <w:szCs w:val="22"/>
        </w:rPr>
      </w:pPr>
      <w:r>
        <w:rPr>
          <w:rFonts w:hint="eastAsia" w:ascii="宋体" w:hAnsi="宋体" w:cs="宋体"/>
          <w:sz w:val="22"/>
          <w:szCs w:val="22"/>
        </w:rPr>
        <w:t>以上承诺，如有违反，愿依照国家相关法律法规处理，并承担由此给采购人带来的损失。</w:t>
      </w:r>
    </w:p>
    <w:p>
      <w:pPr>
        <w:spacing w:after="156" w:afterLines="50"/>
        <w:ind w:firstLine="440" w:firstLineChars="200"/>
        <w:rPr>
          <w:rFonts w:ascii="宋体" w:hAnsi="宋体" w:cs="宋体"/>
          <w:sz w:val="22"/>
          <w:szCs w:val="22"/>
        </w:rPr>
      </w:pP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                                           投标人：</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                                         日期：</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年</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月</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日</w:t>
      </w:r>
    </w:p>
    <w:p>
      <w:pPr>
        <w:spacing w:after="156" w:afterLines="50"/>
        <w:ind w:firstLine="440" w:firstLineChars="200"/>
        <w:rPr>
          <w:rFonts w:ascii="宋体" w:hAnsi="宋体" w:cs="宋体"/>
          <w:sz w:val="22"/>
          <w:szCs w:val="22"/>
        </w:rPr>
      </w:pP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五、投标人情况介绍</w:t>
      </w:r>
    </w:p>
    <w:p>
      <w:pPr>
        <w:spacing w:after="156" w:afterLines="50"/>
        <w:rPr>
          <w:rFonts w:ascii="宋体" w:hAnsi="宋体" w:cs="宋体"/>
          <w:b/>
          <w:bCs/>
          <w:sz w:val="24"/>
        </w:rPr>
      </w:pPr>
      <w:r>
        <w:rPr>
          <w:rFonts w:hint="eastAsia" w:ascii="宋体" w:hAnsi="宋体" w:cs="宋体"/>
          <w:b/>
          <w:bCs/>
          <w:sz w:val="24"/>
        </w:rPr>
        <w:t>（一）投标人资格要求的证明文件</w:t>
      </w:r>
    </w:p>
    <w:p>
      <w:pPr>
        <w:spacing w:after="156" w:afterLines="50"/>
        <w:ind w:firstLine="440" w:firstLineChars="200"/>
        <w:rPr>
          <w:rFonts w:ascii="宋体" w:hAnsi="宋体" w:cs="宋体"/>
          <w:sz w:val="22"/>
          <w:szCs w:val="22"/>
        </w:rPr>
      </w:pPr>
      <w:r>
        <w:rPr>
          <w:rFonts w:hint="eastAsia" w:ascii="宋体" w:hAnsi="宋体" w:cs="宋体"/>
          <w:sz w:val="22"/>
          <w:szCs w:val="22"/>
        </w:rPr>
        <w:t>（1）营业执照（或单位法人登记证等）复印件；</w:t>
      </w:r>
    </w:p>
    <w:p>
      <w:pPr>
        <w:spacing w:after="156" w:afterLines="50"/>
        <w:ind w:firstLine="440" w:firstLineChars="200"/>
        <w:rPr>
          <w:rFonts w:ascii="宋体" w:hAnsi="宋体" w:cs="宋体"/>
          <w:sz w:val="22"/>
          <w:szCs w:val="22"/>
        </w:rPr>
      </w:pPr>
      <w:r>
        <w:rPr>
          <w:rFonts w:hint="eastAsia" w:ascii="宋体" w:hAnsi="宋体" w:cs="宋体"/>
          <w:sz w:val="22"/>
          <w:szCs w:val="22"/>
        </w:rPr>
        <w:t>（2）具有相关经营范围并合法经营的证明文件</w:t>
      </w:r>
    </w:p>
    <w:p>
      <w:pPr>
        <w:spacing w:after="156" w:afterLines="50"/>
        <w:ind w:firstLine="440" w:firstLineChars="200"/>
        <w:rPr>
          <w:rFonts w:ascii="宋体" w:hAnsi="宋体" w:cs="宋体"/>
          <w:sz w:val="22"/>
          <w:szCs w:val="22"/>
        </w:rPr>
      </w:pPr>
      <w:r>
        <w:rPr>
          <w:rFonts w:hint="eastAsia" w:ascii="宋体" w:hAnsi="宋体" w:cs="宋体"/>
          <w:sz w:val="22"/>
          <w:szCs w:val="22"/>
        </w:rPr>
        <w:t>（提供深圳信用网https://www.szcredit.com.cn/查询原件并加盖公章，或信用中国查询证明文件并加盖公章和市场监督管理局关于经营范围的截图。）</w:t>
      </w:r>
    </w:p>
    <w:p>
      <w:pPr>
        <w:outlineLvl w:val="3"/>
        <w:rPr>
          <w:rFonts w:ascii="宋体" w:hAnsi="宋体" w:cs="宋体"/>
          <w:b/>
          <w:bCs/>
          <w:sz w:val="24"/>
        </w:rPr>
      </w:pPr>
      <w:r>
        <w:rPr>
          <w:rFonts w:hint="eastAsia" w:ascii="宋体" w:hAnsi="宋体" w:cs="宋体"/>
          <w:b/>
          <w:bCs/>
          <w:sz w:val="24"/>
        </w:rPr>
        <w:t>（二）近三年同类业绩</w:t>
      </w:r>
    </w:p>
    <w:tbl>
      <w:tblPr>
        <w:tblStyle w:val="17"/>
        <w:tblW w:w="903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820"/>
        <w:gridCol w:w="1548"/>
        <w:gridCol w:w="1464"/>
        <w:gridCol w:w="1263"/>
        <w:gridCol w:w="141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39" w:type="dxa"/>
            <w:gridSpan w:val="6"/>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r>
              <w:rPr>
                <w:rFonts w:hint="eastAsia" w:ascii="宋体" w:hAnsi="宋体" w:cs="宋体"/>
                <w:szCs w:val="21"/>
              </w:rPr>
              <w:t>采购人</w:t>
            </w:r>
          </w:p>
        </w:tc>
        <w:tc>
          <w:tcPr>
            <w:tcW w:w="1820" w:type="dxa"/>
            <w:vAlign w:val="center"/>
          </w:tcPr>
          <w:p>
            <w:pPr>
              <w:rPr>
                <w:rFonts w:ascii="宋体" w:hAnsi="宋体" w:cs="宋体"/>
                <w:szCs w:val="21"/>
              </w:rPr>
            </w:pPr>
            <w:r>
              <w:rPr>
                <w:rFonts w:hint="eastAsia" w:ascii="宋体" w:hAnsi="宋体" w:cs="宋体"/>
                <w:szCs w:val="21"/>
              </w:rPr>
              <w:t>项目名称</w:t>
            </w:r>
          </w:p>
        </w:tc>
        <w:tc>
          <w:tcPr>
            <w:tcW w:w="1548" w:type="dxa"/>
            <w:vAlign w:val="center"/>
          </w:tcPr>
          <w:p>
            <w:pPr>
              <w:rPr>
                <w:rFonts w:ascii="宋体" w:hAnsi="宋体" w:cs="宋体"/>
                <w:szCs w:val="21"/>
              </w:rPr>
            </w:pPr>
            <w:r>
              <w:rPr>
                <w:rFonts w:hint="eastAsia" w:ascii="宋体" w:hAnsi="宋体" w:cs="宋体"/>
                <w:szCs w:val="21"/>
              </w:rPr>
              <w:t>项目规模（金额）</w:t>
            </w:r>
          </w:p>
        </w:tc>
        <w:tc>
          <w:tcPr>
            <w:tcW w:w="1464" w:type="dxa"/>
            <w:vAlign w:val="center"/>
          </w:tcPr>
          <w:p>
            <w:pPr>
              <w:rPr>
                <w:rFonts w:ascii="宋体" w:hAnsi="宋体" w:cs="宋体"/>
                <w:szCs w:val="21"/>
              </w:rPr>
            </w:pPr>
            <w:r>
              <w:rPr>
                <w:rFonts w:hint="eastAsia" w:ascii="宋体" w:hAnsi="宋体" w:cs="宋体"/>
                <w:szCs w:val="21"/>
              </w:rPr>
              <w:t>合同签订日期</w:t>
            </w:r>
          </w:p>
        </w:tc>
        <w:tc>
          <w:tcPr>
            <w:tcW w:w="1263" w:type="dxa"/>
            <w:vAlign w:val="center"/>
          </w:tcPr>
          <w:p>
            <w:pPr>
              <w:rPr>
                <w:rFonts w:ascii="宋体" w:hAnsi="宋体" w:cs="宋体"/>
                <w:szCs w:val="21"/>
              </w:rPr>
            </w:pPr>
            <w:r>
              <w:rPr>
                <w:rFonts w:hint="eastAsia" w:ascii="宋体" w:hAnsi="宋体" w:cs="宋体"/>
                <w:szCs w:val="21"/>
              </w:rPr>
              <w:t>履约验收时间</w:t>
            </w:r>
          </w:p>
        </w:tc>
        <w:tc>
          <w:tcPr>
            <w:tcW w:w="1418" w:type="dxa"/>
            <w:vAlign w:val="center"/>
          </w:tcPr>
          <w:p>
            <w:pPr>
              <w:rPr>
                <w:rFonts w:ascii="宋体" w:hAnsi="宋体" w:cs="宋体"/>
                <w:szCs w:val="21"/>
              </w:rPr>
            </w:pPr>
            <w:r>
              <w:rPr>
                <w:rFonts w:hint="eastAsia" w:ascii="宋体" w:hAnsi="宋体" w:cs="宋体"/>
                <w:szCs w:val="21"/>
              </w:rPr>
              <w:t>完成质量情况（以履约验收报告为准）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bl>
    <w:p>
      <w:pPr>
        <w:widowControl/>
        <w:shd w:val="clear" w:color="auto" w:fill="FFFFFF"/>
        <w:spacing w:line="360" w:lineRule="atLeast"/>
        <w:jc w:val="left"/>
        <w:rPr>
          <w:rFonts w:ascii="微软雅黑" w:hAnsi="微软雅黑" w:eastAsia="微软雅黑" w:cs="微软雅黑"/>
          <w:szCs w:val="21"/>
        </w:rPr>
      </w:pPr>
      <w:r>
        <w:rPr>
          <w:rFonts w:hint="eastAsia" w:ascii="宋体" w:hAnsi="宋体"/>
          <w:kern w:val="0"/>
          <w:sz w:val="22"/>
          <w:szCs w:val="22"/>
          <w:shd w:val="clear" w:color="auto" w:fill="FFFFFF"/>
        </w:rPr>
        <w:t>注：需递交上述项目的证明材料（中标通知书或合同关键页、履约验收报告）复印件（加盖公章），原件备查。</w:t>
      </w:r>
    </w:p>
    <w:p/>
    <w:p>
      <w:pPr>
        <w:outlineLvl w:val="3"/>
        <w:rPr>
          <w:rFonts w:ascii="宋体" w:hAnsi="宋体" w:cs="宋体"/>
          <w:b/>
          <w:sz w:val="24"/>
        </w:rPr>
      </w:pPr>
      <w:r>
        <w:rPr>
          <w:rFonts w:hint="eastAsia" w:ascii="宋体" w:hAnsi="宋体" w:cs="宋体"/>
          <w:b/>
          <w:sz w:val="24"/>
        </w:rPr>
        <w:t>（三）投标人认为需提供的其他证明文件</w:t>
      </w:r>
    </w:p>
    <w:p>
      <w:pPr>
        <w:rPr>
          <w:rFonts w:ascii="宋体" w:hAnsi="宋体" w:cs="宋体"/>
          <w:bCs/>
          <w:szCs w:val="21"/>
        </w:rPr>
      </w:pPr>
      <w:r>
        <w:rPr>
          <w:rFonts w:hint="eastAsia" w:ascii="宋体" w:hAnsi="宋体" w:cs="宋体"/>
          <w:bCs/>
          <w:szCs w:val="21"/>
        </w:rPr>
        <w:t>提供招标公告和评标信息中关于投标人的其他相关证明文件（如评标信息中涉及的各种证件（身份证除外）、设备发票等，未涉及的可以不提供）</w:t>
      </w: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六、分项报价清单</w:t>
      </w: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项目报价表</w:t>
      </w:r>
    </w:p>
    <w:p>
      <w:pPr>
        <w:rPr>
          <w:rFonts w:ascii="宋体" w:hAnsi="宋体" w:cs="宋体"/>
          <w:b/>
          <w:sz w:val="24"/>
        </w:rPr>
      </w:pPr>
    </w:p>
    <w:tbl>
      <w:tblPr>
        <w:tblStyle w:val="17"/>
        <w:tblW w:w="10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2525"/>
        <w:gridCol w:w="1440"/>
        <w:gridCol w:w="900"/>
        <w:gridCol w:w="720"/>
        <w:gridCol w:w="720"/>
        <w:gridCol w:w="900"/>
        <w:gridCol w:w="900"/>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vAlign w:val="center"/>
          </w:tcPr>
          <w:p>
            <w:pPr>
              <w:jc w:val="center"/>
              <w:rPr>
                <w:rFonts w:ascii="宋体" w:hAnsi="宋体" w:cs="宋体"/>
                <w:szCs w:val="21"/>
              </w:rPr>
            </w:pPr>
            <w:r>
              <w:rPr>
                <w:rFonts w:hint="eastAsia" w:ascii="宋体" w:hAnsi="宋体" w:cs="宋体"/>
                <w:szCs w:val="21"/>
              </w:rPr>
              <w:t>序号</w:t>
            </w:r>
          </w:p>
        </w:tc>
        <w:tc>
          <w:tcPr>
            <w:tcW w:w="2525" w:type="dxa"/>
            <w:vAlign w:val="center"/>
          </w:tcPr>
          <w:p>
            <w:pPr>
              <w:jc w:val="center"/>
              <w:rPr>
                <w:rFonts w:ascii="宋体" w:hAnsi="宋体" w:cs="宋体"/>
                <w:szCs w:val="21"/>
              </w:rPr>
            </w:pPr>
            <w:r>
              <w:rPr>
                <w:rFonts w:hint="eastAsia" w:ascii="宋体" w:hAnsi="宋体" w:cs="宋体"/>
                <w:szCs w:val="21"/>
              </w:rPr>
              <w:t>货物名称</w:t>
            </w:r>
          </w:p>
        </w:tc>
        <w:tc>
          <w:tcPr>
            <w:tcW w:w="1440" w:type="dxa"/>
            <w:vAlign w:val="center"/>
          </w:tcPr>
          <w:p>
            <w:pPr>
              <w:jc w:val="center"/>
              <w:rPr>
                <w:rFonts w:ascii="宋体" w:hAnsi="宋体" w:cs="宋体"/>
                <w:szCs w:val="21"/>
              </w:rPr>
            </w:pPr>
            <w:r>
              <w:rPr>
                <w:rFonts w:hint="eastAsia" w:ascii="宋体" w:hAnsi="宋体" w:cs="宋体"/>
                <w:szCs w:val="21"/>
              </w:rPr>
              <w:t>规格及型号</w:t>
            </w:r>
          </w:p>
        </w:tc>
        <w:tc>
          <w:tcPr>
            <w:tcW w:w="900" w:type="dxa"/>
            <w:vAlign w:val="center"/>
          </w:tcPr>
          <w:p>
            <w:pPr>
              <w:jc w:val="center"/>
              <w:rPr>
                <w:rFonts w:ascii="宋体" w:hAnsi="宋体" w:cs="宋体"/>
                <w:b/>
                <w:szCs w:val="21"/>
              </w:rPr>
            </w:pPr>
            <w:r>
              <w:rPr>
                <w:rFonts w:hint="eastAsia" w:ascii="宋体" w:hAnsi="宋体" w:cs="宋体"/>
                <w:bCs/>
                <w:szCs w:val="21"/>
              </w:rPr>
              <w:t>原产地</w:t>
            </w:r>
          </w:p>
        </w:tc>
        <w:tc>
          <w:tcPr>
            <w:tcW w:w="720" w:type="dxa"/>
            <w:vAlign w:val="center"/>
          </w:tcPr>
          <w:p>
            <w:pPr>
              <w:jc w:val="center"/>
              <w:rPr>
                <w:rFonts w:ascii="宋体" w:hAnsi="宋体" w:cs="宋体"/>
                <w:szCs w:val="21"/>
              </w:rPr>
            </w:pPr>
            <w:r>
              <w:rPr>
                <w:rFonts w:hint="eastAsia" w:ascii="宋体" w:hAnsi="宋体" w:cs="宋体"/>
                <w:szCs w:val="21"/>
              </w:rPr>
              <w:t>品牌</w:t>
            </w:r>
          </w:p>
        </w:tc>
        <w:tc>
          <w:tcPr>
            <w:tcW w:w="720" w:type="dxa"/>
            <w:vAlign w:val="center"/>
          </w:tcPr>
          <w:p>
            <w:pPr>
              <w:jc w:val="center"/>
              <w:rPr>
                <w:rFonts w:ascii="宋体" w:hAnsi="宋体" w:cs="宋体"/>
                <w:szCs w:val="21"/>
              </w:rPr>
            </w:pPr>
            <w:r>
              <w:rPr>
                <w:rFonts w:hint="eastAsia" w:ascii="宋体" w:hAnsi="宋体" w:cs="宋体"/>
                <w:szCs w:val="21"/>
              </w:rPr>
              <w:t>数量</w:t>
            </w:r>
          </w:p>
        </w:tc>
        <w:tc>
          <w:tcPr>
            <w:tcW w:w="900" w:type="dxa"/>
            <w:vAlign w:val="center"/>
          </w:tcPr>
          <w:p>
            <w:pPr>
              <w:jc w:val="center"/>
              <w:rPr>
                <w:rFonts w:ascii="宋体" w:hAnsi="宋体" w:cs="宋体"/>
                <w:szCs w:val="21"/>
              </w:rPr>
            </w:pPr>
            <w:r>
              <w:rPr>
                <w:rFonts w:hint="eastAsia" w:ascii="宋体" w:hAnsi="宋体" w:cs="宋体"/>
                <w:szCs w:val="21"/>
              </w:rPr>
              <w:t>单价(元)</w:t>
            </w:r>
          </w:p>
        </w:tc>
        <w:tc>
          <w:tcPr>
            <w:tcW w:w="900" w:type="dxa"/>
            <w:vAlign w:val="center"/>
          </w:tcPr>
          <w:p>
            <w:pPr>
              <w:jc w:val="center"/>
              <w:rPr>
                <w:rFonts w:ascii="宋体" w:hAnsi="宋体" w:cs="宋体"/>
                <w:szCs w:val="21"/>
              </w:rPr>
            </w:pPr>
            <w:r>
              <w:rPr>
                <w:rFonts w:hint="eastAsia" w:ascii="宋体" w:hAnsi="宋体" w:cs="宋体"/>
                <w:szCs w:val="21"/>
              </w:rPr>
              <w:t>合价(元)</w:t>
            </w:r>
          </w:p>
        </w:tc>
        <w:tc>
          <w:tcPr>
            <w:tcW w:w="956" w:type="dxa"/>
            <w:vAlign w:val="center"/>
          </w:tcPr>
          <w:p>
            <w:pPr>
              <w:jc w:val="center"/>
              <w:rPr>
                <w:rFonts w:ascii="宋体" w:hAnsi="宋体" w:cs="宋体"/>
                <w:szCs w:val="21"/>
              </w:rPr>
            </w:pPr>
            <w:r>
              <w:rPr>
                <w:rFonts w:hint="eastAsia" w:ascii="宋体" w:hAnsi="宋体" w:cs="宋体"/>
                <w:szCs w:val="21"/>
              </w:rPr>
              <w:t>财政预算限额（元）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2" w:type="dxa"/>
            <w:gridSpan w:val="7"/>
          </w:tcPr>
          <w:p>
            <w:pPr>
              <w:rPr>
                <w:rFonts w:ascii="宋体" w:hAnsi="宋体" w:cs="宋体"/>
                <w:szCs w:val="21"/>
              </w:rPr>
            </w:pPr>
            <w:r>
              <w:rPr>
                <w:rFonts w:hint="eastAsia" w:ascii="宋体" w:hAnsi="宋体" w:cs="宋体"/>
                <w:szCs w:val="21"/>
              </w:rPr>
              <w:t>合计（即：投标总价；币种：人民币；单位：元）：大写：</w:t>
            </w:r>
          </w:p>
        </w:tc>
        <w:tc>
          <w:tcPr>
            <w:tcW w:w="900" w:type="dxa"/>
          </w:tcPr>
          <w:p>
            <w:pPr>
              <w:rPr>
                <w:rFonts w:ascii="宋体" w:hAnsi="宋体" w:cs="宋体"/>
                <w:szCs w:val="21"/>
              </w:rPr>
            </w:pPr>
          </w:p>
        </w:tc>
        <w:tc>
          <w:tcPr>
            <w:tcW w:w="956" w:type="dxa"/>
          </w:tcPr>
          <w:p>
            <w:pPr>
              <w:rPr>
                <w:rFonts w:ascii="宋体" w:hAnsi="宋体" w:cs="宋体"/>
                <w:szCs w:val="21"/>
              </w:rPr>
            </w:pPr>
          </w:p>
        </w:tc>
      </w:tr>
    </w:tbl>
    <w:p>
      <w:pPr>
        <w:rPr>
          <w:rFonts w:ascii="宋体" w:hAnsi="宋体" w:cs="宋体"/>
          <w:szCs w:val="21"/>
        </w:rPr>
      </w:pPr>
    </w:p>
    <w:p>
      <w:pPr>
        <w:rPr>
          <w:rFonts w:ascii="宋体" w:hAnsi="宋体" w:cs="宋体"/>
          <w:szCs w:val="21"/>
        </w:rPr>
      </w:pPr>
      <w:r>
        <w:rPr>
          <w:rFonts w:hint="eastAsia" w:ascii="宋体" w:hAnsi="宋体" w:cs="宋体"/>
          <w:szCs w:val="21"/>
        </w:rPr>
        <w:t>供应商名称：</w:t>
      </w:r>
    </w:p>
    <w:p>
      <w:pPr>
        <w:rPr>
          <w:rFonts w:ascii="宋体" w:hAnsi="宋体" w:cs="宋体"/>
          <w:szCs w:val="21"/>
        </w:rPr>
      </w:pPr>
      <w:r>
        <w:rPr>
          <w:rFonts w:hint="eastAsia" w:ascii="宋体" w:hAnsi="宋体" w:cs="宋体"/>
          <w:szCs w:val="21"/>
        </w:rPr>
        <w:t>供应商代表姓名：</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注：1.所有价格应按“招标文件”中规定的货币单位填写；</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 xml:space="preserve">    2.投标总价应为以上各分项价格之和；</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3.本表格式不得修改；</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4.单价、合价和投标总价为包干价，即三者均应包含设备的价款、包装、运输、装卸、安装、调试、技术指导、培训、咨询、服务、保险、税费、检测、验收合格交付使用之前以及技术和售后服务等其他各项有关费用。</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5.投标总价和项目报价表中单个采购预算条目报价均不得超过对应的财政预算限额，否则将导致废标。</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6.开标一览表的投标总价必须与项目报价表的投标总价一致。</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7.“原产地”是指该产品的实际生产加工地，而非品牌总公司所在地。</w:t>
      </w:r>
    </w:p>
    <w:p>
      <w:pPr>
        <w:pStyle w:val="5"/>
        <w:jc w:val="center"/>
        <w:rPr>
          <w:rFonts w:cs="宋体"/>
          <w:szCs w:val="28"/>
        </w:rPr>
      </w:pPr>
      <w:r>
        <w:rPr>
          <w:rFonts w:hint="eastAsia" w:cs="宋体"/>
          <w:bCs w:val="0"/>
          <w:szCs w:val="28"/>
        </w:rPr>
        <w:t>七、</w:t>
      </w:r>
      <w:r>
        <w:rPr>
          <w:rFonts w:hint="eastAsia" w:cs="宋体"/>
          <w:szCs w:val="28"/>
        </w:rPr>
        <w:t>项目主要管理及技术人员情况</w:t>
      </w:r>
    </w:p>
    <w:p>
      <w:pPr>
        <w:widowControl/>
        <w:shd w:val="clear" w:color="auto" w:fill="FFFFFF"/>
        <w:spacing w:line="315" w:lineRule="atLeast"/>
        <w:jc w:val="center"/>
        <w:rPr>
          <w:rFonts w:ascii="微软雅黑" w:hAnsi="微软雅黑" w:cs="宋体"/>
          <w:color w:val="000000"/>
          <w:kern w:val="0"/>
          <w:szCs w:val="21"/>
        </w:rPr>
      </w:pPr>
      <w:r>
        <w:rPr>
          <w:rFonts w:hint="eastAsia" w:ascii="宋体" w:hAnsi="宋体" w:cs="宋体"/>
          <w:color w:val="000000"/>
          <w:kern w:val="0"/>
          <w:szCs w:val="21"/>
        </w:rPr>
        <w:t> </w:t>
      </w:r>
    </w:p>
    <w:tbl>
      <w:tblPr>
        <w:tblStyle w:val="17"/>
        <w:tblW w:w="0" w:type="auto"/>
        <w:jc w:val="center"/>
        <w:tblLayout w:type="autofit"/>
        <w:tblCellMar>
          <w:top w:w="0" w:type="dxa"/>
          <w:left w:w="0" w:type="dxa"/>
          <w:bottom w:w="0" w:type="dxa"/>
          <w:right w:w="0" w:type="dxa"/>
        </w:tblCellMar>
      </w:tblPr>
      <w:tblGrid>
        <w:gridCol w:w="1112"/>
        <w:gridCol w:w="766"/>
        <w:gridCol w:w="898"/>
        <w:gridCol w:w="1041"/>
        <w:gridCol w:w="1210"/>
        <w:gridCol w:w="1310"/>
        <w:gridCol w:w="1092"/>
        <w:gridCol w:w="1093"/>
      </w:tblGrid>
      <w:tr>
        <w:tblPrEx>
          <w:tblCellMar>
            <w:top w:w="0" w:type="dxa"/>
            <w:left w:w="0" w:type="dxa"/>
            <w:bottom w:w="0" w:type="dxa"/>
            <w:right w:w="0" w:type="dxa"/>
          </w:tblCellMar>
        </w:tblPrEx>
        <w:trPr>
          <w:jc w:val="center"/>
        </w:trPr>
        <w:tc>
          <w:tcPr>
            <w:tcW w:w="11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tLeast"/>
              <w:jc w:val="center"/>
              <w:rPr>
                <w:rFonts w:ascii="宋体" w:hAnsi="宋体" w:eastAsia="宋体" w:cs="宋体"/>
                <w:kern w:val="0"/>
                <w:szCs w:val="21"/>
              </w:rPr>
            </w:pPr>
            <w:r>
              <w:rPr>
                <w:rFonts w:hint="eastAsia" w:ascii="宋体" w:hAnsi="宋体" w:eastAsia="宋体" w:cs="宋体"/>
                <w:kern w:val="0"/>
                <w:szCs w:val="21"/>
              </w:rPr>
              <w:t>类别</w:t>
            </w:r>
          </w:p>
        </w:tc>
        <w:tc>
          <w:tcPr>
            <w:tcW w:w="78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tLeast"/>
              <w:jc w:val="center"/>
              <w:rPr>
                <w:rFonts w:ascii="宋体" w:hAnsi="宋体" w:eastAsia="宋体" w:cs="宋体"/>
                <w:kern w:val="0"/>
                <w:szCs w:val="21"/>
              </w:rPr>
            </w:pPr>
            <w:r>
              <w:rPr>
                <w:rFonts w:hint="eastAsia" w:ascii="宋体" w:hAnsi="宋体" w:eastAsia="宋体" w:cs="宋体"/>
                <w:kern w:val="0"/>
                <w:szCs w:val="21"/>
              </w:rPr>
              <w:t>职务</w:t>
            </w:r>
          </w:p>
        </w:tc>
        <w:tc>
          <w:tcPr>
            <w:tcW w:w="92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tLeast"/>
              <w:jc w:val="center"/>
              <w:rPr>
                <w:rFonts w:ascii="宋体" w:hAnsi="宋体" w:eastAsia="宋体" w:cs="宋体"/>
                <w:kern w:val="0"/>
                <w:szCs w:val="21"/>
              </w:rPr>
            </w:pPr>
            <w:r>
              <w:rPr>
                <w:rFonts w:hint="eastAsia" w:ascii="宋体" w:hAnsi="宋体" w:eastAsia="宋体" w:cs="宋体"/>
                <w:kern w:val="0"/>
                <w:szCs w:val="21"/>
              </w:rPr>
              <w:t>姓名</w:t>
            </w:r>
          </w:p>
        </w:tc>
        <w:tc>
          <w:tcPr>
            <w:tcW w:w="1080"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tLeast"/>
              <w:jc w:val="center"/>
              <w:rPr>
                <w:rFonts w:ascii="宋体" w:hAnsi="宋体" w:eastAsia="宋体" w:cs="宋体"/>
                <w:kern w:val="0"/>
                <w:szCs w:val="21"/>
              </w:rPr>
            </w:pPr>
            <w:r>
              <w:rPr>
                <w:rFonts w:hint="eastAsia" w:ascii="宋体" w:hAnsi="宋体" w:eastAsia="宋体" w:cs="宋体"/>
                <w:kern w:val="0"/>
                <w:szCs w:val="21"/>
              </w:rPr>
              <w:t>职称</w:t>
            </w:r>
          </w:p>
        </w:tc>
        <w:tc>
          <w:tcPr>
            <w:tcW w:w="4894" w:type="dxa"/>
            <w:gridSpan w:val="4"/>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spacing w:line="360" w:lineRule="atLeast"/>
              <w:jc w:val="center"/>
              <w:rPr>
                <w:rFonts w:ascii="宋体" w:hAnsi="宋体" w:eastAsia="宋体" w:cs="宋体"/>
                <w:kern w:val="0"/>
                <w:szCs w:val="21"/>
              </w:rPr>
            </w:pPr>
            <w:r>
              <w:rPr>
                <w:rFonts w:hint="eastAsia" w:ascii="宋体" w:hAnsi="宋体" w:eastAsia="宋体" w:cs="宋体"/>
                <w:kern w:val="0"/>
                <w:szCs w:val="21"/>
              </w:rPr>
              <w:t>上岗资格证明</w:t>
            </w:r>
          </w:p>
        </w:tc>
      </w:tr>
      <w:tr>
        <w:tblPrEx>
          <w:tblCellMar>
            <w:top w:w="0" w:type="dxa"/>
            <w:left w:w="0" w:type="dxa"/>
            <w:bottom w:w="0" w:type="dxa"/>
            <w:right w:w="0"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Cs w:val="21"/>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Cs w:val="21"/>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Cs w:val="21"/>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Cs w:val="21"/>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360" w:lineRule="atLeast"/>
              <w:jc w:val="center"/>
              <w:rPr>
                <w:rFonts w:ascii="宋体" w:hAnsi="宋体" w:eastAsia="宋体" w:cs="宋体"/>
                <w:kern w:val="0"/>
                <w:szCs w:val="21"/>
              </w:rPr>
            </w:pPr>
            <w:r>
              <w:rPr>
                <w:rFonts w:hint="eastAsia" w:ascii="宋体" w:hAnsi="宋体" w:eastAsia="宋体" w:cs="宋体"/>
                <w:kern w:val="0"/>
                <w:szCs w:val="21"/>
              </w:rPr>
              <w:t>证书名称</w:t>
            </w:r>
          </w:p>
        </w:tc>
        <w:tc>
          <w:tcPr>
            <w:tcW w:w="136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360" w:lineRule="atLeast"/>
              <w:jc w:val="center"/>
              <w:rPr>
                <w:rFonts w:ascii="宋体" w:hAnsi="宋体" w:eastAsia="宋体" w:cs="宋体"/>
                <w:kern w:val="0"/>
                <w:szCs w:val="21"/>
              </w:rPr>
            </w:pPr>
            <w:r>
              <w:rPr>
                <w:rFonts w:hint="eastAsia" w:ascii="宋体" w:hAnsi="宋体" w:eastAsia="宋体" w:cs="宋体"/>
                <w:kern w:val="0"/>
                <w:szCs w:val="21"/>
              </w:rPr>
              <w:t>级别</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360" w:lineRule="atLeast"/>
              <w:jc w:val="center"/>
              <w:rPr>
                <w:rFonts w:ascii="宋体" w:hAnsi="宋体" w:eastAsia="宋体" w:cs="宋体"/>
                <w:kern w:val="0"/>
                <w:szCs w:val="21"/>
              </w:rPr>
            </w:pPr>
            <w:r>
              <w:rPr>
                <w:rFonts w:hint="eastAsia" w:ascii="宋体" w:hAnsi="宋体" w:eastAsia="宋体" w:cs="宋体"/>
                <w:kern w:val="0"/>
                <w:szCs w:val="21"/>
              </w:rPr>
              <w:t>证号</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360" w:lineRule="atLeast"/>
              <w:jc w:val="center"/>
              <w:rPr>
                <w:rFonts w:ascii="宋体" w:hAnsi="宋体" w:eastAsia="宋体" w:cs="宋体"/>
                <w:kern w:val="0"/>
                <w:szCs w:val="21"/>
              </w:rPr>
            </w:pPr>
            <w:r>
              <w:rPr>
                <w:rFonts w:hint="eastAsia" w:ascii="宋体" w:hAnsi="宋体" w:eastAsia="宋体" w:cs="宋体"/>
                <w:kern w:val="0"/>
                <w:szCs w:val="21"/>
              </w:rPr>
              <w:t>专业</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360" w:lineRule="atLeast"/>
              <w:jc w:val="left"/>
              <w:rPr>
                <w:rFonts w:ascii="宋体" w:hAnsi="宋体" w:eastAsia="宋体" w:cs="宋体"/>
                <w:kern w:val="0"/>
                <w:szCs w:val="21"/>
              </w:rPr>
            </w:pPr>
            <w:r>
              <w:rPr>
                <w:rFonts w:hint="eastAsia" w:ascii="宋体" w:hAnsi="宋体" w:eastAsia="宋体" w:cs="宋体"/>
                <w:kern w:val="0"/>
                <w:szCs w:val="21"/>
              </w:rPr>
              <w:t>技术人员</w:t>
            </w:r>
          </w:p>
        </w:tc>
        <w:tc>
          <w:tcPr>
            <w:tcW w:w="78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360" w:lineRule="atLeast"/>
              <w:jc w:val="left"/>
              <w:rPr>
                <w:rFonts w:ascii="宋体" w:hAnsi="宋体" w:eastAsia="宋体" w:cs="宋体"/>
                <w:kern w:val="0"/>
                <w:szCs w:val="21"/>
              </w:rPr>
            </w:pPr>
            <w:r>
              <w:rPr>
                <w:rFonts w:hint="eastAsia" w:ascii="宋体" w:hAnsi="宋体" w:eastAsia="宋体" w:cs="宋体"/>
                <w:kern w:val="0"/>
                <w:szCs w:val="21"/>
              </w:rPr>
              <w:t> </w:t>
            </w:r>
          </w:p>
        </w:tc>
        <w:tc>
          <w:tcPr>
            <w:tcW w:w="92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360" w:lineRule="atLeast"/>
              <w:jc w:val="left"/>
              <w:rPr>
                <w:rFonts w:ascii="宋体" w:hAnsi="宋体" w:eastAsia="宋体" w:cs="宋体"/>
                <w:kern w:val="0"/>
                <w:szCs w:val="21"/>
              </w:rPr>
            </w:pPr>
            <w:r>
              <w:rPr>
                <w:rFonts w:hint="eastAsia" w:ascii="宋体" w:hAnsi="宋体" w:eastAsia="宋体" w:cs="宋体"/>
                <w:kern w:val="0"/>
                <w:szCs w:val="21"/>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360" w:lineRule="atLeast"/>
              <w:jc w:val="left"/>
              <w:rPr>
                <w:rFonts w:ascii="宋体" w:hAnsi="宋体" w:eastAsia="宋体" w:cs="宋体"/>
                <w:kern w:val="0"/>
                <w:szCs w:val="21"/>
              </w:rPr>
            </w:pPr>
            <w:r>
              <w:rPr>
                <w:rFonts w:hint="eastAsia" w:ascii="宋体" w:hAnsi="宋体" w:eastAsia="宋体" w:cs="宋体"/>
                <w:kern w:val="0"/>
                <w:szCs w:val="21"/>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360" w:lineRule="atLeast"/>
              <w:jc w:val="left"/>
              <w:rPr>
                <w:rFonts w:ascii="宋体" w:hAnsi="宋体" w:eastAsia="宋体" w:cs="宋体"/>
                <w:kern w:val="0"/>
                <w:szCs w:val="21"/>
              </w:rPr>
            </w:pPr>
            <w:r>
              <w:rPr>
                <w:rFonts w:hint="eastAsia" w:ascii="宋体" w:hAnsi="宋体" w:eastAsia="宋体" w:cs="宋体"/>
                <w:kern w:val="0"/>
                <w:szCs w:val="21"/>
              </w:rPr>
              <w:t> </w:t>
            </w:r>
          </w:p>
        </w:tc>
        <w:tc>
          <w:tcPr>
            <w:tcW w:w="136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360" w:lineRule="atLeast"/>
              <w:jc w:val="left"/>
              <w:rPr>
                <w:rFonts w:ascii="宋体" w:hAnsi="宋体" w:eastAsia="宋体" w:cs="宋体"/>
                <w:kern w:val="0"/>
                <w:szCs w:val="21"/>
              </w:rPr>
            </w:pPr>
            <w:r>
              <w:rPr>
                <w:rFonts w:hint="eastAsia" w:ascii="宋体" w:hAnsi="宋体" w:eastAsia="宋体" w:cs="宋体"/>
                <w:kern w:val="0"/>
                <w:szCs w:val="21"/>
              </w:rPr>
              <w:t> </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360" w:lineRule="atLeast"/>
              <w:jc w:val="left"/>
              <w:rPr>
                <w:rFonts w:ascii="宋体" w:hAnsi="宋体" w:eastAsia="宋体" w:cs="宋体"/>
                <w:kern w:val="0"/>
                <w:szCs w:val="21"/>
              </w:rPr>
            </w:pPr>
            <w:r>
              <w:rPr>
                <w:rFonts w:hint="eastAsia" w:ascii="宋体" w:hAnsi="宋体" w:eastAsia="宋体" w:cs="宋体"/>
                <w:kern w:val="0"/>
                <w:szCs w:val="21"/>
              </w:rPr>
              <w:t> </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360" w:lineRule="atLeast"/>
              <w:jc w:val="left"/>
              <w:rPr>
                <w:rFonts w:ascii="宋体" w:hAnsi="宋体" w:eastAsia="宋体" w:cs="宋体"/>
                <w:kern w:val="0"/>
                <w:szCs w:val="21"/>
              </w:rPr>
            </w:pPr>
            <w:r>
              <w:rPr>
                <w:rFonts w:hint="eastAsia" w:ascii="宋体" w:hAnsi="宋体" w:eastAsia="宋体" w:cs="宋体"/>
                <w:kern w:val="0"/>
                <w:szCs w:val="21"/>
              </w:rPr>
              <w:t> </w:t>
            </w:r>
          </w:p>
        </w:tc>
      </w:tr>
    </w:tbl>
    <w:p>
      <w:pPr>
        <w:widowControl/>
        <w:shd w:val="clear" w:color="auto" w:fill="FFFFFF"/>
        <w:spacing w:line="360" w:lineRule="atLeast"/>
        <w:jc w:val="left"/>
        <w:rPr>
          <w:rFonts w:ascii="微软雅黑" w:hAnsi="微软雅黑" w:cs="宋体"/>
          <w:color w:val="000000"/>
          <w:kern w:val="0"/>
          <w:szCs w:val="21"/>
        </w:rPr>
      </w:pPr>
      <w:r>
        <w:rPr>
          <w:rFonts w:hint="eastAsia" w:ascii="宋体" w:hAnsi="宋体" w:cs="宋体"/>
          <w:b/>
          <w:bCs/>
          <w:color w:val="000000"/>
          <w:kern w:val="0"/>
          <w:sz w:val="22"/>
          <w:szCs w:val="22"/>
        </w:rPr>
        <w:t>附上证书复印件</w:t>
      </w:r>
    </w:p>
    <w:p/>
    <w:p>
      <w:pPr>
        <w:pStyle w:val="5"/>
        <w:jc w:val="center"/>
        <w:rPr>
          <w:rFonts w:cs="宋体"/>
          <w:bCs w:val="0"/>
          <w:szCs w:val="28"/>
        </w:rPr>
      </w:pPr>
      <w:r>
        <w:rPr>
          <w:rFonts w:hint="eastAsia" w:cs="宋体"/>
          <w:bCs w:val="0"/>
          <w:szCs w:val="28"/>
        </w:rPr>
        <w:t>八、商务需求偏离表</w:t>
      </w:r>
    </w:p>
    <w:p>
      <w:pPr>
        <w:rPr>
          <w:rFonts w:ascii="宋体" w:hAnsi="宋体" w:cs="宋体"/>
          <w:b/>
          <w:szCs w:val="21"/>
        </w:rPr>
      </w:pPr>
    </w:p>
    <w:p>
      <w:pPr>
        <w:rPr>
          <w:rFonts w:ascii="宋体" w:hAnsi="宋体" w:cs="宋体"/>
          <w:szCs w:val="21"/>
          <w:u w:val="single"/>
        </w:rPr>
      </w:pPr>
      <w:r>
        <w:rPr>
          <w:rFonts w:hint="eastAsia" w:ascii="宋体" w:hAnsi="宋体" w:cs="宋体"/>
          <w:szCs w:val="21"/>
        </w:rPr>
        <w:t>投标人名称</w:t>
      </w:r>
    </w:p>
    <w:p>
      <w:pPr>
        <w:rPr>
          <w:rFonts w:ascii="宋体" w:hAnsi="宋体" w:cs="宋体"/>
          <w:szCs w:val="21"/>
        </w:rPr>
      </w:pPr>
    </w:p>
    <w:tbl>
      <w:tblPr>
        <w:tblStyle w:val="17"/>
        <w:tblpPr w:leftFromText="180" w:rightFromText="180" w:vertAnchor="text" w:tblpXSpec="lef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序号</w:t>
            </w:r>
          </w:p>
        </w:tc>
        <w:tc>
          <w:tcPr>
            <w:tcW w:w="1080"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目录</w:t>
            </w:r>
          </w:p>
        </w:tc>
        <w:tc>
          <w:tcPr>
            <w:tcW w:w="1980"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招标商务条款</w:t>
            </w:r>
          </w:p>
        </w:tc>
        <w:tc>
          <w:tcPr>
            <w:tcW w:w="1980"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响应商务条款</w:t>
            </w:r>
          </w:p>
        </w:tc>
        <w:tc>
          <w:tcPr>
            <w:tcW w:w="1440"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偏离情况</w:t>
            </w:r>
          </w:p>
        </w:tc>
        <w:tc>
          <w:tcPr>
            <w:tcW w:w="1164"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r>
              <w:rPr>
                <w:rFonts w:hint="eastAsia" w:ascii="宋体" w:hAnsi="宋体" w:cs="宋体"/>
                <w:szCs w:val="21"/>
              </w:rPr>
              <w:t>1</w:t>
            </w: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r>
              <w:rPr>
                <w:rFonts w:hint="eastAsia" w:ascii="宋体" w:hAnsi="宋体" w:cs="宋体"/>
                <w:szCs w:val="21"/>
              </w:rPr>
              <w:t>2</w:t>
            </w: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r>
              <w:rPr>
                <w:rFonts w:hint="eastAsia" w:ascii="宋体" w:hAnsi="宋体" w:cs="宋体"/>
                <w:szCs w:val="21"/>
              </w:rPr>
              <w:t>……</w:t>
            </w: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bl>
    <w:p>
      <w:pPr>
        <w:rPr>
          <w:rFonts w:ascii="宋体" w:hAnsi="宋体" w:cs="宋体"/>
          <w:szCs w:val="21"/>
        </w:rPr>
      </w:pPr>
      <w:r>
        <w:rPr>
          <w:rFonts w:hint="eastAsia" w:ascii="宋体" w:hAnsi="宋体" w:cs="宋体"/>
          <w:szCs w:val="21"/>
        </w:rPr>
        <w:t>备注：</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1.“商务需求”一栏必须填写采购文件第二章“商务需求”的内容分别对应的内容进行填写。</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2.“投标商务条款”一栏必须详细填写投标商务条款的内容。</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3.“偏离情况”栏中应如实填写“正偏离”、“负偏离”或“无偏离”。</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3.交货期条款为不可负偏离条款，投标文件响应为“负偏离”的，投标文件将按废标处理。</w:t>
      </w:r>
    </w:p>
    <w:p>
      <w:pPr>
        <w:widowControl/>
        <w:shd w:val="clear" w:color="auto" w:fill="FFFFFF"/>
        <w:jc w:val="left"/>
        <w:rPr>
          <w:rFonts w:ascii="宋体" w:hAnsi="宋体" w:cs="宋体"/>
        </w:rPr>
      </w:pPr>
      <w:r>
        <w:rPr>
          <w:rFonts w:hint="eastAsia" w:ascii="宋体" w:hAnsi="宋体"/>
          <w:kern w:val="0"/>
          <w:szCs w:val="21"/>
          <w:shd w:val="clear" w:color="auto" w:fill="FFFFFF"/>
        </w:rPr>
        <w:t>4.开标一览表中填写的“交货期”必须与本表填写的“交货期”一致。如填写不一致，以开标一览表填写的“交货期”为准。</w:t>
      </w:r>
    </w:p>
    <w:p>
      <w:pPr>
        <w:pStyle w:val="5"/>
        <w:jc w:val="center"/>
        <w:rPr>
          <w:rFonts w:cs="宋体"/>
          <w:kern w:val="0"/>
          <w:szCs w:val="28"/>
        </w:rPr>
      </w:pPr>
      <w:r>
        <w:rPr>
          <w:rFonts w:hint="eastAsia" w:cs="宋体"/>
          <w:kern w:val="0"/>
          <w:szCs w:val="28"/>
        </w:rPr>
        <w:t>九、技术保障措施</w:t>
      </w:r>
    </w:p>
    <w:p>
      <w:pPr>
        <w:rPr>
          <w:rFonts w:ascii="宋体" w:hAnsi="宋体" w:cs="宋体"/>
        </w:rPr>
      </w:pPr>
      <w:r>
        <w:rPr>
          <w:rFonts w:hint="eastAsia" w:ascii="宋体" w:hAnsi="宋体" w:cs="宋体"/>
        </w:rPr>
        <w:t>格式</w:t>
      </w:r>
      <w:r>
        <w:rPr>
          <w:rFonts w:ascii="宋体" w:hAnsi="宋体" w:cs="宋体"/>
        </w:rPr>
        <w:t>自</w:t>
      </w:r>
      <w:r>
        <w:rPr>
          <w:rFonts w:hint="eastAsia" w:ascii="宋体" w:hAnsi="宋体" w:cs="宋体"/>
        </w:rPr>
        <w:t>拟</w:t>
      </w:r>
      <w:r>
        <w:rPr>
          <w:rFonts w:ascii="宋体" w:hAnsi="宋体" w:cs="宋体"/>
        </w:rPr>
        <w:t>；</w:t>
      </w:r>
    </w:p>
    <w:p>
      <w:pPr>
        <w:pStyle w:val="5"/>
        <w:jc w:val="center"/>
        <w:rPr>
          <w:rFonts w:cs="宋体"/>
          <w:kern w:val="0"/>
          <w:szCs w:val="28"/>
        </w:rPr>
      </w:pPr>
      <w:r>
        <w:rPr>
          <w:rFonts w:hint="eastAsia" w:cs="宋体"/>
          <w:kern w:val="0"/>
          <w:szCs w:val="28"/>
        </w:rPr>
        <w:t>十、实施安全保障措施</w:t>
      </w:r>
    </w:p>
    <w:p>
      <w:pPr>
        <w:rPr>
          <w:rFonts w:ascii="宋体" w:hAnsi="宋体" w:cs="宋体"/>
        </w:rPr>
      </w:pPr>
      <w:r>
        <w:rPr>
          <w:rFonts w:hint="eastAsia" w:ascii="宋体" w:hAnsi="宋体" w:cs="宋体"/>
        </w:rPr>
        <w:t>格式</w:t>
      </w:r>
      <w:r>
        <w:rPr>
          <w:rFonts w:ascii="宋体" w:hAnsi="宋体" w:cs="宋体"/>
        </w:rPr>
        <w:t>自</w:t>
      </w:r>
      <w:r>
        <w:rPr>
          <w:rFonts w:hint="eastAsia" w:ascii="宋体" w:hAnsi="宋体" w:cs="宋体"/>
        </w:rPr>
        <w:t>拟</w:t>
      </w:r>
      <w:r>
        <w:rPr>
          <w:rFonts w:ascii="宋体" w:hAnsi="宋体" w:cs="宋体"/>
        </w:rPr>
        <w:t>；</w:t>
      </w:r>
    </w:p>
    <w:p>
      <w:pPr>
        <w:pStyle w:val="5"/>
        <w:jc w:val="center"/>
        <w:rPr>
          <w:rFonts w:cs="宋体"/>
          <w:kern w:val="0"/>
          <w:szCs w:val="28"/>
        </w:rPr>
      </w:pPr>
      <w:r>
        <w:rPr>
          <w:rFonts w:hint="eastAsia" w:cs="宋体"/>
          <w:kern w:val="0"/>
          <w:szCs w:val="28"/>
        </w:rPr>
        <w:t>十一、项目实施方案</w:t>
      </w:r>
    </w:p>
    <w:p>
      <w:pPr>
        <w:spacing w:line="324" w:lineRule="auto"/>
        <w:ind w:firstLine="420"/>
        <w:rPr>
          <w:szCs w:val="21"/>
        </w:rPr>
      </w:pPr>
      <w:r>
        <w:rPr>
          <w:rFonts w:hint="eastAsia"/>
          <w:szCs w:val="21"/>
        </w:rPr>
        <w:t>实施方案应包含但不局限于以下内容，且应严格执行国家和深圳市的消防维保法规及规范，保证消防设备、设施、系统、制度、日常运行满足相关法规和规范要求，保证通过相关消防检查。</w:t>
      </w:r>
    </w:p>
    <w:p>
      <w:pPr>
        <w:spacing w:line="324" w:lineRule="auto"/>
        <w:ind w:firstLine="420"/>
        <w:rPr>
          <w:szCs w:val="21"/>
        </w:rPr>
      </w:pPr>
      <w:r>
        <w:rPr>
          <w:rFonts w:hint="eastAsia"/>
          <w:szCs w:val="21"/>
        </w:rPr>
        <w:t>1.日常维护方案</w:t>
      </w:r>
    </w:p>
    <w:p>
      <w:pPr>
        <w:spacing w:line="324" w:lineRule="auto"/>
        <w:ind w:firstLine="420"/>
        <w:rPr>
          <w:szCs w:val="21"/>
        </w:rPr>
      </w:pPr>
      <w:r>
        <w:rPr>
          <w:rFonts w:hint="eastAsia"/>
          <w:szCs w:val="21"/>
        </w:rPr>
        <w:t>2.应急保障方案</w:t>
      </w:r>
    </w:p>
    <w:p>
      <w:pPr>
        <w:spacing w:line="324" w:lineRule="auto"/>
        <w:ind w:firstLine="420"/>
        <w:rPr>
          <w:rFonts w:ascii="微软雅黑" w:hAnsi="微软雅黑" w:cs="宋体"/>
          <w:color w:val="000000"/>
          <w:kern w:val="0"/>
          <w:szCs w:val="21"/>
        </w:rPr>
      </w:pPr>
      <w:r>
        <w:rPr>
          <w:rFonts w:hint="eastAsia"/>
          <w:szCs w:val="21"/>
        </w:rPr>
        <w:t>3.备品备件管理方案</w:t>
      </w:r>
      <w:r>
        <w:rPr>
          <w:rFonts w:hint="eastAsia" w:ascii="仿宋_GB2312" w:hAnsi="微软雅黑" w:eastAsia="仿宋_GB2312" w:cs="宋体"/>
          <w:color w:val="000000"/>
          <w:kern w:val="0"/>
          <w:sz w:val="24"/>
        </w:rPr>
        <w:t> </w:t>
      </w:r>
    </w:p>
    <w:p>
      <w:pPr>
        <w:rPr>
          <w:rFonts w:ascii="宋体" w:hAnsi="宋体" w:cs="宋体"/>
          <w:b/>
          <w:bCs/>
          <w:sz w:val="24"/>
        </w:rPr>
      </w:pPr>
      <w:r>
        <w:rPr>
          <w:rFonts w:hint="eastAsia" w:ascii="宋体" w:hAnsi="宋体" w:cs="宋体"/>
          <w:b/>
          <w:bCs/>
          <w:szCs w:val="21"/>
        </w:rPr>
        <w:t>（备注：该部分须与“技术保障措施”、“实施安全保障措施”、“商务需求”等部分承诺的内容相呼应，不得前后矛盾。）</w:t>
      </w:r>
    </w:p>
    <w:p>
      <w:pPr>
        <w:pStyle w:val="5"/>
        <w:jc w:val="center"/>
        <w:rPr>
          <w:rFonts w:cs="宋体"/>
          <w:kern w:val="0"/>
          <w:szCs w:val="28"/>
        </w:rPr>
      </w:pPr>
      <w:r>
        <w:rPr>
          <w:rFonts w:hint="eastAsia" w:cs="宋体"/>
          <w:kern w:val="0"/>
          <w:szCs w:val="28"/>
        </w:rPr>
        <w:t>十二、售后服务方案</w:t>
      </w:r>
    </w:p>
    <w:p>
      <w:pPr>
        <w:rPr>
          <w:rFonts w:ascii="宋体" w:hAnsi="宋体" w:cs="宋体"/>
          <w:szCs w:val="21"/>
        </w:rPr>
      </w:pPr>
      <w:r>
        <w:rPr>
          <w:rFonts w:hint="eastAsia" w:ascii="宋体" w:hAnsi="宋体" w:cs="宋体"/>
          <w:szCs w:val="21"/>
        </w:rPr>
        <w:t>主要内容应包括(根据项目实际情况适当调整内容)：</w:t>
      </w:r>
    </w:p>
    <w:p>
      <w:pPr>
        <w:rPr>
          <w:rFonts w:ascii="宋体" w:hAnsi="宋体" w:cs="宋体"/>
          <w:szCs w:val="21"/>
        </w:rPr>
      </w:pPr>
      <w:r>
        <w:rPr>
          <w:rFonts w:hint="eastAsia" w:ascii="宋体" w:hAnsi="宋体" w:cs="宋体"/>
          <w:szCs w:val="21"/>
        </w:rPr>
        <w:t>（1）整体售后服务方案；</w:t>
      </w:r>
    </w:p>
    <w:p>
      <w:pPr>
        <w:rPr>
          <w:rFonts w:ascii="宋体" w:hAnsi="宋体" w:cs="宋体"/>
          <w:b/>
          <w:szCs w:val="21"/>
        </w:rPr>
      </w:pPr>
      <w:r>
        <w:rPr>
          <w:rFonts w:hint="eastAsia" w:ascii="宋体" w:hAnsi="宋体" w:cs="宋体"/>
          <w:b/>
          <w:szCs w:val="21"/>
        </w:rPr>
        <w:t>（备注：该部分须与“商务需求”承诺的内容相呼应，不得前后矛盾。）</w:t>
      </w:r>
    </w:p>
    <w:p>
      <w:pPr>
        <w:pStyle w:val="10"/>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0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3"/>
                          </w:pPr>
                          <w:r>
                            <w:fldChar w:fldCharType="begin"/>
                          </w:r>
                          <w:r>
                            <w:instrText xml:space="preserve"> PAGE  \* MERGEFORMAT </w:instrText>
                          </w:r>
                          <w:r>
                            <w:fldChar w:fldCharType="separate"/>
                          </w:r>
                          <w:r>
                            <w:t>16</w:t>
                          </w:r>
                          <w: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16</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Thousand"/>
      <w:lvlText w:val="%1、"/>
      <w:lvlJc w:val="left"/>
      <w:pPr>
        <w:ind w:left="284" w:hanging="284"/>
      </w:pPr>
      <w:rPr>
        <w:rFonts w:hint="default"/>
      </w:rPr>
    </w:lvl>
  </w:abstractNum>
  <w:abstractNum w:abstractNumId="1">
    <w:nsid w:val="00000001"/>
    <w:multiLevelType w:val="multilevel"/>
    <w:tmpl w:val="00000001"/>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00000002"/>
    <w:multiLevelType w:val="multilevel"/>
    <w:tmpl w:val="00000002"/>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00000003"/>
    <w:multiLevelType w:val="singleLevel"/>
    <w:tmpl w:val="00000003"/>
    <w:lvl w:ilvl="0" w:tentative="0">
      <w:start w:val="1"/>
      <w:numFmt w:val="decimal"/>
      <w:suff w:val="nothing"/>
      <w:lvlText w:val="%1、"/>
      <w:lvlJc w:val="left"/>
    </w:lvl>
  </w:abstractNum>
  <w:abstractNum w:abstractNumId="4">
    <w:nsid w:val="00000004"/>
    <w:multiLevelType w:val="multilevel"/>
    <w:tmpl w:val="00000004"/>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00000005"/>
    <w:multiLevelType w:val="multilevel"/>
    <w:tmpl w:val="00000005"/>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00000006"/>
    <w:multiLevelType w:val="multilevel"/>
    <w:tmpl w:val="00000006"/>
    <w:lvl w:ilvl="0" w:tentative="0">
      <w:start w:val="1"/>
      <w:numFmt w:val="japaneseCounting"/>
      <w:lvlText w:val="%1、"/>
      <w:lvlJc w:val="left"/>
      <w:pPr>
        <w:ind w:left="570" w:hanging="5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07"/>
    <w:multiLevelType w:val="multilevel"/>
    <w:tmpl w:val="00000007"/>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00000008"/>
    <w:multiLevelType w:val="multilevel"/>
    <w:tmpl w:val="00000008"/>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 w:numId="3">
    <w:abstractNumId w:val="8"/>
  </w:num>
  <w:num w:numId="4">
    <w:abstractNumId w:val="2"/>
  </w:num>
  <w:num w:numId="5">
    <w:abstractNumId w:val="5"/>
  </w:num>
  <w:num w:numId="6">
    <w:abstractNumId w:val="7"/>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jYzg0NzI0MjMyOWVlYTY0OWVkYzAwODVhNGJhZDMifQ=="/>
  </w:docVars>
  <w:rsids>
    <w:rsidRoot w:val="00000000"/>
    <w:rsid w:val="018B322F"/>
    <w:rsid w:val="397502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340" w:after="330" w:line="360" w:lineRule="auto"/>
      <w:jc w:val="center"/>
      <w:outlineLvl w:val="0"/>
    </w:pPr>
    <w:rPr>
      <w:kern w:val="44"/>
      <w:sz w:val="32"/>
      <w:szCs w:val="36"/>
    </w:rPr>
  </w:style>
  <w:style w:type="paragraph" w:styleId="4">
    <w:name w:val="heading 2"/>
    <w:basedOn w:val="5"/>
    <w:next w:val="6"/>
    <w:qFormat/>
    <w:uiPriority w:val="0"/>
    <w:pPr>
      <w:adjustRightInd w:val="0"/>
      <w:jc w:val="center"/>
      <w:textAlignment w:val="baseline"/>
      <w:outlineLvl w:val="1"/>
    </w:pPr>
    <w:rPr>
      <w:bCs w:val="0"/>
      <w:kern w:val="0"/>
      <w:szCs w:val="20"/>
    </w:rPr>
  </w:style>
  <w:style w:type="paragraph" w:styleId="5">
    <w:name w:val="heading 3"/>
    <w:basedOn w:val="6"/>
    <w:next w:val="1"/>
    <w:qFormat/>
    <w:uiPriority w:val="0"/>
    <w:pPr>
      <w:spacing w:before="260" w:after="260" w:line="240" w:lineRule="auto"/>
      <w:outlineLvl w:val="2"/>
    </w:pPr>
    <w:rPr>
      <w:rFonts w:ascii="宋体" w:hAnsi="宋体" w:eastAsia="宋体"/>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9">
    <w:name w:val="Default Paragraph Font"/>
    <w:qFormat/>
    <w:uiPriority w:val="1"/>
  </w:style>
  <w:style w:type="table" w:default="1" w:styleId="17">
    <w:name w:val="Normal Table"/>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b/>
      <w:bCs/>
      <w:sz w:val="24"/>
    </w:rPr>
  </w:style>
  <w:style w:type="paragraph" w:styleId="7">
    <w:name w:val="Normal Indent"/>
    <w:basedOn w:val="1"/>
    <w:qFormat/>
    <w:uiPriority w:val="0"/>
    <w:pPr>
      <w:ind w:firstLine="420" w:firstLineChars="200"/>
    </w:pPr>
  </w:style>
  <w:style w:type="paragraph" w:styleId="8">
    <w:name w:val="annotation text"/>
    <w:basedOn w:val="1"/>
    <w:link w:val="30"/>
    <w:qFormat/>
    <w:uiPriority w:val="0"/>
    <w:pPr>
      <w:jc w:val="left"/>
    </w:pPr>
  </w:style>
  <w:style w:type="paragraph" w:styleId="9">
    <w:name w:val="Body Text Indent"/>
    <w:basedOn w:val="1"/>
    <w:next w:val="10"/>
    <w:qFormat/>
    <w:uiPriority w:val="0"/>
    <w:pPr>
      <w:spacing w:line="360" w:lineRule="auto"/>
      <w:ind w:firstLine="420" w:firstLineChars="200"/>
    </w:pPr>
  </w:style>
  <w:style w:type="paragraph" w:styleId="10">
    <w:name w:val="Body Text First Indent 2"/>
    <w:basedOn w:val="9"/>
    <w:qFormat/>
    <w:uiPriority w:val="99"/>
    <w:pPr>
      <w:spacing w:after="120"/>
      <w:ind w:left="420" w:leftChars="200"/>
    </w:pPr>
    <w:rPr>
      <w:rFonts w:ascii="Calibri" w:hAnsi="Calibri"/>
      <w:szCs w:val="22"/>
    </w:rPr>
  </w:style>
  <w:style w:type="paragraph" w:styleId="11">
    <w:name w:val="toc 5"/>
    <w:basedOn w:val="1"/>
    <w:next w:val="1"/>
    <w:qFormat/>
    <w:uiPriority w:val="0"/>
    <w:pPr>
      <w:ind w:left="840"/>
      <w:jc w:val="left"/>
    </w:pPr>
    <w:rPr>
      <w:rFonts w:ascii="Calibri" w:hAnsi="Calibri"/>
      <w:sz w:val="18"/>
      <w:szCs w:val="18"/>
    </w:rPr>
  </w:style>
  <w:style w:type="paragraph" w:styleId="12">
    <w:name w:val="Balloon Text"/>
    <w:basedOn w:val="1"/>
    <w:link w:val="29"/>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Normal (Web)"/>
    <w:basedOn w:val="1"/>
    <w:qFormat/>
    <w:uiPriority w:val="0"/>
    <w:rPr>
      <w:sz w:val="24"/>
    </w:rPr>
  </w:style>
  <w:style w:type="paragraph" w:styleId="16">
    <w:name w:val="annotation subject"/>
    <w:basedOn w:val="8"/>
    <w:next w:val="8"/>
    <w:link w:val="31"/>
    <w:qFormat/>
    <w:uiPriority w:val="0"/>
    <w:rPr>
      <w:b/>
      <w:bCs/>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bCs/>
    </w:rPr>
  </w:style>
  <w:style w:type="character" w:styleId="21">
    <w:name w:val="FollowedHyperlink"/>
    <w:basedOn w:val="19"/>
    <w:qFormat/>
    <w:uiPriority w:val="0"/>
    <w:rPr>
      <w:color w:val="954F72"/>
      <w:u w:val="single"/>
    </w:rPr>
  </w:style>
  <w:style w:type="character" w:styleId="22">
    <w:name w:val="Emphasis"/>
    <w:qFormat/>
    <w:uiPriority w:val="20"/>
    <w:rPr>
      <w:i/>
      <w:iCs/>
    </w:rPr>
  </w:style>
  <w:style w:type="character" w:styleId="23">
    <w:name w:val="Hyperlink"/>
    <w:qFormat/>
    <w:uiPriority w:val="99"/>
    <w:rPr>
      <w:color w:val="0000FF"/>
      <w:u w:val="single"/>
    </w:rPr>
  </w:style>
  <w:style w:type="character" w:styleId="24">
    <w:name w:val="annotation reference"/>
    <w:qFormat/>
    <w:uiPriority w:val="0"/>
    <w:rPr>
      <w:sz w:val="21"/>
      <w:szCs w:val="21"/>
    </w:rPr>
  </w:style>
  <w:style w:type="paragraph" w:customStyle="1" w:styleId="25">
    <w:name w:val="列表 21"/>
    <w:basedOn w:val="1"/>
    <w:qFormat/>
    <w:uiPriority w:val="0"/>
    <w:pPr>
      <w:suppressAutoHyphens/>
      <w:ind w:left="100" w:hanging="200"/>
    </w:pPr>
    <w:rPr>
      <w:kern w:val="1"/>
    </w:rPr>
  </w:style>
  <w:style w:type="paragraph" w:customStyle="1" w:styleId="26">
    <w:name w:val="表格文字"/>
    <w:basedOn w:val="1"/>
    <w:qFormat/>
    <w:uiPriority w:val="99"/>
    <w:pPr>
      <w:spacing w:before="25" w:after="25"/>
    </w:pPr>
    <w:rPr>
      <w:spacing w:val="10"/>
      <w:sz w:val="24"/>
    </w:rPr>
  </w:style>
  <w:style w:type="character" w:customStyle="1" w:styleId="27">
    <w:name w:val="标题 3 Char"/>
    <w:qFormat/>
    <w:uiPriority w:val="0"/>
    <w:rPr>
      <w:rFonts w:ascii="黑体" w:eastAsia="黑体"/>
      <w:bCs/>
      <w:sz w:val="30"/>
    </w:rPr>
  </w:style>
  <w:style w:type="character" w:customStyle="1" w:styleId="28">
    <w:name w:val="未处理的提及1"/>
    <w:basedOn w:val="19"/>
    <w:qFormat/>
    <w:uiPriority w:val="99"/>
    <w:rPr>
      <w:color w:val="605E5C"/>
      <w:shd w:val="clear" w:color="auto" w:fill="E1DFDD"/>
    </w:rPr>
  </w:style>
  <w:style w:type="character" w:customStyle="1" w:styleId="29">
    <w:name w:val="批注框文本 字符"/>
    <w:basedOn w:val="19"/>
    <w:link w:val="12"/>
    <w:qFormat/>
    <w:uiPriority w:val="0"/>
    <w:rPr>
      <w:kern w:val="2"/>
      <w:sz w:val="18"/>
      <w:szCs w:val="18"/>
    </w:rPr>
  </w:style>
  <w:style w:type="character" w:customStyle="1" w:styleId="30">
    <w:name w:val="批注文字 字符"/>
    <w:basedOn w:val="19"/>
    <w:link w:val="8"/>
    <w:qFormat/>
    <w:uiPriority w:val="0"/>
    <w:rPr>
      <w:kern w:val="2"/>
      <w:sz w:val="21"/>
      <w:szCs w:val="24"/>
    </w:rPr>
  </w:style>
  <w:style w:type="character" w:customStyle="1" w:styleId="31">
    <w:name w:val="批注主题 字符"/>
    <w:basedOn w:val="30"/>
    <w:link w:val="16"/>
    <w:qFormat/>
    <w:uiPriority w:val="0"/>
    <w:rPr>
      <w:b/>
      <w:bCs/>
      <w:kern w:val="2"/>
      <w:sz w:val="21"/>
      <w:szCs w:val="24"/>
    </w:rPr>
  </w:style>
  <w:style w:type="paragraph" w:customStyle="1" w:styleId="32">
    <w:name w:val="列出段落1"/>
    <w:basedOn w:val="1"/>
    <w:qFormat/>
    <w:uiPriority w:val="34"/>
    <w:pPr>
      <w:ind w:firstLine="420" w:firstLineChars="200"/>
    </w:pPr>
  </w:style>
  <w:style w:type="paragraph" w:styleId="33">
    <w:name w:val="List Paragraph"/>
    <w:basedOn w:val="1"/>
    <w:qFormat/>
    <w:uiPriority w:val="34"/>
    <w:pPr>
      <w:ind w:firstLine="420" w:firstLineChars="200"/>
    </w:pPr>
  </w:style>
  <w:style w:type="paragraph" w:customStyle="1" w:styleId="34">
    <w:name w:val="fc1"/>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10444</Words>
  <Characters>10899</Characters>
  <Paragraphs>772</Paragraphs>
  <TotalTime>0</TotalTime>
  <ScaleCrop>false</ScaleCrop>
  <LinksUpToDate>false</LinksUpToDate>
  <CharactersWithSpaces>11339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2023-06-29T11:33:00Z</dcterms:created>
  <dc:creator>Administrator</dc:creator>
  <cp:lastModifiedBy>Cindy Yao</cp:lastModifiedBy>
  <cp:lastPrinted>2024-05-30T07:39:00Z</cp:lastPrinted>
  <dcterms:modified xsi:type="dcterms:W3CDTF">2024-05-31T03:19:31Z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20c69676f0ba484a9d98e909ea83e684_23</vt:lpwstr>
  </property>
</Properties>
</file>