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rPr>
        <w:t>深圳市第一职业技术学校</w:t>
      </w:r>
    </w:p>
    <w:p>
      <w:pPr>
        <w:adjustRightInd w:val="0"/>
        <w:snapToGrid w:val="0"/>
        <w:jc w:val="center"/>
        <w:rPr>
          <w:rFonts w:hint="eastAsia" w:ascii="华文中宋" w:hAnsi="华文中宋" w:eastAsia="华文中宋"/>
          <w:b/>
          <w:bCs/>
          <w:sz w:val="48"/>
          <w:szCs w:val="40"/>
        </w:rPr>
      </w:pPr>
      <w:r>
        <w:rPr>
          <w:rFonts w:hint="eastAsia" w:ascii="华文中宋" w:hAnsi="华文中宋" w:eastAsia="华文中宋"/>
          <w:b/>
          <w:bCs/>
          <w:sz w:val="48"/>
          <w:szCs w:val="40"/>
          <w:lang w:val="en-US" w:eastAsia="zh-CN"/>
        </w:rPr>
        <w:t>企业会计理实一体化软件采购</w:t>
      </w:r>
      <w:r>
        <w:rPr>
          <w:rFonts w:hint="eastAsia" w:ascii="华文中宋" w:hAnsi="华文中宋" w:eastAsia="华文中宋"/>
          <w:b/>
          <w:bCs/>
          <w:sz w:val="48"/>
          <w:szCs w:val="40"/>
        </w:rPr>
        <w:t>项目</w:t>
      </w: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rPr>
        <w:t>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156"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w:t>
      </w:r>
      <w:r>
        <w:rPr>
          <w:rFonts w:hint="eastAsia" w:ascii="黑体" w:hAnsi="华文中宋" w:eastAsia="黑体" w:cs="Arial"/>
          <w:sz w:val="32"/>
          <w:szCs w:val="32"/>
          <w:lang w:val="en-US" w:eastAsia="zh-CN"/>
        </w:rPr>
        <w:t>四</w:t>
      </w:r>
      <w:r>
        <w:rPr>
          <w:rFonts w:hint="eastAsia" w:ascii="黑体" w:hAnsi="华文中宋" w:eastAsia="黑体" w:cs="Arial"/>
          <w:sz w:val="32"/>
          <w:szCs w:val="32"/>
        </w:rPr>
        <w:t>年</w:t>
      </w:r>
      <w:r>
        <w:rPr>
          <w:rFonts w:hint="eastAsia" w:ascii="黑体" w:hAnsi="华文中宋" w:eastAsia="黑体" w:cs="Arial"/>
          <w:sz w:val="32"/>
          <w:szCs w:val="32"/>
          <w:lang w:val="en-US" w:eastAsia="zh-CN"/>
        </w:rPr>
        <w:t>五月</w:t>
      </w:r>
      <w:r>
        <w:rPr>
          <w:rFonts w:hint="eastAsia" w:ascii="宋体" w:hAnsi="宋体" w:cs="宋体"/>
          <w:sz w:val="32"/>
          <w:szCs w:val="32"/>
        </w:rPr>
        <w:br w:type="page"/>
      </w:r>
    </w:p>
    <w:p>
      <w:pPr>
        <w:pStyle w:val="3"/>
      </w:pPr>
      <w:r>
        <w:rPr>
          <w:rFonts w:hint="eastAsia"/>
        </w:rPr>
        <w:t>第一章  项目评审信息</w:t>
      </w:r>
    </w:p>
    <w:p>
      <w:pPr>
        <w:adjustRightInd w:val="0"/>
        <w:snapToGrid w:val="0"/>
        <w:spacing w:line="360" w:lineRule="auto"/>
        <w:rPr>
          <w:rFonts w:ascii="宋体" w:hAnsi="宋体" w:cs="宋体"/>
          <w:szCs w:val="21"/>
        </w:rPr>
      </w:pPr>
      <w:r>
        <w:rPr>
          <w:rFonts w:hint="eastAsia" w:ascii="宋体" w:hAnsi="宋体" w:cs="宋体"/>
          <w:szCs w:val="21"/>
        </w:rPr>
        <w:t xml:space="preserve">      项目名称：  </w:t>
      </w:r>
      <w:r>
        <w:rPr>
          <w:rFonts w:hint="eastAsia" w:ascii="宋体" w:hAnsi="宋体" w:cs="宋体"/>
          <w:szCs w:val="21"/>
          <w:lang w:eastAsia="zh-CN"/>
        </w:rPr>
        <w:t>企业会计理实一体化软件采购</w:t>
      </w:r>
      <w:r>
        <w:rPr>
          <w:rFonts w:hint="eastAsia" w:ascii="宋体" w:hAnsi="宋体" w:cs="宋体"/>
          <w:szCs w:val="21"/>
        </w:rPr>
        <w:t xml:space="preserve">项目  </w:t>
      </w:r>
    </w:p>
    <w:p>
      <w:pPr>
        <w:adjustRightInd w:val="0"/>
        <w:snapToGrid w:val="0"/>
        <w:spacing w:line="360" w:lineRule="auto"/>
        <w:rPr>
          <w:rFonts w:ascii="宋体" w:hAnsi="宋体" w:cs="宋体"/>
          <w:szCs w:val="21"/>
        </w:rPr>
      </w:pPr>
      <w:r>
        <w:rPr>
          <w:rFonts w:hint="eastAsia" w:ascii="宋体" w:hAnsi="宋体" w:cs="宋体"/>
          <w:szCs w:val="21"/>
        </w:rPr>
        <w:t xml:space="preserve">      项目类型：  </w:t>
      </w:r>
      <w:r>
        <w:rPr>
          <w:rFonts w:hint="eastAsia" w:ascii="宋体" w:hAnsi="宋体" w:cs="宋体"/>
          <w:szCs w:val="21"/>
          <w:lang w:val="en-US" w:eastAsia="zh-CN"/>
        </w:rPr>
        <w:t>货物</w:t>
      </w:r>
      <w:r>
        <w:rPr>
          <w:rFonts w:hint="eastAsia" w:ascii="宋体" w:hAnsi="宋体" w:cs="宋体"/>
          <w:szCs w:val="21"/>
        </w:rPr>
        <w:t>类</w:t>
      </w:r>
    </w:p>
    <w:p>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pPr>
        <w:pStyle w:val="6"/>
        <w:rPr>
          <w:rFonts w:cs="宋体"/>
          <w:szCs w:val="28"/>
        </w:rPr>
      </w:pPr>
      <w:r>
        <w:rPr>
          <w:rFonts w:hint="eastAsia" w:cs="宋体"/>
          <w:szCs w:val="28"/>
        </w:rPr>
        <w:t>投标文件初审表</w:t>
      </w:r>
    </w:p>
    <w:p>
      <w:pPr>
        <w:spacing w:after="112" w:afterLines="36"/>
        <w:jc w:val="center"/>
        <w:rPr>
          <w:rFonts w:ascii="宋体" w:hAnsi="宋体" w:cs="宋体"/>
          <w:b/>
        </w:rPr>
      </w:pPr>
      <w:r>
        <w:rPr>
          <w:rFonts w:hint="eastAsia" w:ascii="宋体" w:hAnsi="宋体" w:cs="宋体"/>
          <w:b/>
        </w:rPr>
        <w:t>（凡有下列情形之一的，投标文件无效，投标作废标处理）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rPr>
              <w:t>投标报价有严重缺漏项目</w:t>
            </w:r>
          </w:p>
        </w:tc>
      </w:tr>
    </w:tbl>
    <w:p>
      <w:pPr>
        <w:pStyle w:val="6"/>
        <w:jc w:val="center"/>
        <w:rPr>
          <w:rFonts w:cs="宋体"/>
          <w:szCs w:val="28"/>
        </w:rPr>
      </w:pPr>
      <w:r>
        <w:rPr>
          <w:rFonts w:hint="eastAsia" w:cs="宋体"/>
          <w:szCs w:val="28"/>
        </w:rPr>
        <w:t>评标信息</w:t>
      </w:r>
    </w:p>
    <w:p>
      <w:r>
        <w:rPr>
          <w:rFonts w:hint="eastAsia"/>
          <w:b/>
          <w:bCs/>
        </w:rPr>
        <w:t>评审方法</w:t>
      </w:r>
      <w:r>
        <w:rPr>
          <w:rFonts w:hint="eastAsia"/>
        </w:rPr>
        <w:t>：本项目评审方法采用 综合评分法 。</w:t>
      </w:r>
    </w:p>
    <w:p>
      <w:pPr>
        <w:rPr>
          <w:rFonts w:hint="eastAsia"/>
        </w:rPr>
      </w:pPr>
      <w:r>
        <w:rPr>
          <w:rFonts w:hint="eastAsia"/>
          <w:b/>
          <w:bCs/>
        </w:rPr>
        <w:t>评标方法：</w:t>
      </w:r>
      <w:r>
        <w:rPr>
          <w:rFonts w:hint="eastAsia"/>
        </w:rPr>
        <w:t>综合评分法</w:t>
      </w:r>
    </w:p>
    <w:p>
      <w:pPr>
        <w:ind w:firstLine="420" w:firstLineChars="200"/>
        <w:rPr>
          <w:rFonts w:hint="eastAsia"/>
        </w:rPr>
      </w:pPr>
      <w:r>
        <w:rPr>
          <w:rFonts w:hint="eastAsia"/>
        </w:rPr>
        <w:t>在最大限度地满足招标文件实质性要求的前提下，按照招标文件中规定的各项因</w:t>
      </w:r>
    </w:p>
    <w:p>
      <w:pPr>
        <w:rPr>
          <w:rFonts w:hint="eastAsia"/>
        </w:rPr>
      </w:pPr>
      <w:r>
        <w:rPr>
          <w:rFonts w:hint="eastAsia"/>
        </w:rPr>
        <w:t>素进行综合评审，评标总得分排名前列的投标人，作为推荐的候选中标供应商。</w:t>
      </w:r>
    </w:p>
    <w:p>
      <w:pPr>
        <w:rPr>
          <w:rFonts w:hint="eastAsia"/>
        </w:rPr>
      </w:pPr>
      <w:r>
        <w:rPr>
          <w:rFonts w:hint="eastAsia"/>
        </w:rPr>
        <w:t>价格分计算方法：</w:t>
      </w:r>
    </w:p>
    <w:p>
      <w:pPr>
        <w:rPr>
          <w:rFonts w:hint="eastAsia"/>
        </w:rPr>
      </w:pPr>
      <w:r>
        <w:rPr>
          <w:rFonts w:hint="eastAsia"/>
        </w:rPr>
        <w:t>采用低价优先法计算，即满足招标文件要求且投标价格最低的投标报价为评标基准价，其价格</w:t>
      </w:r>
    </w:p>
    <w:p>
      <w:pPr>
        <w:rPr>
          <w:rFonts w:hint="eastAsia"/>
        </w:rPr>
      </w:pPr>
      <w:r>
        <w:rPr>
          <w:rFonts w:hint="eastAsia"/>
        </w:rPr>
        <w:t xml:space="preserve">分为满分。其他投标人的价格分统一按照下列公式计算： 投标报价得分=(评标基准价／投标报价)×100 评标总得分＝F1×A1＋F2×A2＋……＋Fn×An F1、F2……Fn分别为各项评审因素的得分； A1、A2、……An 分别为各项评审因素所占的权重(A1＋A2＋……＋An＝1)。 评标过程中，不得去掉报价中的最高报价和最低报价。 </w:t>
      </w:r>
    </w:p>
    <w:p>
      <w:pPr>
        <w:ind w:firstLine="420" w:firstLineChars="200"/>
        <w:rPr>
          <w:rFonts w:hint="eastAsia"/>
        </w:rPr>
      </w:pPr>
      <w:r>
        <w:rPr>
          <w:rFonts w:hint="eastAsia"/>
        </w:rPr>
        <w:t>此方法适用于货物类、服务类、工程类项目。</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bl>
      <w:tblPr>
        <w:tblStyle w:val="16"/>
        <w:tblW w:w="8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757"/>
        <w:gridCol w:w="839"/>
        <w:gridCol w:w="6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284" w:type="dxa"/>
            <w:gridSpan w:val="3"/>
            <w:noWrap w:val="0"/>
            <w:vAlign w:val="center"/>
          </w:tcPr>
          <w:p>
            <w:pPr>
              <w:spacing w:line="240" w:lineRule="exact"/>
              <w:jc w:val="center"/>
              <w:rPr>
                <w:rFonts w:hint="eastAsia" w:ascii="仿宋" w:hAnsi="仿宋" w:cs="仿宋"/>
                <w:b/>
                <w:color w:val="auto"/>
                <w:szCs w:val="21"/>
              </w:rPr>
            </w:pPr>
            <w:r>
              <w:rPr>
                <w:rFonts w:hint="eastAsia" w:ascii="仿宋" w:hAnsi="仿宋" w:cs="仿宋"/>
                <w:b/>
                <w:color w:val="auto"/>
                <w:szCs w:val="21"/>
              </w:rPr>
              <w:t>评分项</w:t>
            </w:r>
          </w:p>
        </w:tc>
        <w:tc>
          <w:tcPr>
            <w:tcW w:w="6077" w:type="dxa"/>
            <w:noWrap w:val="0"/>
            <w:vAlign w:val="center"/>
          </w:tcPr>
          <w:p>
            <w:pPr>
              <w:spacing w:line="240" w:lineRule="exact"/>
              <w:jc w:val="center"/>
              <w:rPr>
                <w:rFonts w:hint="eastAsia" w:ascii="仿宋" w:hAnsi="仿宋" w:cs="仿宋"/>
                <w:b/>
                <w:color w:val="auto"/>
                <w:szCs w:val="21"/>
              </w:rPr>
            </w:pPr>
            <w:r>
              <w:rPr>
                <w:rFonts w:hint="eastAsia" w:ascii="仿宋" w:hAnsi="仿宋" w:cs="仿宋"/>
                <w:b/>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284" w:type="dxa"/>
            <w:gridSpan w:val="3"/>
            <w:noWrap w:val="0"/>
            <w:vAlign w:val="center"/>
          </w:tcPr>
          <w:p>
            <w:pPr>
              <w:spacing w:line="240" w:lineRule="exact"/>
              <w:jc w:val="center"/>
              <w:rPr>
                <w:rFonts w:hint="eastAsia" w:ascii="仿宋" w:hAnsi="仿宋" w:cs="仿宋"/>
                <w:b/>
                <w:color w:val="auto"/>
                <w:szCs w:val="21"/>
              </w:rPr>
            </w:pPr>
            <w:r>
              <w:rPr>
                <w:rFonts w:hint="eastAsia" w:ascii="仿宋" w:hAnsi="仿宋" w:cs="仿宋"/>
                <w:b/>
                <w:color w:val="auto"/>
                <w:szCs w:val="21"/>
              </w:rPr>
              <w:t>价格部分</w:t>
            </w:r>
          </w:p>
        </w:tc>
        <w:tc>
          <w:tcPr>
            <w:tcW w:w="6077" w:type="dxa"/>
            <w:noWrap w:val="0"/>
            <w:vAlign w:val="center"/>
          </w:tcPr>
          <w:p>
            <w:pPr>
              <w:spacing w:line="240" w:lineRule="exact"/>
              <w:jc w:val="center"/>
              <w:rPr>
                <w:rFonts w:hint="eastAsia" w:ascii="仿宋" w:hAnsi="仿宋" w:cs="仿宋"/>
                <w:b/>
                <w:color w:val="auto"/>
                <w:szCs w:val="21"/>
              </w:rPr>
            </w:pPr>
            <w:r>
              <w:rPr>
                <w:rFonts w:hint="eastAsia" w:ascii="仿宋" w:hAnsi="仿宋" w:cs="仿宋"/>
                <w:b/>
                <w:color w:val="auto"/>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8" w:type="dxa"/>
            <w:noWrap w:val="0"/>
            <w:vAlign w:val="center"/>
          </w:tcPr>
          <w:p>
            <w:pPr>
              <w:jc w:val="center"/>
              <w:rPr>
                <w:rFonts w:hint="eastAsia" w:ascii="仿宋" w:hAnsi="仿宋" w:eastAsia="宋体" w:cs="仿宋"/>
                <w:color w:val="auto"/>
                <w:lang w:val="en-US" w:eastAsia="zh-CN"/>
              </w:rPr>
            </w:pPr>
            <w:r>
              <w:rPr>
                <w:rFonts w:hint="eastAsia" w:ascii="仿宋" w:hAnsi="仿宋" w:cs="仿宋"/>
                <w:color w:val="auto"/>
                <w:lang w:val="en-US" w:eastAsia="zh-CN"/>
              </w:rPr>
              <w:t>1</w:t>
            </w:r>
          </w:p>
        </w:tc>
        <w:tc>
          <w:tcPr>
            <w:tcW w:w="1596" w:type="dxa"/>
            <w:gridSpan w:val="2"/>
            <w:noWrap w:val="0"/>
            <w:vAlign w:val="center"/>
          </w:tcPr>
          <w:p>
            <w:pPr>
              <w:jc w:val="center"/>
              <w:rPr>
                <w:rFonts w:hint="eastAsia" w:ascii="仿宋" w:hAnsi="仿宋" w:cs="仿宋"/>
                <w:color w:val="auto"/>
              </w:rPr>
            </w:pPr>
            <w:r>
              <w:rPr>
                <w:rFonts w:hint="eastAsia" w:ascii="仿宋" w:hAnsi="仿宋" w:cs="仿宋"/>
                <w:color w:val="auto"/>
              </w:rPr>
              <w:t>报价</w:t>
            </w:r>
          </w:p>
        </w:tc>
        <w:tc>
          <w:tcPr>
            <w:tcW w:w="6077" w:type="dxa"/>
            <w:noWrap w:val="0"/>
            <w:vAlign w:val="top"/>
          </w:tcPr>
          <w:p>
            <w:pPr>
              <w:rPr>
                <w:rFonts w:hint="eastAsia" w:ascii="仿宋" w:hAnsi="仿宋" w:cs="仿宋"/>
                <w:color w:val="auto"/>
              </w:rPr>
            </w:pPr>
            <w:r>
              <w:rPr>
                <w:rFonts w:hint="eastAsia" w:ascii="仿宋" w:hAnsi="仿宋" w:cs="仿宋"/>
                <w:color w:val="auto"/>
              </w:rPr>
              <w:t>价格分应当采用低价优先法计算，即满足招标文件要求且投标价格最低的投标报价为评标基准价，其价格分为满分。其他投标人的价格分统一按照下列公式计算：</w:t>
            </w:r>
          </w:p>
          <w:p>
            <w:pPr>
              <w:widowControl/>
              <w:rPr>
                <w:rFonts w:hint="eastAsia" w:ascii="仿宋" w:hAnsi="仿宋" w:cs="仿宋"/>
                <w:color w:val="auto"/>
              </w:rPr>
            </w:pPr>
            <w:r>
              <w:rPr>
                <w:rFonts w:hint="eastAsia" w:ascii="仿宋" w:hAnsi="仿宋" w:cs="仿宋"/>
                <w:color w:val="auto"/>
              </w:rPr>
              <w:t>投标报价得分=(评标基准价／投标报价)×100×权重</w:t>
            </w:r>
          </w:p>
          <w:p>
            <w:pPr>
              <w:widowControl/>
              <w:rPr>
                <w:rFonts w:hint="eastAsia" w:ascii="仿宋" w:hAnsi="仿宋" w:cs="仿宋"/>
                <w:color w:val="auto"/>
              </w:rPr>
            </w:pPr>
            <w:r>
              <w:rPr>
                <w:rFonts w:hint="eastAsia" w:ascii="仿宋" w:hAnsi="仿宋" w:cs="仿宋"/>
                <w:color w:val="auto"/>
              </w:rPr>
              <w:t>备注：1、因落实政府采购政策进行价格调整的，以调整后的价格计算评标基准价和投标报价,详见《价格扣除》。</w:t>
            </w:r>
          </w:p>
          <w:p>
            <w:pPr>
              <w:rPr>
                <w:rFonts w:hint="eastAsia" w:ascii="仿宋" w:hAnsi="仿宋" w:cs="仿宋"/>
                <w:color w:val="auto"/>
              </w:rPr>
            </w:pPr>
            <w:r>
              <w:rPr>
                <w:rFonts w:hint="eastAsia" w:ascii="仿宋" w:hAnsi="仿宋" w:cs="仿宋"/>
                <w:color w:val="auto"/>
              </w:rPr>
              <w:t>2、投标报价得分四舍五入后，小数点后保留两位有效数；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284" w:type="dxa"/>
            <w:gridSpan w:val="3"/>
            <w:noWrap w:val="0"/>
            <w:vAlign w:val="center"/>
          </w:tcPr>
          <w:p>
            <w:pPr>
              <w:spacing w:line="240" w:lineRule="exact"/>
              <w:jc w:val="center"/>
              <w:rPr>
                <w:rFonts w:hint="eastAsia" w:ascii="仿宋" w:hAnsi="仿宋" w:cs="仿宋"/>
                <w:b/>
                <w:color w:val="auto"/>
                <w:szCs w:val="21"/>
              </w:rPr>
            </w:pPr>
            <w:r>
              <w:rPr>
                <w:rFonts w:hint="eastAsia" w:ascii="仿宋" w:hAnsi="仿宋" w:cs="仿宋"/>
                <w:b/>
                <w:color w:val="auto"/>
                <w:szCs w:val="21"/>
              </w:rPr>
              <w:t>技术部分</w:t>
            </w:r>
          </w:p>
        </w:tc>
        <w:tc>
          <w:tcPr>
            <w:tcW w:w="6077" w:type="dxa"/>
            <w:noWrap w:val="0"/>
            <w:vAlign w:val="center"/>
          </w:tcPr>
          <w:p>
            <w:pPr>
              <w:spacing w:line="240" w:lineRule="exact"/>
              <w:jc w:val="center"/>
              <w:rPr>
                <w:rFonts w:hint="eastAsia" w:ascii="仿宋" w:hAnsi="仿宋" w:cs="仿宋"/>
                <w:b/>
                <w:color w:val="auto"/>
                <w:szCs w:val="21"/>
              </w:rPr>
            </w:pPr>
            <w:r>
              <w:rPr>
                <w:rFonts w:hint="eastAsia" w:ascii="仿宋" w:hAnsi="仿宋" w:cs="仿宋"/>
                <w:b/>
                <w:color w:val="auto"/>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688" w:type="dxa"/>
            <w:noWrap w:val="0"/>
            <w:vAlign w:val="center"/>
          </w:tcPr>
          <w:p>
            <w:pPr>
              <w:jc w:val="center"/>
              <w:rPr>
                <w:rFonts w:hint="eastAsia" w:ascii="仿宋" w:hAnsi="仿宋" w:cs="仿宋"/>
                <w:color w:val="auto"/>
                <w:szCs w:val="21"/>
              </w:rPr>
            </w:pPr>
            <w:r>
              <w:rPr>
                <w:rFonts w:hint="eastAsia" w:ascii="仿宋" w:hAnsi="仿宋" w:cs="仿宋"/>
                <w:color w:val="auto"/>
                <w:szCs w:val="21"/>
              </w:rPr>
              <w:t>序号</w:t>
            </w:r>
          </w:p>
        </w:tc>
        <w:tc>
          <w:tcPr>
            <w:tcW w:w="757" w:type="dxa"/>
            <w:noWrap w:val="0"/>
            <w:vAlign w:val="center"/>
          </w:tcPr>
          <w:p>
            <w:pPr>
              <w:jc w:val="center"/>
              <w:rPr>
                <w:rFonts w:hint="eastAsia" w:ascii="仿宋" w:hAnsi="仿宋" w:cs="仿宋"/>
                <w:color w:val="auto"/>
                <w:szCs w:val="21"/>
              </w:rPr>
            </w:pPr>
            <w:r>
              <w:rPr>
                <w:rFonts w:hint="eastAsia" w:ascii="仿宋" w:hAnsi="仿宋" w:cs="仿宋"/>
                <w:color w:val="auto"/>
                <w:szCs w:val="21"/>
              </w:rPr>
              <w:t>评分因素</w:t>
            </w:r>
          </w:p>
        </w:tc>
        <w:tc>
          <w:tcPr>
            <w:tcW w:w="839" w:type="dxa"/>
            <w:noWrap w:val="0"/>
            <w:vAlign w:val="center"/>
          </w:tcPr>
          <w:p>
            <w:pPr>
              <w:jc w:val="center"/>
              <w:rPr>
                <w:rFonts w:hint="eastAsia" w:ascii="仿宋" w:hAnsi="仿宋" w:cs="仿宋"/>
                <w:color w:val="auto"/>
                <w:szCs w:val="21"/>
              </w:rPr>
            </w:pPr>
            <w:r>
              <w:rPr>
                <w:rFonts w:hint="eastAsia" w:ascii="仿宋" w:hAnsi="仿宋" w:cs="仿宋"/>
                <w:color w:val="auto"/>
                <w:szCs w:val="21"/>
              </w:rPr>
              <w:t>权重</w:t>
            </w:r>
          </w:p>
          <w:p>
            <w:pPr>
              <w:jc w:val="center"/>
              <w:rPr>
                <w:rFonts w:hint="eastAsia" w:ascii="仿宋" w:hAnsi="仿宋" w:cs="仿宋"/>
                <w:color w:val="auto"/>
                <w:szCs w:val="21"/>
              </w:rPr>
            </w:pPr>
            <w:r>
              <w:rPr>
                <w:rFonts w:hint="eastAsia" w:ascii="仿宋" w:hAnsi="仿宋" w:cs="仿宋"/>
                <w:color w:val="auto"/>
                <w:szCs w:val="21"/>
              </w:rPr>
              <w:t>评分方式</w:t>
            </w:r>
          </w:p>
        </w:tc>
        <w:tc>
          <w:tcPr>
            <w:tcW w:w="6077" w:type="dxa"/>
            <w:noWrap w:val="0"/>
            <w:vAlign w:val="center"/>
          </w:tcPr>
          <w:p>
            <w:pPr>
              <w:jc w:val="center"/>
              <w:rPr>
                <w:rFonts w:ascii="仿宋" w:hAnsi="仿宋" w:cs="仿宋"/>
                <w:color w:val="auto"/>
                <w:szCs w:val="21"/>
              </w:rPr>
            </w:pPr>
            <w:r>
              <w:rPr>
                <w:rFonts w:hint="eastAsia" w:ascii="仿宋" w:hAnsi="仿宋" w:cs="仿宋"/>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688" w:type="dxa"/>
            <w:noWrap w:val="0"/>
            <w:vAlign w:val="center"/>
          </w:tcPr>
          <w:p>
            <w:pPr>
              <w:rPr>
                <w:rFonts w:hint="default" w:ascii="仿宋" w:hAnsi="仿宋" w:eastAsia="宋体" w:cs="仿宋"/>
                <w:color w:val="auto"/>
                <w:lang w:val="en-US" w:eastAsia="zh-CN"/>
              </w:rPr>
            </w:pPr>
            <w:r>
              <w:rPr>
                <w:rFonts w:hint="eastAsia" w:ascii="仿宋" w:hAnsi="仿宋" w:cs="仿宋"/>
                <w:color w:val="auto"/>
                <w:lang w:val="en-US" w:eastAsia="zh-CN"/>
              </w:rPr>
              <w:t>2.1</w:t>
            </w:r>
          </w:p>
        </w:tc>
        <w:tc>
          <w:tcPr>
            <w:tcW w:w="757" w:type="dxa"/>
            <w:noWrap w:val="0"/>
            <w:vAlign w:val="center"/>
          </w:tcPr>
          <w:p>
            <w:pPr>
              <w:widowControl/>
              <w:spacing w:line="240" w:lineRule="auto"/>
              <w:rPr>
                <w:rFonts w:hint="eastAsia" w:ascii="仿宋" w:hAnsi="仿宋" w:cs="仿宋"/>
                <w:color w:val="auto"/>
              </w:rPr>
            </w:pPr>
            <w:r>
              <w:rPr>
                <w:rFonts w:hint="eastAsia" w:ascii="仿宋" w:hAnsi="仿宋" w:cs="仿宋"/>
                <w:color w:val="auto"/>
              </w:rPr>
              <w:t>技术条款响应程度</w:t>
            </w:r>
          </w:p>
        </w:tc>
        <w:tc>
          <w:tcPr>
            <w:tcW w:w="839" w:type="dxa"/>
            <w:noWrap w:val="0"/>
            <w:vAlign w:val="center"/>
          </w:tcPr>
          <w:p>
            <w:pPr>
              <w:widowControl/>
              <w:spacing w:line="240" w:lineRule="auto"/>
              <w:jc w:val="center"/>
              <w:rPr>
                <w:rFonts w:ascii="仿宋" w:hAnsi="仿宋" w:cs="仿宋"/>
                <w:color w:val="auto"/>
              </w:rPr>
            </w:pPr>
            <w:r>
              <w:rPr>
                <w:rFonts w:hint="eastAsia" w:ascii="仿宋" w:hAnsi="仿宋" w:cs="仿宋"/>
                <w:color w:val="auto"/>
              </w:rPr>
              <w:t>32</w:t>
            </w:r>
          </w:p>
        </w:tc>
        <w:tc>
          <w:tcPr>
            <w:tcW w:w="6077" w:type="dxa"/>
            <w:noWrap w:val="0"/>
            <w:vAlign w:val="center"/>
          </w:tcPr>
          <w:p>
            <w:pPr>
              <w:spacing w:line="240" w:lineRule="auto"/>
              <w:rPr>
                <w:rFonts w:hint="eastAsia" w:ascii="仿宋" w:hAnsi="仿宋" w:cs="仿宋"/>
                <w:b/>
                <w:bCs/>
                <w:color w:val="auto"/>
              </w:rPr>
            </w:pPr>
            <w:r>
              <w:rPr>
                <w:rFonts w:hint="eastAsia" w:ascii="仿宋" w:hAnsi="仿宋" w:cs="仿宋"/>
                <w:b/>
                <w:bCs/>
                <w:color w:val="auto"/>
              </w:rPr>
              <w:t xml:space="preserve">(一）评分内容： </w:t>
            </w:r>
          </w:p>
          <w:p>
            <w:pPr>
              <w:spacing w:line="240" w:lineRule="auto"/>
              <w:rPr>
                <w:rFonts w:hint="eastAsia" w:ascii="仿宋" w:hAnsi="仿宋" w:cs="仿宋"/>
                <w:color w:val="auto"/>
              </w:rPr>
            </w:pPr>
            <w:r>
              <w:rPr>
                <w:rFonts w:hint="eastAsia" w:ascii="仿宋" w:hAnsi="仿宋" w:cs="仿宋"/>
                <w:color w:val="auto"/>
              </w:rPr>
              <w:t>投标人应如实填写《技术规格偏离表》，评审委员会根据技术参数响应情况进行打分；</w:t>
            </w:r>
          </w:p>
          <w:p>
            <w:pPr>
              <w:widowControl/>
              <w:spacing w:line="240" w:lineRule="auto"/>
              <w:rPr>
                <w:rFonts w:hint="eastAsia" w:ascii="仿宋" w:hAnsi="仿宋" w:cs="仿宋"/>
                <w:color w:val="auto"/>
              </w:rPr>
            </w:pPr>
            <w:r>
              <w:rPr>
                <w:rFonts w:hint="eastAsia" w:ascii="仿宋" w:hAnsi="仿宋" w:cs="仿宋"/>
                <w:color w:val="auto"/>
              </w:rPr>
              <w:t xml:space="preserve">各项技术参数指标及要求全部满足的得32分，带▲的重要参数每负偏离一项扣3分，其他一般参数每负偏离一项扣1分，扣完为止，最低得0分。 </w:t>
            </w:r>
          </w:p>
          <w:p>
            <w:pPr>
              <w:spacing w:line="240" w:lineRule="auto"/>
              <w:rPr>
                <w:rFonts w:hint="eastAsia" w:ascii="仿宋" w:hAnsi="仿宋" w:cs="仿宋"/>
                <w:b/>
                <w:bCs/>
                <w:color w:val="auto"/>
              </w:rPr>
            </w:pPr>
            <w:r>
              <w:rPr>
                <w:rFonts w:hint="eastAsia" w:ascii="仿宋" w:hAnsi="仿宋" w:cs="仿宋"/>
                <w:b/>
                <w:bCs/>
                <w:color w:val="auto"/>
              </w:rPr>
              <w:t>（二）评分标准：</w:t>
            </w:r>
          </w:p>
          <w:p>
            <w:pPr>
              <w:wordWrap w:val="0"/>
              <w:spacing w:line="240" w:lineRule="auto"/>
              <w:rPr>
                <w:rFonts w:hint="eastAsia" w:ascii="仿宋" w:hAnsi="仿宋" w:cs="仿宋"/>
                <w:color w:val="auto"/>
              </w:rPr>
            </w:pPr>
            <w:r>
              <w:rPr>
                <w:rFonts w:hint="eastAsia" w:ascii="仿宋" w:hAnsi="仿宋" w:cs="仿宋"/>
                <w:color w:val="auto"/>
              </w:rPr>
              <w:t>根据技术参数要求提供相关证明文件，未提供或提供的证明文件不符合要求的均视为负偏离。对于《技术规格偏离表》中投标技术响应与偏离情况填写不一致的，评委会可按负偏离处理。对于不同货物的技术要求中的相同项不满足时按一项不满足进行扣分，不对某一项技术要求重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688" w:type="dxa"/>
            <w:noWrap w:val="0"/>
            <w:vAlign w:val="center"/>
          </w:tcPr>
          <w:p>
            <w:pPr>
              <w:jc w:val="center"/>
              <w:rPr>
                <w:rFonts w:hint="default" w:ascii="仿宋" w:hAnsi="仿宋" w:eastAsia="宋体" w:cs="仿宋"/>
                <w:color w:val="auto"/>
                <w:kern w:val="2"/>
                <w:sz w:val="21"/>
                <w:szCs w:val="21"/>
                <w:lang w:val="en-US" w:eastAsia="zh-CN" w:bidi="ar-SA"/>
              </w:rPr>
            </w:pPr>
            <w:r>
              <w:rPr>
                <w:rFonts w:hint="eastAsia" w:ascii="仿宋" w:hAnsi="仿宋" w:cs="仿宋"/>
                <w:color w:val="auto"/>
                <w:szCs w:val="21"/>
              </w:rPr>
              <w:t>2</w:t>
            </w:r>
            <w:r>
              <w:rPr>
                <w:rFonts w:hint="eastAsia" w:ascii="仿宋" w:hAnsi="仿宋" w:cs="仿宋"/>
                <w:color w:val="auto"/>
                <w:szCs w:val="21"/>
                <w:lang w:eastAsia="zh-CN"/>
              </w:rPr>
              <w:t>.</w:t>
            </w:r>
            <w:r>
              <w:rPr>
                <w:rFonts w:hint="eastAsia" w:ascii="仿宋" w:hAnsi="仿宋" w:cs="仿宋"/>
                <w:color w:val="auto"/>
                <w:szCs w:val="21"/>
                <w:lang w:val="en-US" w:eastAsia="zh-CN"/>
              </w:rPr>
              <w:t>2</w:t>
            </w:r>
          </w:p>
        </w:tc>
        <w:tc>
          <w:tcPr>
            <w:tcW w:w="757" w:type="dxa"/>
            <w:noWrap w:val="0"/>
            <w:vAlign w:val="center"/>
          </w:tcPr>
          <w:p>
            <w:pPr>
              <w:jc w:val="center"/>
              <w:rPr>
                <w:rFonts w:hint="eastAsia" w:ascii="仿宋" w:hAnsi="仿宋" w:eastAsia="宋体" w:cs="仿宋"/>
                <w:color w:val="auto"/>
                <w:kern w:val="2"/>
                <w:sz w:val="21"/>
                <w:szCs w:val="20"/>
                <w:lang w:val="en-US" w:eastAsia="zh-CN" w:bidi="ar-SA"/>
              </w:rPr>
            </w:pPr>
            <w:r>
              <w:rPr>
                <w:rFonts w:hint="eastAsia" w:ascii="仿宋" w:hAnsi="仿宋" w:cs="仿宋"/>
                <w:color w:val="auto"/>
                <w:szCs w:val="21"/>
              </w:rPr>
              <w:t>项目实施方案</w:t>
            </w:r>
          </w:p>
        </w:tc>
        <w:tc>
          <w:tcPr>
            <w:tcW w:w="839" w:type="dxa"/>
            <w:noWrap w:val="0"/>
            <w:vAlign w:val="center"/>
          </w:tcPr>
          <w:p>
            <w:pPr>
              <w:spacing w:after="60"/>
              <w:jc w:val="center"/>
              <w:rPr>
                <w:rFonts w:hint="eastAsia" w:ascii="仿宋" w:hAnsi="仿宋" w:eastAsia="宋体" w:cs="仿宋"/>
                <w:color w:val="auto"/>
                <w:kern w:val="2"/>
                <w:sz w:val="21"/>
                <w:szCs w:val="20"/>
                <w:lang w:val="en-US" w:eastAsia="zh-CN" w:bidi="ar-SA"/>
              </w:rPr>
            </w:pPr>
            <w:r>
              <w:rPr>
                <w:rFonts w:hint="eastAsia" w:ascii="仿宋" w:hAnsi="仿宋" w:cs="仿宋"/>
                <w:color w:val="auto"/>
                <w:szCs w:val="21"/>
              </w:rPr>
              <w:t>7</w:t>
            </w:r>
          </w:p>
        </w:tc>
        <w:tc>
          <w:tcPr>
            <w:tcW w:w="6077" w:type="dxa"/>
            <w:noWrap w:val="0"/>
            <w:vAlign w:val="center"/>
          </w:tcPr>
          <w:p>
            <w:pPr>
              <w:wordWrap w:val="0"/>
              <w:spacing w:line="240" w:lineRule="auto"/>
              <w:rPr>
                <w:rFonts w:hint="eastAsia" w:ascii="仿宋" w:hAnsi="仿宋" w:cs="仿宋"/>
                <w:b/>
                <w:bCs/>
                <w:color w:val="auto"/>
              </w:rPr>
            </w:pPr>
            <w:r>
              <w:rPr>
                <w:rFonts w:hint="eastAsia" w:ascii="仿宋" w:hAnsi="仿宋" w:cs="仿宋"/>
                <w:b/>
                <w:bCs/>
                <w:color w:val="auto"/>
              </w:rPr>
              <w:t>（一）评分内容：</w:t>
            </w:r>
          </w:p>
          <w:p>
            <w:pPr>
              <w:wordWrap w:val="0"/>
              <w:spacing w:line="240" w:lineRule="auto"/>
              <w:ind w:firstLine="420" w:firstLineChars="200"/>
              <w:rPr>
                <w:rFonts w:hint="eastAsia" w:ascii="仿宋" w:hAnsi="仿宋" w:eastAsia="宋体" w:cs="仿宋"/>
                <w:color w:val="auto"/>
                <w:lang w:eastAsia="zh-CN"/>
              </w:rPr>
            </w:pPr>
            <w:r>
              <w:rPr>
                <w:rFonts w:hint="eastAsia" w:ascii="仿宋" w:hAnsi="仿宋" w:cs="仿宋"/>
                <w:color w:val="auto"/>
              </w:rPr>
              <w:t>投标人提供的服务方案包含以下内容</w:t>
            </w:r>
            <w:r>
              <w:rPr>
                <w:rFonts w:hint="eastAsia" w:ascii="仿宋" w:hAnsi="仿宋" w:cs="仿宋"/>
                <w:color w:val="auto"/>
                <w:lang w:eastAsia="zh-CN"/>
              </w:rPr>
              <w:t>：</w:t>
            </w:r>
          </w:p>
          <w:p>
            <w:pPr>
              <w:wordWrap w:val="0"/>
              <w:spacing w:line="240" w:lineRule="auto"/>
              <w:rPr>
                <w:rFonts w:hint="eastAsia" w:ascii="仿宋" w:hAnsi="仿宋" w:cs="仿宋"/>
                <w:color w:val="auto"/>
              </w:rPr>
            </w:pPr>
            <w:r>
              <w:rPr>
                <w:rFonts w:hint="eastAsia" w:ascii="仿宋" w:hAnsi="仿宋" w:cs="仿宋"/>
                <w:color w:val="auto"/>
              </w:rPr>
              <w:t>（1）</w:t>
            </w:r>
            <w:r>
              <w:rPr>
                <w:rFonts w:hint="eastAsia" w:ascii="仿宋" w:hAnsi="仿宋" w:cs="仿宋"/>
                <w:color w:val="auto"/>
                <w:szCs w:val="21"/>
              </w:rPr>
              <w:t>实施方案根据招标文件服务需求编写，服务方案详细，具体</w:t>
            </w:r>
            <w:r>
              <w:rPr>
                <w:rFonts w:hint="eastAsia" w:ascii="仿宋" w:hAnsi="仿宋" w:cs="仿宋"/>
                <w:color w:val="auto"/>
              </w:rPr>
              <w:t>；</w:t>
            </w:r>
          </w:p>
          <w:p>
            <w:pPr>
              <w:wordWrap w:val="0"/>
              <w:spacing w:line="240" w:lineRule="auto"/>
              <w:rPr>
                <w:rFonts w:hint="eastAsia" w:ascii="仿宋" w:hAnsi="仿宋" w:cs="仿宋"/>
                <w:color w:val="auto"/>
              </w:rPr>
            </w:pPr>
            <w:r>
              <w:rPr>
                <w:rFonts w:hint="eastAsia" w:ascii="仿宋" w:hAnsi="仿宋" w:cs="仿宋"/>
                <w:color w:val="auto"/>
              </w:rPr>
              <w:t>（2）</w:t>
            </w:r>
            <w:r>
              <w:rPr>
                <w:rFonts w:hint="eastAsia" w:ascii="仿宋" w:hAnsi="仿宋" w:cs="仿宋"/>
                <w:color w:val="auto"/>
                <w:szCs w:val="21"/>
              </w:rPr>
              <w:t>工作措施完善，可实施性强</w:t>
            </w:r>
            <w:r>
              <w:rPr>
                <w:rFonts w:hint="eastAsia" w:ascii="仿宋" w:hAnsi="仿宋" w:cs="仿宋"/>
                <w:color w:val="auto"/>
              </w:rPr>
              <w:t>；</w:t>
            </w:r>
          </w:p>
          <w:p>
            <w:pPr>
              <w:wordWrap w:val="0"/>
              <w:spacing w:line="240" w:lineRule="auto"/>
              <w:rPr>
                <w:rFonts w:hint="eastAsia" w:ascii="仿宋" w:hAnsi="仿宋" w:cs="仿宋"/>
                <w:color w:val="auto"/>
                <w:szCs w:val="21"/>
              </w:rPr>
            </w:pPr>
            <w:r>
              <w:rPr>
                <w:rFonts w:hint="eastAsia" w:ascii="仿宋" w:hAnsi="仿宋" w:cs="仿宋"/>
                <w:color w:val="auto"/>
              </w:rPr>
              <w:t>（3）</w:t>
            </w:r>
            <w:r>
              <w:rPr>
                <w:rFonts w:hint="eastAsia" w:ascii="仿宋" w:hAnsi="仿宋" w:cs="仿宋"/>
                <w:color w:val="auto"/>
                <w:szCs w:val="21"/>
              </w:rPr>
              <w:t>工作方法、工作手段能根据各阶段工作计划编写，各阶段工作计划衔接性强；</w:t>
            </w:r>
          </w:p>
          <w:p>
            <w:pPr>
              <w:wordWrap w:val="0"/>
              <w:spacing w:line="240" w:lineRule="auto"/>
              <w:rPr>
                <w:rFonts w:hint="eastAsia" w:ascii="仿宋" w:hAnsi="仿宋" w:cs="仿宋"/>
                <w:b/>
                <w:bCs/>
                <w:color w:val="auto"/>
              </w:rPr>
            </w:pPr>
            <w:r>
              <w:rPr>
                <w:rFonts w:hint="eastAsia" w:ascii="仿宋" w:hAnsi="仿宋" w:cs="仿宋"/>
                <w:b/>
                <w:bCs/>
                <w:color w:val="auto"/>
              </w:rPr>
              <w:t>（二）评分标准：</w:t>
            </w:r>
          </w:p>
          <w:p>
            <w:pPr>
              <w:wordWrap w:val="0"/>
              <w:spacing w:line="240" w:lineRule="auto"/>
              <w:rPr>
                <w:rFonts w:hint="eastAsia" w:ascii="仿宋" w:hAnsi="仿宋" w:cs="仿宋"/>
                <w:color w:val="auto"/>
              </w:rPr>
            </w:pPr>
            <w:r>
              <w:rPr>
                <w:rFonts w:hint="eastAsia" w:ascii="仿宋" w:hAnsi="仿宋" w:cs="仿宋"/>
                <w:color w:val="auto"/>
              </w:rPr>
              <w:t>1、提供上述三项内容的得3分；提供上述二项的得2分；提供上述一项的得1分，未提供不得分。</w:t>
            </w:r>
          </w:p>
          <w:p>
            <w:pPr>
              <w:wordWrap w:val="0"/>
              <w:spacing w:line="240" w:lineRule="auto"/>
              <w:rPr>
                <w:rFonts w:hint="eastAsia" w:ascii="仿宋" w:hAnsi="仿宋" w:cs="仿宋"/>
                <w:color w:val="auto"/>
              </w:rPr>
            </w:pPr>
            <w:r>
              <w:rPr>
                <w:rFonts w:hint="eastAsia" w:ascii="仿宋" w:hAnsi="仿宋" w:cs="仿宋"/>
                <w:color w:val="auto"/>
              </w:rPr>
              <w:t>2、在此基础上，由评审委员进行评价：</w:t>
            </w:r>
          </w:p>
          <w:p>
            <w:pPr>
              <w:wordWrap w:val="0"/>
              <w:spacing w:line="240" w:lineRule="auto"/>
              <w:rPr>
                <w:rFonts w:hint="eastAsia" w:ascii="仿宋" w:hAnsi="仿宋" w:cs="仿宋"/>
                <w:color w:val="auto"/>
              </w:rPr>
            </w:pPr>
            <w:r>
              <w:rPr>
                <w:rFonts w:hint="eastAsia" w:ascii="仿宋" w:hAnsi="仿宋" w:cs="仿宋"/>
                <w:color w:val="auto"/>
              </w:rPr>
              <w:t>（1）方案整体科学合理、针对性强、可操作性强，评审为优加4分；</w:t>
            </w:r>
          </w:p>
          <w:p>
            <w:pPr>
              <w:wordWrap w:val="0"/>
              <w:spacing w:line="240" w:lineRule="auto"/>
              <w:rPr>
                <w:rFonts w:hint="eastAsia" w:ascii="仿宋" w:hAnsi="仿宋" w:cs="仿宋"/>
                <w:color w:val="auto"/>
              </w:rPr>
            </w:pPr>
            <w:r>
              <w:rPr>
                <w:rFonts w:hint="eastAsia" w:ascii="仿宋" w:hAnsi="仿宋" w:cs="仿宋"/>
                <w:color w:val="auto"/>
              </w:rPr>
              <w:t>（2）方案较合理、有一定针对性、一定可操作性，评审为良加2分；</w:t>
            </w:r>
          </w:p>
          <w:p>
            <w:pPr>
              <w:wordWrap w:val="0"/>
              <w:spacing w:line="240" w:lineRule="auto"/>
              <w:rPr>
                <w:rFonts w:hint="eastAsia" w:ascii="仿宋" w:hAnsi="仿宋" w:cs="仿宋"/>
                <w:color w:val="auto"/>
              </w:rPr>
            </w:pPr>
            <w:r>
              <w:rPr>
                <w:rFonts w:hint="eastAsia" w:ascii="仿宋" w:hAnsi="仿宋" w:cs="仿宋"/>
                <w:color w:val="auto"/>
              </w:rPr>
              <w:t xml:space="preserve">（3）方案不尽合理、针对性一般、可操作性一般，评审为中加1分； </w:t>
            </w:r>
          </w:p>
          <w:p>
            <w:pPr>
              <w:wordWrap w:val="0"/>
              <w:spacing w:line="240" w:lineRule="auto"/>
              <w:rPr>
                <w:rFonts w:hint="eastAsia" w:ascii="仿宋" w:hAnsi="仿宋" w:eastAsia="宋体" w:cs="仿宋"/>
                <w:color w:val="auto"/>
                <w:kern w:val="2"/>
                <w:sz w:val="21"/>
                <w:szCs w:val="24"/>
                <w:lang w:val="en-US" w:eastAsia="zh-CN" w:bidi="ar-SA"/>
              </w:rPr>
            </w:pPr>
            <w:r>
              <w:rPr>
                <w:rFonts w:hint="eastAsia" w:ascii="仿宋" w:hAnsi="仿宋" w:cs="仿宋"/>
                <w:color w:val="auto"/>
              </w:rPr>
              <w:t>（4）方案不合理、无针对性、无可操作性，评审为差得0分。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688" w:type="dxa"/>
            <w:noWrap w:val="0"/>
            <w:vAlign w:val="center"/>
          </w:tcPr>
          <w:p>
            <w:pPr>
              <w:jc w:val="center"/>
              <w:rPr>
                <w:rFonts w:hint="eastAsia" w:ascii="仿宋" w:hAnsi="仿宋" w:cs="仿宋"/>
                <w:color w:val="auto"/>
                <w:szCs w:val="21"/>
              </w:rPr>
            </w:pPr>
            <w:r>
              <w:rPr>
                <w:rFonts w:hint="eastAsia" w:ascii="仿宋" w:hAnsi="仿宋" w:cs="仿宋"/>
                <w:color w:val="auto"/>
                <w:szCs w:val="21"/>
                <w:lang w:val="en-US" w:eastAsia="zh-CN"/>
              </w:rPr>
              <w:t>2.</w:t>
            </w:r>
            <w:r>
              <w:rPr>
                <w:rFonts w:hint="eastAsia" w:ascii="仿宋" w:hAnsi="仿宋" w:cs="仿宋"/>
                <w:color w:val="auto"/>
                <w:szCs w:val="21"/>
              </w:rPr>
              <w:t>3</w:t>
            </w:r>
          </w:p>
        </w:tc>
        <w:tc>
          <w:tcPr>
            <w:tcW w:w="757" w:type="dxa"/>
            <w:noWrap w:val="0"/>
            <w:vAlign w:val="center"/>
          </w:tcPr>
          <w:p>
            <w:pPr>
              <w:pStyle w:val="12"/>
              <w:jc w:val="center"/>
              <w:rPr>
                <w:rFonts w:hint="eastAsia" w:ascii="仿宋" w:hAnsi="仿宋" w:cs="仿宋"/>
                <w:color w:val="auto"/>
              </w:rPr>
            </w:pPr>
            <w:r>
              <w:rPr>
                <w:rFonts w:hint="eastAsia" w:ascii="仿宋" w:hAnsi="仿宋" w:cs="仿宋"/>
                <w:color w:val="auto"/>
              </w:rPr>
              <w:t>售后服务方案及培训方案</w:t>
            </w:r>
          </w:p>
        </w:tc>
        <w:tc>
          <w:tcPr>
            <w:tcW w:w="839" w:type="dxa"/>
            <w:noWrap w:val="0"/>
            <w:vAlign w:val="center"/>
          </w:tcPr>
          <w:p>
            <w:pPr>
              <w:pStyle w:val="12"/>
              <w:jc w:val="center"/>
              <w:rPr>
                <w:rFonts w:hint="eastAsia" w:ascii="仿宋" w:hAnsi="仿宋" w:cs="仿宋"/>
                <w:color w:val="auto"/>
              </w:rPr>
            </w:pPr>
            <w:r>
              <w:rPr>
                <w:rFonts w:hint="eastAsia" w:ascii="仿宋" w:hAnsi="仿宋" w:cs="仿宋"/>
                <w:color w:val="auto"/>
              </w:rPr>
              <w:t>6</w:t>
            </w:r>
          </w:p>
        </w:tc>
        <w:tc>
          <w:tcPr>
            <w:tcW w:w="6077" w:type="dxa"/>
            <w:noWrap w:val="0"/>
            <w:vAlign w:val="center"/>
          </w:tcPr>
          <w:p>
            <w:pPr>
              <w:rPr>
                <w:b/>
                <w:bCs/>
                <w:color w:val="auto"/>
              </w:rPr>
            </w:pPr>
            <w:r>
              <w:rPr>
                <w:b/>
                <w:bCs/>
                <w:color w:val="auto"/>
              </w:rPr>
              <w:t>（一）评分内容：</w:t>
            </w:r>
          </w:p>
          <w:p>
            <w:pPr>
              <w:spacing w:line="240" w:lineRule="auto"/>
              <w:rPr>
                <w:color w:val="auto"/>
              </w:rPr>
            </w:pPr>
            <w:r>
              <w:rPr>
                <w:color w:val="auto"/>
              </w:rPr>
              <w:t>根据投标人针对本项目提供的售后服务方案及培训方案进行评审：</w:t>
            </w:r>
          </w:p>
          <w:p>
            <w:pPr>
              <w:rPr>
                <w:b/>
                <w:bCs/>
                <w:color w:val="auto"/>
              </w:rPr>
            </w:pPr>
            <w:r>
              <w:rPr>
                <w:b/>
                <w:bCs/>
                <w:color w:val="auto"/>
              </w:rPr>
              <w:t>（二）评分标准：</w:t>
            </w:r>
          </w:p>
          <w:p>
            <w:pPr>
              <w:spacing w:line="240" w:lineRule="auto"/>
              <w:rPr>
                <w:color w:val="auto"/>
              </w:rPr>
            </w:pPr>
            <w:r>
              <w:rPr>
                <w:color w:val="auto"/>
              </w:rPr>
              <w:t>满足以上一项得</w:t>
            </w:r>
            <w:r>
              <w:rPr>
                <w:rFonts w:hint="eastAsia"/>
                <w:color w:val="auto"/>
                <w:lang w:val="en-US" w:eastAsia="zh-CN"/>
              </w:rPr>
              <w:t>2</w:t>
            </w:r>
            <w:r>
              <w:rPr>
                <w:color w:val="auto"/>
              </w:rPr>
              <w:t>分。</w:t>
            </w:r>
          </w:p>
          <w:p>
            <w:pPr>
              <w:spacing w:line="240" w:lineRule="auto"/>
              <w:rPr>
                <w:color w:val="auto"/>
              </w:rPr>
            </w:pPr>
            <w:r>
              <w:rPr>
                <w:color w:val="auto"/>
              </w:rPr>
              <w:t>在此基础上：</w:t>
            </w:r>
            <w:r>
              <w:rPr>
                <w:rFonts w:hint="eastAsia"/>
                <w:color w:val="auto"/>
                <w:lang w:val="en-US" w:eastAsia="zh-CN"/>
              </w:rPr>
              <w:t>1.</w:t>
            </w:r>
            <w:r>
              <w:rPr>
                <w:color w:val="auto"/>
              </w:rPr>
              <w:t>售后服务方案详尽，服务效率高，培训方案合理可行，得4分；</w:t>
            </w:r>
          </w:p>
          <w:p>
            <w:pPr>
              <w:spacing w:line="240" w:lineRule="auto"/>
              <w:rPr>
                <w:color w:val="auto"/>
              </w:rPr>
            </w:pPr>
            <w:r>
              <w:rPr>
                <w:rFonts w:hint="eastAsia"/>
                <w:color w:val="auto"/>
                <w:lang w:val="en-US" w:eastAsia="zh-CN"/>
              </w:rPr>
              <w:t>2.</w:t>
            </w:r>
            <w:r>
              <w:rPr>
                <w:color w:val="auto"/>
              </w:rPr>
              <w:t>售后服务方案较详尽，服务效率较高，培训方案较合理可行，得2分；</w:t>
            </w:r>
          </w:p>
          <w:p>
            <w:pPr>
              <w:rPr>
                <w:rFonts w:hint="eastAsia" w:ascii="仿宋" w:hAnsi="仿宋" w:cs="仿宋"/>
                <w:color w:val="auto"/>
                <w:kern w:val="0"/>
                <w:sz w:val="20"/>
                <w:szCs w:val="20"/>
              </w:rPr>
            </w:pPr>
            <w:r>
              <w:rPr>
                <w:rFonts w:hint="eastAsia"/>
                <w:color w:val="auto"/>
                <w:lang w:val="en-US" w:eastAsia="zh-CN"/>
              </w:rPr>
              <w:t>3.</w:t>
            </w:r>
            <w:r>
              <w:rPr>
                <w:color w:val="auto"/>
              </w:rPr>
              <w:t>售后服务方案简单或服务效率低或培训方案合理性差或可行性差，得1分；不提供不得分。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688" w:type="dxa"/>
            <w:noWrap w:val="0"/>
            <w:vAlign w:val="center"/>
          </w:tcPr>
          <w:p>
            <w:pPr>
              <w:jc w:val="center"/>
              <w:rPr>
                <w:rFonts w:hint="eastAsia" w:ascii="仿宋" w:hAnsi="仿宋" w:cs="仿宋"/>
                <w:color w:val="auto"/>
                <w:szCs w:val="21"/>
              </w:rPr>
            </w:pPr>
            <w:r>
              <w:rPr>
                <w:rFonts w:hint="eastAsia" w:ascii="仿宋" w:hAnsi="仿宋" w:cs="仿宋"/>
                <w:color w:val="auto"/>
                <w:szCs w:val="21"/>
                <w:lang w:val="en-US" w:eastAsia="zh-CN"/>
              </w:rPr>
              <w:t>2.</w:t>
            </w:r>
            <w:r>
              <w:rPr>
                <w:rFonts w:hint="eastAsia" w:ascii="仿宋" w:hAnsi="仿宋" w:cs="仿宋"/>
                <w:color w:val="auto"/>
                <w:szCs w:val="21"/>
              </w:rPr>
              <w:t>4</w:t>
            </w:r>
          </w:p>
        </w:tc>
        <w:tc>
          <w:tcPr>
            <w:tcW w:w="757" w:type="dxa"/>
            <w:noWrap w:val="0"/>
            <w:vAlign w:val="center"/>
          </w:tcPr>
          <w:p>
            <w:pPr>
              <w:widowControl/>
              <w:wordWrap w:val="0"/>
              <w:autoSpaceDE w:val="0"/>
              <w:autoSpaceDN w:val="0"/>
              <w:spacing w:line="240" w:lineRule="auto"/>
              <w:jc w:val="center"/>
              <w:rPr>
                <w:rFonts w:hint="eastAsia" w:ascii="仿宋" w:hAnsi="仿宋" w:cs="仿宋"/>
                <w:color w:val="auto"/>
              </w:rPr>
            </w:pPr>
            <w:r>
              <w:rPr>
                <w:rFonts w:hint="eastAsia" w:ascii="仿宋" w:hAnsi="仿宋" w:cs="仿宋"/>
                <w:color w:val="auto"/>
                <w:szCs w:val="21"/>
              </w:rPr>
              <w:t>技术保障措施</w:t>
            </w:r>
          </w:p>
        </w:tc>
        <w:tc>
          <w:tcPr>
            <w:tcW w:w="839" w:type="dxa"/>
            <w:noWrap w:val="0"/>
            <w:vAlign w:val="center"/>
          </w:tcPr>
          <w:p>
            <w:pPr>
              <w:widowControl/>
              <w:wordWrap w:val="0"/>
              <w:autoSpaceDE w:val="0"/>
              <w:autoSpaceDN w:val="0"/>
              <w:spacing w:line="240" w:lineRule="auto"/>
              <w:ind w:firstLine="210" w:firstLineChars="100"/>
              <w:jc w:val="both"/>
              <w:rPr>
                <w:rFonts w:hint="eastAsia" w:ascii="仿宋" w:hAnsi="仿宋" w:cs="仿宋"/>
                <w:color w:val="auto"/>
              </w:rPr>
            </w:pPr>
            <w:r>
              <w:rPr>
                <w:rFonts w:hint="eastAsia" w:ascii="仿宋" w:hAnsi="仿宋" w:cs="仿宋"/>
                <w:color w:val="auto"/>
                <w:szCs w:val="21"/>
              </w:rPr>
              <w:t>5</w:t>
            </w:r>
          </w:p>
        </w:tc>
        <w:tc>
          <w:tcPr>
            <w:tcW w:w="6077" w:type="dxa"/>
            <w:noWrap w:val="0"/>
            <w:vAlign w:val="center"/>
          </w:tcPr>
          <w:p>
            <w:pPr>
              <w:widowControl/>
              <w:wordWrap w:val="0"/>
              <w:autoSpaceDE w:val="0"/>
              <w:autoSpaceDN w:val="0"/>
              <w:spacing w:line="240" w:lineRule="auto"/>
              <w:rPr>
                <w:rFonts w:hint="eastAsia" w:ascii="仿宋" w:hAnsi="仿宋" w:cs="仿宋"/>
                <w:b/>
                <w:bCs/>
                <w:color w:val="auto"/>
                <w:szCs w:val="21"/>
                <w:lang w:val="zh-CN"/>
              </w:rPr>
            </w:pPr>
            <w:r>
              <w:rPr>
                <w:rFonts w:hint="eastAsia" w:ascii="仿宋" w:hAnsi="仿宋" w:cs="仿宋"/>
                <w:b/>
                <w:bCs/>
                <w:color w:val="auto"/>
                <w:szCs w:val="21"/>
              </w:rPr>
              <w:t>(一）</w:t>
            </w:r>
            <w:r>
              <w:rPr>
                <w:rFonts w:hint="eastAsia" w:ascii="仿宋" w:hAnsi="仿宋" w:cs="仿宋"/>
                <w:b/>
                <w:bCs/>
                <w:color w:val="auto"/>
                <w:szCs w:val="21"/>
                <w:lang w:val="zh-CN"/>
              </w:rPr>
              <w:t>评审内容：</w:t>
            </w:r>
          </w:p>
          <w:p>
            <w:pPr>
              <w:widowControl/>
              <w:wordWrap w:val="0"/>
              <w:autoSpaceDE w:val="0"/>
              <w:autoSpaceDN w:val="0"/>
              <w:spacing w:line="240" w:lineRule="auto"/>
              <w:rPr>
                <w:rFonts w:hint="eastAsia" w:ascii="仿宋" w:hAnsi="仿宋" w:cs="仿宋"/>
                <w:color w:val="auto"/>
                <w:szCs w:val="21"/>
              </w:rPr>
            </w:pPr>
            <w:r>
              <w:rPr>
                <w:rFonts w:hint="eastAsia" w:ascii="仿宋" w:hAnsi="仿宋" w:cs="仿宋"/>
                <w:color w:val="auto"/>
                <w:szCs w:val="21"/>
              </w:rPr>
              <w:t>在投标文件中详细说明用于本项目的实施方案，内容包含：</w:t>
            </w:r>
          </w:p>
          <w:p>
            <w:pPr>
              <w:widowControl/>
              <w:wordWrap w:val="0"/>
              <w:autoSpaceDE w:val="0"/>
              <w:autoSpaceDN w:val="0"/>
              <w:spacing w:line="240" w:lineRule="auto"/>
              <w:rPr>
                <w:rFonts w:hint="eastAsia" w:ascii="仿宋" w:hAnsi="仿宋" w:cs="仿宋"/>
                <w:color w:val="auto"/>
                <w:szCs w:val="21"/>
              </w:rPr>
            </w:pPr>
            <w:r>
              <w:rPr>
                <w:rFonts w:hint="eastAsia" w:ascii="仿宋" w:hAnsi="仿宋" w:cs="仿宋"/>
                <w:color w:val="auto"/>
                <w:szCs w:val="21"/>
              </w:rPr>
              <w:t>（1）项目实施进度表</w:t>
            </w:r>
          </w:p>
          <w:p>
            <w:pPr>
              <w:widowControl/>
              <w:wordWrap w:val="0"/>
              <w:autoSpaceDE w:val="0"/>
              <w:autoSpaceDN w:val="0"/>
              <w:spacing w:line="240" w:lineRule="auto"/>
              <w:rPr>
                <w:rFonts w:hint="eastAsia" w:ascii="仿宋" w:hAnsi="仿宋" w:cs="仿宋"/>
                <w:color w:val="auto"/>
                <w:szCs w:val="21"/>
              </w:rPr>
            </w:pPr>
            <w:r>
              <w:rPr>
                <w:rFonts w:hint="eastAsia" w:ascii="仿宋" w:hAnsi="仿宋" w:cs="仿宋"/>
                <w:color w:val="auto"/>
                <w:szCs w:val="21"/>
              </w:rPr>
              <w:t>（2）相关措施方案</w:t>
            </w:r>
          </w:p>
          <w:p>
            <w:pPr>
              <w:widowControl/>
              <w:wordWrap w:val="0"/>
              <w:autoSpaceDE w:val="0"/>
              <w:autoSpaceDN w:val="0"/>
              <w:spacing w:line="240" w:lineRule="auto"/>
              <w:rPr>
                <w:rFonts w:hint="eastAsia" w:ascii="仿宋" w:hAnsi="仿宋" w:cs="仿宋"/>
                <w:color w:val="auto"/>
                <w:szCs w:val="21"/>
              </w:rPr>
            </w:pPr>
            <w:r>
              <w:rPr>
                <w:rFonts w:hint="eastAsia" w:ascii="仿宋" w:hAnsi="仿宋" w:cs="仿宋"/>
                <w:color w:val="auto"/>
                <w:szCs w:val="21"/>
              </w:rPr>
              <w:t>（3）安装调试验收方案</w:t>
            </w:r>
          </w:p>
          <w:p>
            <w:pPr>
              <w:widowControl/>
              <w:wordWrap w:val="0"/>
              <w:autoSpaceDE w:val="0"/>
              <w:autoSpaceDN w:val="0"/>
              <w:spacing w:line="240" w:lineRule="auto"/>
              <w:rPr>
                <w:rFonts w:hint="eastAsia" w:ascii="仿宋" w:hAnsi="仿宋" w:cs="仿宋"/>
                <w:b/>
                <w:bCs/>
                <w:color w:val="auto"/>
                <w:szCs w:val="21"/>
                <w:lang w:val="zh-CN"/>
              </w:rPr>
            </w:pPr>
            <w:r>
              <w:rPr>
                <w:rFonts w:hint="eastAsia" w:ascii="仿宋" w:hAnsi="仿宋" w:cs="仿宋"/>
                <w:b/>
                <w:bCs/>
                <w:color w:val="auto"/>
                <w:szCs w:val="21"/>
              </w:rPr>
              <w:t>（二）</w:t>
            </w:r>
            <w:r>
              <w:rPr>
                <w:rFonts w:hint="eastAsia" w:ascii="仿宋" w:hAnsi="仿宋" w:cs="仿宋"/>
                <w:b/>
                <w:bCs/>
                <w:color w:val="auto"/>
                <w:szCs w:val="21"/>
                <w:lang w:val="zh-CN"/>
              </w:rPr>
              <w:t>评分标准：</w:t>
            </w:r>
          </w:p>
          <w:p>
            <w:pPr>
              <w:widowControl/>
              <w:wordWrap w:val="0"/>
              <w:autoSpaceDE w:val="0"/>
              <w:autoSpaceDN w:val="0"/>
              <w:spacing w:line="240" w:lineRule="auto"/>
              <w:rPr>
                <w:rFonts w:hint="eastAsia" w:ascii="仿宋" w:hAnsi="仿宋" w:cs="仿宋"/>
                <w:color w:val="auto"/>
                <w:szCs w:val="21"/>
              </w:rPr>
            </w:pPr>
            <w:r>
              <w:rPr>
                <w:rFonts w:hint="eastAsia" w:ascii="仿宋" w:hAnsi="仿宋" w:cs="仿宋"/>
                <w:color w:val="auto"/>
                <w:szCs w:val="21"/>
              </w:rPr>
              <w:t>1.方案每满足上述任意一点得1分，本小项最高得3分；</w:t>
            </w:r>
          </w:p>
          <w:p>
            <w:pPr>
              <w:widowControl/>
              <w:wordWrap w:val="0"/>
              <w:autoSpaceDE w:val="0"/>
              <w:autoSpaceDN w:val="0"/>
              <w:spacing w:line="240" w:lineRule="auto"/>
              <w:rPr>
                <w:rFonts w:hint="eastAsia" w:ascii="仿宋" w:hAnsi="仿宋" w:cs="仿宋"/>
                <w:color w:val="auto"/>
                <w:szCs w:val="21"/>
              </w:rPr>
            </w:pPr>
            <w:r>
              <w:rPr>
                <w:rFonts w:hint="eastAsia" w:ascii="仿宋" w:hAnsi="仿宋" w:cs="仿宋"/>
                <w:color w:val="auto"/>
                <w:szCs w:val="21"/>
              </w:rPr>
              <w:t>2.在此基础上，评审委员会根据采购文件的需求和投标文件响应情况进一步评审：</w:t>
            </w:r>
          </w:p>
          <w:p>
            <w:pPr>
              <w:widowControl/>
              <w:wordWrap w:val="0"/>
              <w:autoSpaceDE w:val="0"/>
              <w:autoSpaceDN w:val="0"/>
              <w:spacing w:line="240" w:lineRule="auto"/>
              <w:rPr>
                <w:rFonts w:hint="eastAsia" w:ascii="仿宋" w:hAnsi="仿宋" w:cs="仿宋"/>
                <w:color w:val="auto"/>
                <w:szCs w:val="21"/>
                <w:lang w:val="zh-CN"/>
              </w:rPr>
            </w:pPr>
            <w:r>
              <w:rPr>
                <w:rFonts w:hint="eastAsia" w:ascii="仿宋" w:hAnsi="仿宋" w:cs="仿宋"/>
                <w:color w:val="auto"/>
                <w:szCs w:val="21"/>
                <w:lang w:val="zh-CN"/>
              </w:rPr>
              <w:t>（</w:t>
            </w:r>
            <w:r>
              <w:rPr>
                <w:rFonts w:hint="eastAsia" w:ascii="仿宋" w:hAnsi="仿宋" w:cs="仿宋"/>
                <w:color w:val="auto"/>
                <w:szCs w:val="21"/>
              </w:rPr>
              <w:t>1）</w:t>
            </w:r>
            <w:r>
              <w:rPr>
                <w:rFonts w:hint="eastAsia" w:ascii="仿宋" w:hAnsi="仿宋" w:cs="仿宋"/>
                <w:color w:val="auto"/>
                <w:szCs w:val="21"/>
                <w:lang w:val="zh-CN"/>
              </w:rPr>
              <w:t>优：从目标要求、工作内容、方式方法及工作步骤等做出全面、具体而又有明确安排的实施方案，</w:t>
            </w:r>
            <w:r>
              <w:rPr>
                <w:rFonts w:hint="eastAsia" w:ascii="仿宋" w:hAnsi="仿宋" w:cs="仿宋"/>
                <w:color w:val="auto"/>
                <w:szCs w:val="21"/>
              </w:rPr>
              <w:t>得2分</w:t>
            </w:r>
            <w:r>
              <w:rPr>
                <w:rFonts w:hint="eastAsia" w:ascii="仿宋" w:hAnsi="仿宋" w:cs="仿宋"/>
                <w:color w:val="auto"/>
                <w:szCs w:val="21"/>
                <w:lang w:val="zh-CN"/>
              </w:rPr>
              <w:t>。</w:t>
            </w:r>
          </w:p>
          <w:p>
            <w:pPr>
              <w:widowControl/>
              <w:wordWrap w:val="0"/>
              <w:autoSpaceDE w:val="0"/>
              <w:autoSpaceDN w:val="0"/>
              <w:spacing w:line="240" w:lineRule="auto"/>
              <w:rPr>
                <w:rFonts w:hint="eastAsia" w:ascii="仿宋" w:hAnsi="仿宋" w:cs="仿宋"/>
                <w:color w:val="auto"/>
                <w:szCs w:val="21"/>
                <w:lang w:val="zh-CN"/>
              </w:rPr>
            </w:pPr>
            <w:r>
              <w:rPr>
                <w:rFonts w:hint="eastAsia" w:ascii="仿宋" w:hAnsi="仿宋" w:cs="仿宋"/>
                <w:color w:val="auto"/>
                <w:szCs w:val="21"/>
                <w:lang w:val="zh-CN"/>
              </w:rPr>
              <w:t>（</w:t>
            </w:r>
            <w:r>
              <w:rPr>
                <w:rFonts w:hint="eastAsia" w:ascii="仿宋" w:hAnsi="仿宋" w:cs="仿宋"/>
                <w:color w:val="auto"/>
                <w:szCs w:val="21"/>
              </w:rPr>
              <w:t>2）</w:t>
            </w:r>
            <w:r>
              <w:rPr>
                <w:rFonts w:hint="eastAsia" w:ascii="仿宋" w:hAnsi="仿宋" w:cs="仿宋"/>
                <w:color w:val="auto"/>
                <w:szCs w:val="21"/>
                <w:lang w:val="zh-CN"/>
              </w:rPr>
              <w:t>良：从目标要求、工作内容、方式方法及工作步骤等不全面，存在一些不合理之处的实施方案，</w:t>
            </w:r>
            <w:r>
              <w:rPr>
                <w:rFonts w:hint="eastAsia" w:ascii="仿宋" w:hAnsi="仿宋" w:cs="仿宋"/>
                <w:color w:val="auto"/>
                <w:szCs w:val="21"/>
              </w:rPr>
              <w:t>得1分</w:t>
            </w:r>
            <w:r>
              <w:rPr>
                <w:rFonts w:hint="eastAsia" w:ascii="仿宋" w:hAnsi="仿宋" w:cs="仿宋"/>
                <w:color w:val="auto"/>
                <w:szCs w:val="21"/>
                <w:lang w:val="zh-CN"/>
              </w:rPr>
              <w:t>。</w:t>
            </w:r>
          </w:p>
          <w:p>
            <w:pPr>
              <w:widowControl/>
              <w:wordWrap w:val="0"/>
              <w:autoSpaceDE w:val="0"/>
              <w:autoSpaceDN w:val="0"/>
              <w:spacing w:line="240" w:lineRule="auto"/>
              <w:rPr>
                <w:rFonts w:hint="eastAsia" w:ascii="仿宋" w:hAnsi="仿宋" w:cs="仿宋"/>
                <w:color w:val="auto"/>
                <w:szCs w:val="21"/>
              </w:rPr>
            </w:pPr>
            <w:r>
              <w:rPr>
                <w:rFonts w:hint="eastAsia" w:ascii="仿宋" w:hAnsi="仿宋" w:cs="仿宋"/>
                <w:color w:val="auto"/>
                <w:szCs w:val="21"/>
              </w:rPr>
              <w:t>（3）中：</w:t>
            </w:r>
            <w:r>
              <w:rPr>
                <w:rFonts w:hint="eastAsia" w:ascii="仿宋" w:hAnsi="仿宋" w:cs="仿宋"/>
                <w:color w:val="auto"/>
                <w:szCs w:val="21"/>
                <w:lang w:val="zh-CN"/>
              </w:rPr>
              <w:t>未明确目标要求、工作内容、工作方式及工作步骤，或实施方案不合理，</w:t>
            </w:r>
            <w:r>
              <w:rPr>
                <w:rFonts w:hint="eastAsia" w:ascii="仿宋" w:hAnsi="仿宋" w:cs="仿宋"/>
                <w:color w:val="auto"/>
                <w:szCs w:val="21"/>
              </w:rPr>
              <w:t>得0.5分</w:t>
            </w:r>
            <w:r>
              <w:rPr>
                <w:rFonts w:hint="eastAsia" w:ascii="仿宋" w:hAnsi="仿宋" w:cs="仿宋"/>
                <w:color w:val="auto"/>
                <w:szCs w:val="21"/>
                <w:lang w:val="zh-CN"/>
              </w:rPr>
              <w:t>。</w:t>
            </w:r>
          </w:p>
          <w:p>
            <w:pPr>
              <w:widowControl/>
              <w:wordWrap w:val="0"/>
              <w:autoSpaceDE w:val="0"/>
              <w:autoSpaceDN w:val="0"/>
              <w:spacing w:line="240" w:lineRule="auto"/>
              <w:rPr>
                <w:rFonts w:hint="eastAsia" w:ascii="仿宋" w:hAnsi="仿宋" w:cs="仿宋"/>
                <w:color w:val="auto"/>
              </w:rPr>
            </w:pPr>
            <w:r>
              <w:rPr>
                <w:rFonts w:hint="eastAsia" w:ascii="仿宋" w:hAnsi="仿宋" w:cs="仿宋"/>
                <w:color w:val="auto"/>
                <w:szCs w:val="21"/>
                <w:lang w:val="zh-CN"/>
              </w:rPr>
              <w:t>（</w:t>
            </w:r>
            <w:r>
              <w:rPr>
                <w:rFonts w:hint="eastAsia" w:ascii="仿宋" w:hAnsi="仿宋" w:cs="仿宋"/>
                <w:color w:val="auto"/>
                <w:szCs w:val="21"/>
              </w:rPr>
              <w:t>4）</w:t>
            </w:r>
            <w:r>
              <w:rPr>
                <w:rFonts w:hint="eastAsia" w:ascii="仿宋" w:hAnsi="仿宋" w:cs="仿宋"/>
                <w:color w:val="auto"/>
                <w:szCs w:val="21"/>
                <w:lang w:val="zh-CN"/>
              </w:rPr>
              <w:t>差：未提供实施方案</w:t>
            </w:r>
            <w:r>
              <w:rPr>
                <w:rFonts w:hint="eastAsia" w:ascii="仿宋" w:hAnsi="仿宋" w:cs="仿宋"/>
                <w:color w:val="auto"/>
                <w:szCs w:val="21"/>
              </w:rPr>
              <w:t>或不满足招标文件要求，得0分</w:t>
            </w:r>
            <w:r>
              <w:rPr>
                <w:rFonts w:hint="eastAsia" w:ascii="仿宋" w:hAnsi="仿宋" w:cs="仿宋"/>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84" w:type="dxa"/>
            <w:gridSpan w:val="3"/>
            <w:noWrap w:val="0"/>
            <w:vAlign w:val="center"/>
          </w:tcPr>
          <w:p>
            <w:pPr>
              <w:jc w:val="center"/>
              <w:rPr>
                <w:rFonts w:hint="eastAsia" w:ascii="仿宋" w:hAnsi="仿宋" w:cs="仿宋"/>
                <w:b/>
                <w:color w:val="auto"/>
                <w:szCs w:val="21"/>
              </w:rPr>
            </w:pPr>
            <w:r>
              <w:rPr>
                <w:rFonts w:hint="eastAsia" w:ascii="仿宋" w:hAnsi="仿宋" w:cs="仿宋"/>
                <w:b/>
                <w:color w:val="auto"/>
                <w:szCs w:val="21"/>
              </w:rPr>
              <w:t>商务需求</w:t>
            </w:r>
          </w:p>
        </w:tc>
        <w:tc>
          <w:tcPr>
            <w:tcW w:w="6077" w:type="dxa"/>
            <w:noWrap w:val="0"/>
            <w:vAlign w:val="center"/>
          </w:tcPr>
          <w:p>
            <w:pPr>
              <w:jc w:val="center"/>
              <w:rPr>
                <w:rFonts w:hint="eastAsia" w:ascii="仿宋" w:hAnsi="仿宋" w:cs="仿宋"/>
                <w:b/>
                <w:color w:val="auto"/>
                <w:szCs w:val="21"/>
              </w:rPr>
            </w:pPr>
            <w:r>
              <w:rPr>
                <w:rFonts w:hint="eastAsia" w:ascii="仿宋" w:hAnsi="仿宋" w:cs="仿宋"/>
                <w:b/>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88" w:type="dxa"/>
            <w:noWrap w:val="0"/>
            <w:vAlign w:val="center"/>
          </w:tcPr>
          <w:p>
            <w:pPr>
              <w:jc w:val="center"/>
              <w:rPr>
                <w:rFonts w:hint="eastAsia" w:ascii="仿宋" w:hAnsi="仿宋" w:cs="仿宋"/>
                <w:b/>
                <w:color w:val="auto"/>
                <w:szCs w:val="21"/>
              </w:rPr>
            </w:pPr>
            <w:r>
              <w:rPr>
                <w:rFonts w:hint="eastAsia" w:ascii="仿宋" w:hAnsi="仿宋" w:cs="仿宋"/>
                <w:b/>
                <w:color w:val="auto"/>
                <w:szCs w:val="21"/>
              </w:rPr>
              <w:t>序号</w:t>
            </w:r>
          </w:p>
        </w:tc>
        <w:tc>
          <w:tcPr>
            <w:tcW w:w="757" w:type="dxa"/>
            <w:noWrap w:val="0"/>
            <w:vAlign w:val="center"/>
          </w:tcPr>
          <w:p>
            <w:pPr>
              <w:jc w:val="center"/>
              <w:rPr>
                <w:rFonts w:hint="eastAsia" w:ascii="仿宋" w:hAnsi="仿宋" w:cs="仿宋"/>
                <w:b/>
                <w:color w:val="auto"/>
                <w:szCs w:val="21"/>
              </w:rPr>
            </w:pPr>
            <w:r>
              <w:rPr>
                <w:rFonts w:hint="eastAsia" w:ascii="仿宋" w:hAnsi="仿宋" w:cs="仿宋"/>
                <w:b/>
                <w:color w:val="auto"/>
                <w:szCs w:val="21"/>
              </w:rPr>
              <w:t>评分因素</w:t>
            </w:r>
          </w:p>
        </w:tc>
        <w:tc>
          <w:tcPr>
            <w:tcW w:w="839" w:type="dxa"/>
            <w:noWrap w:val="0"/>
            <w:vAlign w:val="center"/>
          </w:tcPr>
          <w:p>
            <w:pPr>
              <w:jc w:val="center"/>
              <w:rPr>
                <w:rFonts w:hint="eastAsia" w:ascii="仿宋" w:hAnsi="仿宋" w:cs="仿宋"/>
                <w:b/>
                <w:color w:val="auto"/>
                <w:szCs w:val="21"/>
              </w:rPr>
            </w:pPr>
            <w:r>
              <w:rPr>
                <w:rFonts w:hint="eastAsia" w:ascii="仿宋" w:hAnsi="仿宋" w:cs="仿宋"/>
                <w:b/>
                <w:color w:val="auto"/>
                <w:szCs w:val="21"/>
              </w:rPr>
              <w:t>权重</w:t>
            </w:r>
          </w:p>
        </w:tc>
        <w:tc>
          <w:tcPr>
            <w:tcW w:w="6077" w:type="dxa"/>
            <w:noWrap w:val="0"/>
            <w:vAlign w:val="center"/>
          </w:tcPr>
          <w:p>
            <w:pPr>
              <w:jc w:val="center"/>
              <w:rPr>
                <w:rFonts w:hint="eastAsia" w:ascii="仿宋" w:hAnsi="仿宋" w:cs="仿宋"/>
                <w:b/>
                <w:color w:val="auto"/>
                <w:szCs w:val="21"/>
              </w:rPr>
            </w:pPr>
            <w:r>
              <w:rPr>
                <w:rFonts w:hint="eastAsia" w:ascii="仿宋" w:hAnsi="仿宋" w:cs="仿宋"/>
                <w:b/>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688" w:type="dxa"/>
            <w:noWrap w:val="0"/>
            <w:vAlign w:val="center"/>
          </w:tcPr>
          <w:p>
            <w:pPr>
              <w:jc w:val="center"/>
              <w:rPr>
                <w:rFonts w:hint="eastAsia" w:ascii="仿宋" w:hAnsi="仿宋" w:cs="仿宋"/>
                <w:color w:val="auto"/>
                <w:szCs w:val="21"/>
              </w:rPr>
            </w:pPr>
            <w:r>
              <w:rPr>
                <w:rFonts w:hint="eastAsia" w:ascii="仿宋" w:hAnsi="仿宋" w:cs="仿宋"/>
                <w:color w:val="auto"/>
                <w:szCs w:val="21"/>
                <w:lang w:val="en-US" w:eastAsia="zh-CN"/>
              </w:rPr>
              <w:t>3.</w:t>
            </w:r>
            <w:r>
              <w:rPr>
                <w:rFonts w:hint="eastAsia" w:ascii="仿宋" w:hAnsi="仿宋" w:cs="仿宋"/>
                <w:color w:val="auto"/>
                <w:szCs w:val="21"/>
              </w:rPr>
              <w:cr/>
            </w:r>
            <w:r>
              <w:rPr>
                <w:rFonts w:hint="eastAsia" w:ascii="仿宋" w:hAnsi="仿宋" w:cs="仿宋"/>
                <w:color w:val="auto"/>
                <w:szCs w:val="21"/>
              </w:rPr>
              <w:t>1</w:t>
            </w:r>
          </w:p>
        </w:tc>
        <w:tc>
          <w:tcPr>
            <w:tcW w:w="757" w:type="dxa"/>
            <w:noWrap w:val="0"/>
            <w:vAlign w:val="center"/>
          </w:tcPr>
          <w:p>
            <w:pPr>
              <w:jc w:val="center"/>
              <w:rPr>
                <w:rFonts w:hint="eastAsia" w:ascii="仿宋" w:hAnsi="仿宋" w:cs="仿宋"/>
                <w:color w:val="auto"/>
                <w:szCs w:val="21"/>
              </w:rPr>
            </w:pPr>
            <w:r>
              <w:rPr>
                <w:rFonts w:hint="eastAsia" w:ascii="仿宋" w:hAnsi="仿宋" w:cs="仿宋"/>
                <w:color w:val="auto"/>
                <w:szCs w:val="21"/>
              </w:rPr>
              <w:t>商务条款</w:t>
            </w:r>
          </w:p>
          <w:p>
            <w:pPr>
              <w:jc w:val="center"/>
              <w:rPr>
                <w:rFonts w:hint="eastAsia" w:ascii="仿宋" w:hAnsi="仿宋" w:cs="仿宋"/>
                <w:color w:val="auto"/>
                <w:szCs w:val="21"/>
              </w:rPr>
            </w:pPr>
            <w:r>
              <w:rPr>
                <w:rFonts w:hint="eastAsia" w:ascii="仿宋" w:hAnsi="仿宋" w:cs="仿宋"/>
                <w:color w:val="auto"/>
                <w:szCs w:val="21"/>
              </w:rPr>
              <w:t>偏离情况</w:t>
            </w:r>
          </w:p>
        </w:tc>
        <w:tc>
          <w:tcPr>
            <w:tcW w:w="839" w:type="dxa"/>
            <w:noWrap w:val="0"/>
            <w:vAlign w:val="center"/>
          </w:tcPr>
          <w:p>
            <w:pPr>
              <w:pStyle w:val="12"/>
              <w:jc w:val="center"/>
              <w:rPr>
                <w:rFonts w:hint="eastAsia" w:ascii="仿宋" w:hAnsi="仿宋" w:cs="仿宋"/>
                <w:color w:val="auto"/>
                <w:szCs w:val="21"/>
              </w:rPr>
            </w:pPr>
            <w:r>
              <w:rPr>
                <w:rFonts w:hint="eastAsia" w:ascii="仿宋" w:hAnsi="仿宋" w:cs="仿宋"/>
                <w:color w:val="auto"/>
              </w:rPr>
              <w:t>9</w:t>
            </w:r>
          </w:p>
        </w:tc>
        <w:tc>
          <w:tcPr>
            <w:tcW w:w="6077" w:type="dxa"/>
            <w:noWrap w:val="0"/>
            <w:vAlign w:val="center"/>
          </w:tcPr>
          <w:p>
            <w:pPr>
              <w:widowControl/>
              <w:spacing w:line="240" w:lineRule="auto"/>
              <w:rPr>
                <w:rFonts w:hint="eastAsia" w:ascii="仿宋" w:hAnsi="仿宋" w:cs="仿宋"/>
                <w:b/>
                <w:bCs/>
                <w:color w:val="auto"/>
                <w:szCs w:val="21"/>
                <w:lang w:val="zh-CN"/>
              </w:rPr>
            </w:pPr>
            <w:r>
              <w:rPr>
                <w:rFonts w:hint="eastAsia" w:ascii="仿宋" w:hAnsi="仿宋" w:cs="仿宋"/>
                <w:b/>
                <w:bCs/>
                <w:color w:val="auto"/>
                <w:szCs w:val="21"/>
              </w:rPr>
              <w:t>(一）</w:t>
            </w:r>
            <w:r>
              <w:rPr>
                <w:rFonts w:hint="eastAsia" w:ascii="仿宋" w:hAnsi="仿宋" w:cs="仿宋"/>
                <w:b/>
                <w:bCs/>
                <w:color w:val="auto"/>
                <w:szCs w:val="21"/>
                <w:lang w:val="zh-CN"/>
              </w:rPr>
              <w:t>评审内容</w:t>
            </w:r>
            <w:r>
              <w:rPr>
                <w:rFonts w:hint="eastAsia" w:ascii="仿宋" w:hAnsi="仿宋" w:cs="仿宋"/>
                <w:b/>
                <w:bCs/>
                <w:color w:val="auto"/>
                <w:szCs w:val="21"/>
              </w:rPr>
              <w:t>与评分标准</w:t>
            </w:r>
            <w:r>
              <w:rPr>
                <w:rFonts w:hint="eastAsia" w:ascii="仿宋" w:hAnsi="仿宋" w:cs="仿宋"/>
                <w:b/>
                <w:bCs/>
                <w:color w:val="auto"/>
                <w:szCs w:val="21"/>
                <w:lang w:val="zh-CN"/>
              </w:rPr>
              <w:t>：</w:t>
            </w:r>
          </w:p>
          <w:p>
            <w:pPr>
              <w:widowControl/>
              <w:rPr>
                <w:rFonts w:hint="eastAsia" w:ascii="仿宋" w:hAnsi="仿宋" w:cs="仿宋"/>
                <w:color w:val="auto"/>
              </w:rPr>
            </w:pPr>
            <w:r>
              <w:rPr>
                <w:rFonts w:hint="eastAsia" w:ascii="仿宋" w:hAnsi="仿宋" w:cs="仿宋"/>
                <w:color w:val="auto"/>
              </w:rPr>
              <w:t>1、投标人自2021年1月1日起有全国职业院校技能大赛（http://www.chinaskills-jsw.org/技术支持经验的，每提供一个赛项的证明材料得3分，最多得6分（以大赛办公布的文件或竞赛官网截图、组委会盖章的荣誉证书为准）</w:t>
            </w:r>
            <w:r>
              <w:rPr>
                <w:rFonts w:hint="eastAsia" w:ascii="仿宋" w:hAnsi="仿宋" w:cs="仿宋"/>
                <w:color w:val="auto"/>
                <w:szCs w:val="20"/>
              </w:rPr>
              <w:t>未提供证明材料或者提供的证明材料不符合要求或提供的证明材料不清晰导致评审专家无法辨认的，不得分。</w:t>
            </w:r>
          </w:p>
          <w:p>
            <w:pPr>
              <w:widowControl/>
              <w:rPr>
                <w:rFonts w:hint="eastAsia" w:ascii="仿宋" w:hAnsi="仿宋" w:cs="仿宋"/>
                <w:color w:val="auto"/>
                <w:szCs w:val="21"/>
              </w:rPr>
            </w:pPr>
            <w:r>
              <w:rPr>
                <w:rFonts w:hint="eastAsia" w:ascii="仿宋" w:hAnsi="仿宋" w:cs="仿宋"/>
                <w:color w:val="auto"/>
              </w:rPr>
              <w:t>2、投标人为1+X证书（https://vslc.ncb.edu.cn/）或人社部全国技能人才库（http://jndj.osta.org.cn/）认可的社会培训评价机构，提供网页证明材料得3分。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688" w:type="dxa"/>
            <w:noWrap w:val="0"/>
            <w:vAlign w:val="center"/>
          </w:tcPr>
          <w:p>
            <w:pPr>
              <w:jc w:val="center"/>
              <w:rPr>
                <w:rFonts w:hint="eastAsia" w:ascii="仿宋" w:hAnsi="仿宋" w:cs="仿宋"/>
                <w:color w:val="auto"/>
                <w:szCs w:val="21"/>
              </w:rPr>
            </w:pPr>
            <w:r>
              <w:rPr>
                <w:rFonts w:hint="eastAsia" w:ascii="仿宋" w:hAnsi="仿宋" w:cs="仿宋"/>
                <w:color w:val="auto"/>
                <w:szCs w:val="21"/>
                <w:lang w:val="en-US" w:eastAsia="zh-CN"/>
              </w:rPr>
              <w:t>3.</w:t>
            </w:r>
            <w:r>
              <w:rPr>
                <w:rFonts w:hint="eastAsia" w:ascii="仿宋" w:hAnsi="仿宋" w:cs="仿宋"/>
                <w:color w:val="auto"/>
                <w:szCs w:val="21"/>
              </w:rPr>
              <w:t>2</w:t>
            </w:r>
          </w:p>
        </w:tc>
        <w:tc>
          <w:tcPr>
            <w:tcW w:w="757" w:type="dxa"/>
            <w:noWrap w:val="0"/>
            <w:vAlign w:val="center"/>
          </w:tcPr>
          <w:p>
            <w:pPr>
              <w:pStyle w:val="12"/>
              <w:jc w:val="center"/>
              <w:rPr>
                <w:rFonts w:hint="eastAsia" w:ascii="仿宋" w:hAnsi="仿宋" w:cs="仿宋"/>
                <w:color w:val="auto"/>
              </w:rPr>
            </w:pPr>
            <w:r>
              <w:rPr>
                <w:rFonts w:hint="eastAsia" w:ascii="仿宋" w:hAnsi="仿宋" w:cs="仿宋"/>
                <w:color w:val="auto"/>
              </w:rPr>
              <w:t>同类项目业绩</w:t>
            </w:r>
          </w:p>
        </w:tc>
        <w:tc>
          <w:tcPr>
            <w:tcW w:w="839" w:type="dxa"/>
            <w:noWrap w:val="0"/>
            <w:vAlign w:val="center"/>
          </w:tcPr>
          <w:p>
            <w:pPr>
              <w:pStyle w:val="12"/>
              <w:jc w:val="center"/>
              <w:rPr>
                <w:rFonts w:hint="eastAsia" w:ascii="仿宋" w:hAnsi="仿宋" w:cs="仿宋"/>
                <w:color w:val="auto"/>
              </w:rPr>
            </w:pPr>
            <w:r>
              <w:rPr>
                <w:rFonts w:hint="eastAsia" w:ascii="仿宋" w:hAnsi="仿宋" w:cs="仿宋"/>
                <w:color w:val="auto"/>
              </w:rPr>
              <w:t>3</w:t>
            </w:r>
          </w:p>
        </w:tc>
        <w:tc>
          <w:tcPr>
            <w:tcW w:w="6077" w:type="dxa"/>
            <w:noWrap w:val="0"/>
            <w:vAlign w:val="top"/>
          </w:tcPr>
          <w:p>
            <w:pPr>
              <w:widowControl/>
              <w:wordWrap w:val="0"/>
              <w:autoSpaceDE w:val="0"/>
              <w:autoSpaceDN w:val="0"/>
              <w:spacing w:line="240" w:lineRule="auto"/>
              <w:rPr>
                <w:rFonts w:hint="eastAsia" w:ascii="仿宋" w:hAnsi="仿宋" w:cs="仿宋"/>
                <w:b/>
                <w:bCs/>
                <w:color w:val="auto"/>
                <w:szCs w:val="21"/>
                <w:lang w:val="zh-CN"/>
              </w:rPr>
            </w:pPr>
            <w:r>
              <w:rPr>
                <w:rFonts w:hint="eastAsia" w:ascii="仿宋" w:hAnsi="仿宋" w:cs="仿宋"/>
                <w:b/>
                <w:bCs/>
                <w:color w:val="auto"/>
                <w:szCs w:val="21"/>
              </w:rPr>
              <w:t>(一）</w:t>
            </w:r>
            <w:r>
              <w:rPr>
                <w:rFonts w:hint="eastAsia" w:ascii="仿宋" w:hAnsi="仿宋" w:cs="仿宋"/>
                <w:b/>
                <w:bCs/>
                <w:color w:val="auto"/>
                <w:szCs w:val="21"/>
                <w:lang w:val="zh-CN"/>
              </w:rPr>
              <w:t>评审内容：</w:t>
            </w:r>
          </w:p>
          <w:p>
            <w:pPr>
              <w:widowControl/>
              <w:wordWrap w:val="0"/>
              <w:autoSpaceDE w:val="0"/>
              <w:autoSpaceDN w:val="0"/>
              <w:rPr>
                <w:rFonts w:hint="eastAsia" w:ascii="仿宋" w:hAnsi="仿宋" w:cs="仿宋"/>
                <w:color w:val="auto"/>
                <w:szCs w:val="20"/>
              </w:rPr>
            </w:pPr>
            <w:r>
              <w:rPr>
                <w:rFonts w:hint="eastAsia" w:ascii="仿宋" w:hAnsi="仿宋" w:cs="仿宋"/>
                <w:color w:val="auto"/>
                <w:szCs w:val="20"/>
              </w:rPr>
              <w:t>投标人</w:t>
            </w:r>
            <w:r>
              <w:rPr>
                <w:rFonts w:hint="eastAsia" w:ascii="仿宋" w:hAnsi="仿宋" w:cs="仿宋"/>
                <w:color w:val="FF0000"/>
                <w:szCs w:val="20"/>
              </w:rPr>
              <w:t>20</w:t>
            </w:r>
            <w:r>
              <w:rPr>
                <w:rFonts w:hint="eastAsia" w:ascii="仿宋" w:hAnsi="仿宋" w:cs="仿宋"/>
                <w:color w:val="FF0000"/>
                <w:szCs w:val="20"/>
                <w:lang w:val="en-US" w:eastAsia="zh-CN"/>
              </w:rPr>
              <w:t>21</w:t>
            </w:r>
            <w:bookmarkStart w:id="8" w:name="_GoBack"/>
            <w:bookmarkEnd w:id="8"/>
            <w:r>
              <w:rPr>
                <w:rFonts w:hint="eastAsia" w:ascii="仿宋" w:hAnsi="仿宋" w:cs="仿宋"/>
                <w:color w:val="FF0000"/>
                <w:szCs w:val="20"/>
              </w:rPr>
              <w:t>年1月1日至今</w:t>
            </w:r>
            <w:r>
              <w:rPr>
                <w:rFonts w:hint="eastAsia" w:ascii="仿宋" w:hAnsi="仿宋" w:cs="仿宋"/>
                <w:color w:val="auto"/>
                <w:szCs w:val="20"/>
              </w:rPr>
              <w:t>（以合同签订时间为准）具有同类项目业绩，每项得1分，最高3分，需提供合同关键页复印件，不符合或不提供不得分。</w:t>
            </w:r>
          </w:p>
          <w:p>
            <w:pPr>
              <w:widowControl/>
              <w:numPr>
                <w:ilvl w:val="0"/>
                <w:numId w:val="1"/>
              </w:numPr>
              <w:wordWrap w:val="0"/>
              <w:autoSpaceDE w:val="0"/>
              <w:autoSpaceDN w:val="0"/>
              <w:spacing w:line="240" w:lineRule="auto"/>
              <w:rPr>
                <w:rFonts w:hint="eastAsia" w:ascii="仿宋" w:hAnsi="仿宋" w:cs="仿宋"/>
                <w:b/>
                <w:bCs/>
                <w:color w:val="auto"/>
                <w:szCs w:val="21"/>
                <w:lang w:val="zh-CN"/>
              </w:rPr>
            </w:pPr>
            <w:r>
              <w:rPr>
                <w:rFonts w:hint="eastAsia" w:ascii="仿宋" w:hAnsi="仿宋" w:cs="仿宋"/>
                <w:b/>
                <w:bCs/>
                <w:color w:val="auto"/>
                <w:szCs w:val="21"/>
                <w:lang w:val="zh-CN"/>
              </w:rPr>
              <w:t>评分标准：</w:t>
            </w:r>
          </w:p>
          <w:p>
            <w:pPr>
              <w:widowControl/>
              <w:wordWrap w:val="0"/>
              <w:autoSpaceDE w:val="0"/>
              <w:autoSpaceDN w:val="0"/>
              <w:spacing w:line="240" w:lineRule="auto"/>
              <w:rPr>
                <w:rFonts w:hint="eastAsia" w:ascii="仿宋" w:hAnsi="仿宋" w:cs="仿宋"/>
                <w:b/>
                <w:bCs/>
                <w:color w:val="auto"/>
                <w:sz w:val="24"/>
              </w:rPr>
            </w:pPr>
            <w:r>
              <w:rPr>
                <w:rFonts w:hint="eastAsia" w:ascii="仿宋" w:hAnsi="仿宋" w:cs="仿宋"/>
                <w:color w:val="auto"/>
                <w:szCs w:val="20"/>
              </w:rPr>
              <w:t>需提供合同关键页扫描件并加盖投标人公章，原件备查，未提供证明材料或者提供的证明材料不符合要求或提供的证明材料不清晰导致评审专家无法辨认的，不得分。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688" w:type="dxa"/>
            <w:noWrap w:val="0"/>
            <w:vAlign w:val="center"/>
          </w:tcPr>
          <w:p>
            <w:pPr>
              <w:jc w:val="center"/>
              <w:rPr>
                <w:rFonts w:hint="eastAsia" w:ascii="仿宋" w:hAnsi="仿宋" w:cs="仿宋"/>
                <w:color w:val="auto"/>
                <w:szCs w:val="21"/>
              </w:rPr>
            </w:pPr>
            <w:r>
              <w:rPr>
                <w:rFonts w:hint="eastAsia" w:ascii="仿宋" w:hAnsi="仿宋" w:cs="仿宋"/>
                <w:color w:val="auto"/>
                <w:szCs w:val="21"/>
                <w:lang w:val="en-US" w:eastAsia="zh-CN"/>
              </w:rPr>
              <w:t>3.</w:t>
            </w:r>
            <w:r>
              <w:rPr>
                <w:rFonts w:hint="eastAsia" w:ascii="仿宋" w:hAnsi="仿宋" w:cs="仿宋"/>
                <w:color w:val="auto"/>
                <w:szCs w:val="21"/>
              </w:rPr>
              <w:t>3</w:t>
            </w:r>
          </w:p>
        </w:tc>
        <w:tc>
          <w:tcPr>
            <w:tcW w:w="757" w:type="dxa"/>
            <w:noWrap w:val="0"/>
            <w:vAlign w:val="center"/>
          </w:tcPr>
          <w:p>
            <w:pPr>
              <w:pStyle w:val="12"/>
              <w:jc w:val="center"/>
              <w:rPr>
                <w:rFonts w:hint="eastAsia" w:ascii="仿宋" w:hAnsi="仿宋" w:cs="仿宋"/>
                <w:color w:val="auto"/>
              </w:rPr>
            </w:pPr>
            <w:r>
              <w:rPr>
                <w:rFonts w:hint="eastAsia" w:ascii="仿宋" w:hAnsi="仿宋" w:cs="仿宋"/>
                <w:color w:val="auto"/>
              </w:rPr>
              <w:t>体系认证情况评价</w:t>
            </w:r>
          </w:p>
        </w:tc>
        <w:tc>
          <w:tcPr>
            <w:tcW w:w="839" w:type="dxa"/>
            <w:noWrap w:val="0"/>
            <w:vAlign w:val="center"/>
          </w:tcPr>
          <w:p>
            <w:pPr>
              <w:pStyle w:val="12"/>
              <w:jc w:val="center"/>
              <w:rPr>
                <w:rFonts w:hint="eastAsia" w:ascii="仿宋" w:hAnsi="仿宋" w:cs="仿宋"/>
                <w:color w:val="auto"/>
              </w:rPr>
            </w:pPr>
            <w:r>
              <w:rPr>
                <w:rFonts w:hint="eastAsia" w:ascii="仿宋" w:hAnsi="仿宋" w:cs="仿宋"/>
                <w:color w:val="auto"/>
              </w:rPr>
              <w:t>3</w:t>
            </w:r>
          </w:p>
        </w:tc>
        <w:tc>
          <w:tcPr>
            <w:tcW w:w="6077" w:type="dxa"/>
            <w:noWrap w:val="0"/>
            <w:vAlign w:val="top"/>
          </w:tcPr>
          <w:p>
            <w:pPr>
              <w:widowControl/>
              <w:wordWrap w:val="0"/>
              <w:autoSpaceDE w:val="0"/>
              <w:autoSpaceDN w:val="0"/>
              <w:spacing w:line="240" w:lineRule="auto"/>
              <w:rPr>
                <w:rFonts w:hint="eastAsia" w:ascii="仿宋" w:hAnsi="仿宋" w:cs="仿宋"/>
                <w:b/>
                <w:bCs/>
                <w:color w:val="auto"/>
                <w:szCs w:val="21"/>
                <w:lang w:val="zh-CN"/>
              </w:rPr>
            </w:pPr>
            <w:r>
              <w:rPr>
                <w:rFonts w:hint="eastAsia" w:ascii="仿宋" w:hAnsi="仿宋" w:cs="仿宋"/>
                <w:b/>
                <w:bCs/>
                <w:color w:val="auto"/>
                <w:szCs w:val="21"/>
              </w:rPr>
              <w:t>(一）</w:t>
            </w:r>
            <w:r>
              <w:rPr>
                <w:rFonts w:hint="eastAsia" w:ascii="仿宋" w:hAnsi="仿宋" w:cs="仿宋"/>
                <w:b/>
                <w:bCs/>
                <w:color w:val="auto"/>
                <w:szCs w:val="21"/>
                <w:lang w:val="zh-CN"/>
              </w:rPr>
              <w:t>评审内容：</w:t>
            </w:r>
          </w:p>
          <w:p>
            <w:pPr>
              <w:widowControl/>
              <w:wordWrap w:val="0"/>
              <w:autoSpaceDE w:val="0"/>
              <w:autoSpaceDN w:val="0"/>
              <w:rPr>
                <w:rFonts w:hint="eastAsia" w:ascii="仿宋" w:hAnsi="仿宋" w:cs="仿宋"/>
                <w:color w:val="auto"/>
                <w:szCs w:val="20"/>
              </w:rPr>
            </w:pPr>
            <w:r>
              <w:rPr>
                <w:rFonts w:hint="eastAsia" w:ascii="仿宋" w:hAnsi="仿宋" w:cs="仿宋"/>
                <w:color w:val="auto"/>
                <w:szCs w:val="20"/>
              </w:rPr>
              <w:t>投标人具有有效的质量管理体系认证、环境管理体系认证、职业健康安全管理体系认证，每提供1个得1分，最高3分，不提供不得分。</w:t>
            </w:r>
          </w:p>
          <w:p>
            <w:pPr>
              <w:rPr>
                <w:rFonts w:hint="eastAsia" w:ascii="仿宋" w:hAnsi="仿宋" w:cs="仿宋"/>
                <w:color w:val="auto"/>
              </w:rPr>
            </w:pPr>
            <w:r>
              <w:rPr>
                <w:rFonts w:hint="eastAsia" w:ascii="仿宋" w:hAnsi="仿宋" w:cs="仿宋"/>
                <w:b/>
                <w:bCs/>
                <w:color w:val="auto"/>
                <w:szCs w:val="21"/>
              </w:rPr>
              <w:t>（二）</w:t>
            </w:r>
            <w:r>
              <w:rPr>
                <w:rFonts w:hint="eastAsia" w:ascii="仿宋" w:hAnsi="仿宋" w:cs="仿宋"/>
                <w:b/>
                <w:bCs/>
                <w:color w:val="auto"/>
                <w:szCs w:val="21"/>
                <w:lang w:val="zh-CN"/>
              </w:rPr>
              <w:t>评分标准：</w:t>
            </w:r>
          </w:p>
          <w:p>
            <w:pPr>
              <w:widowControl/>
              <w:wordWrap w:val="0"/>
              <w:autoSpaceDE w:val="0"/>
              <w:autoSpaceDN w:val="0"/>
              <w:spacing w:line="240" w:lineRule="auto"/>
              <w:rPr>
                <w:rFonts w:hint="eastAsia" w:ascii="仿宋" w:hAnsi="仿宋" w:cs="仿宋"/>
                <w:b/>
                <w:bCs/>
                <w:color w:val="auto"/>
                <w:sz w:val="24"/>
              </w:rPr>
            </w:pPr>
            <w:r>
              <w:rPr>
                <w:rFonts w:hint="eastAsia" w:ascii="仿宋" w:hAnsi="仿宋" w:cs="仿宋"/>
                <w:color w:val="auto"/>
                <w:szCs w:val="20"/>
              </w:rPr>
              <w:t>提供证书复印件或扫描件加盖投标人公章，原件备查，未提供或提供不清晰导致无法判断的不得分。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284" w:type="dxa"/>
            <w:gridSpan w:val="3"/>
            <w:noWrap w:val="0"/>
            <w:vAlign w:val="center"/>
          </w:tcPr>
          <w:p>
            <w:pPr>
              <w:jc w:val="center"/>
              <w:rPr>
                <w:rFonts w:hint="eastAsia" w:ascii="仿宋" w:hAnsi="仿宋" w:cs="仿宋"/>
                <w:b/>
                <w:color w:val="auto"/>
                <w:szCs w:val="21"/>
              </w:rPr>
            </w:pPr>
            <w:r>
              <w:rPr>
                <w:rFonts w:hint="eastAsia" w:ascii="仿宋" w:hAnsi="仿宋" w:cs="仿宋"/>
                <w:b/>
                <w:color w:val="auto"/>
                <w:szCs w:val="21"/>
              </w:rPr>
              <w:t>诚信情况</w:t>
            </w:r>
          </w:p>
        </w:tc>
        <w:tc>
          <w:tcPr>
            <w:tcW w:w="6077" w:type="dxa"/>
            <w:noWrap w:val="0"/>
            <w:vAlign w:val="center"/>
          </w:tcPr>
          <w:p>
            <w:pPr>
              <w:pStyle w:val="14"/>
              <w:pBdr>
                <w:bottom w:val="none" w:color="auto" w:sz="0" w:space="0"/>
              </w:pBdr>
              <w:tabs>
                <w:tab w:val="clear" w:pos="4153"/>
                <w:tab w:val="clear" w:pos="8306"/>
              </w:tabs>
              <w:rPr>
                <w:rFonts w:hint="eastAsia" w:ascii="仿宋" w:hAnsi="仿宋" w:cs="仿宋"/>
                <w:b/>
                <w:color w:val="auto"/>
                <w:kern w:val="2"/>
                <w:sz w:val="21"/>
                <w:szCs w:val="21"/>
              </w:rPr>
            </w:pPr>
            <w:r>
              <w:rPr>
                <w:rFonts w:hint="eastAsia" w:ascii="仿宋" w:hAnsi="仿宋" w:cs="仿宋"/>
                <w:b/>
                <w:color w:val="auto"/>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688" w:type="dxa"/>
            <w:noWrap w:val="0"/>
            <w:vAlign w:val="center"/>
          </w:tcPr>
          <w:p>
            <w:pPr>
              <w:jc w:val="center"/>
              <w:rPr>
                <w:rFonts w:hint="eastAsia" w:ascii="仿宋" w:hAnsi="仿宋" w:cs="仿宋"/>
                <w:b/>
                <w:color w:val="auto"/>
                <w:szCs w:val="21"/>
              </w:rPr>
            </w:pPr>
            <w:r>
              <w:rPr>
                <w:rFonts w:hint="eastAsia" w:ascii="仿宋" w:hAnsi="仿宋" w:cs="仿宋"/>
                <w:b/>
                <w:color w:val="auto"/>
                <w:szCs w:val="21"/>
              </w:rPr>
              <w:t>序号</w:t>
            </w:r>
          </w:p>
        </w:tc>
        <w:tc>
          <w:tcPr>
            <w:tcW w:w="757" w:type="dxa"/>
            <w:noWrap w:val="0"/>
            <w:vAlign w:val="center"/>
          </w:tcPr>
          <w:p>
            <w:pPr>
              <w:jc w:val="center"/>
              <w:rPr>
                <w:rFonts w:hint="eastAsia" w:ascii="仿宋" w:hAnsi="仿宋" w:cs="仿宋"/>
                <w:b/>
                <w:color w:val="auto"/>
                <w:szCs w:val="21"/>
              </w:rPr>
            </w:pPr>
            <w:r>
              <w:rPr>
                <w:rFonts w:hint="eastAsia" w:ascii="仿宋" w:hAnsi="仿宋" w:cs="仿宋"/>
                <w:b/>
                <w:color w:val="auto"/>
                <w:szCs w:val="21"/>
              </w:rPr>
              <w:t>评分因素</w:t>
            </w:r>
          </w:p>
        </w:tc>
        <w:tc>
          <w:tcPr>
            <w:tcW w:w="839" w:type="dxa"/>
            <w:noWrap w:val="0"/>
            <w:vAlign w:val="center"/>
          </w:tcPr>
          <w:p>
            <w:pPr>
              <w:jc w:val="center"/>
              <w:rPr>
                <w:rFonts w:hint="eastAsia" w:ascii="仿宋" w:hAnsi="仿宋" w:cs="仿宋"/>
                <w:b/>
                <w:color w:val="auto"/>
                <w:szCs w:val="21"/>
              </w:rPr>
            </w:pPr>
            <w:r>
              <w:rPr>
                <w:rFonts w:hint="eastAsia" w:ascii="仿宋" w:hAnsi="仿宋" w:cs="仿宋"/>
                <w:b/>
                <w:color w:val="auto"/>
                <w:szCs w:val="21"/>
              </w:rPr>
              <w:t>权重</w:t>
            </w:r>
          </w:p>
        </w:tc>
        <w:tc>
          <w:tcPr>
            <w:tcW w:w="6077" w:type="dxa"/>
            <w:noWrap w:val="0"/>
            <w:vAlign w:val="center"/>
          </w:tcPr>
          <w:p>
            <w:pPr>
              <w:jc w:val="center"/>
              <w:rPr>
                <w:rFonts w:hint="eastAsia" w:ascii="仿宋" w:hAnsi="仿宋" w:cs="仿宋"/>
                <w:b/>
                <w:color w:val="auto"/>
                <w:szCs w:val="21"/>
              </w:rPr>
            </w:pPr>
            <w:r>
              <w:rPr>
                <w:rFonts w:hint="eastAsia" w:ascii="仿宋" w:hAnsi="仿宋" w:cs="仿宋"/>
                <w:b/>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688" w:type="dxa"/>
            <w:noWrap w:val="0"/>
            <w:vAlign w:val="center"/>
          </w:tcPr>
          <w:p>
            <w:pPr>
              <w:jc w:val="center"/>
              <w:rPr>
                <w:rFonts w:hint="eastAsia" w:ascii="仿宋" w:hAnsi="仿宋" w:eastAsia="宋体" w:cs="仿宋"/>
                <w:b/>
                <w:color w:val="auto"/>
                <w:szCs w:val="21"/>
                <w:lang w:val="en-US" w:eastAsia="zh-CN"/>
              </w:rPr>
            </w:pPr>
            <w:r>
              <w:rPr>
                <w:rFonts w:hint="eastAsia" w:ascii="仿宋" w:hAnsi="仿宋" w:cs="仿宋"/>
                <w:b w:val="0"/>
                <w:bCs/>
                <w:color w:val="auto"/>
                <w:szCs w:val="21"/>
                <w:lang w:val="en-US" w:eastAsia="zh-CN"/>
              </w:rPr>
              <w:t>4</w:t>
            </w:r>
          </w:p>
        </w:tc>
        <w:tc>
          <w:tcPr>
            <w:tcW w:w="757" w:type="dxa"/>
            <w:noWrap w:val="0"/>
            <w:vAlign w:val="center"/>
          </w:tcPr>
          <w:p>
            <w:pPr>
              <w:jc w:val="center"/>
              <w:rPr>
                <w:rFonts w:hint="eastAsia" w:ascii="仿宋" w:hAnsi="仿宋" w:cs="仿宋"/>
                <w:b/>
                <w:color w:val="auto"/>
                <w:szCs w:val="21"/>
              </w:rPr>
            </w:pPr>
            <w:r>
              <w:rPr>
                <w:rFonts w:hint="eastAsia" w:ascii="仿宋" w:hAnsi="仿宋" w:cs="仿宋"/>
                <w:b/>
                <w:color w:val="auto"/>
                <w:szCs w:val="21"/>
              </w:rPr>
              <w:t>诚信评价</w:t>
            </w:r>
          </w:p>
          <w:p>
            <w:pPr>
              <w:jc w:val="center"/>
              <w:rPr>
                <w:rFonts w:hint="eastAsia" w:ascii="仿宋" w:hAnsi="仿宋" w:cs="仿宋"/>
                <w:b/>
                <w:color w:val="auto"/>
                <w:szCs w:val="21"/>
              </w:rPr>
            </w:pPr>
          </w:p>
        </w:tc>
        <w:tc>
          <w:tcPr>
            <w:tcW w:w="839" w:type="dxa"/>
            <w:noWrap w:val="0"/>
            <w:vAlign w:val="center"/>
          </w:tcPr>
          <w:p>
            <w:pPr>
              <w:jc w:val="center"/>
              <w:rPr>
                <w:rFonts w:hint="eastAsia" w:ascii="仿宋" w:hAnsi="仿宋" w:cs="仿宋"/>
                <w:b/>
                <w:color w:val="auto"/>
                <w:szCs w:val="21"/>
              </w:rPr>
            </w:pPr>
            <w:r>
              <w:rPr>
                <w:rFonts w:hint="eastAsia" w:ascii="仿宋" w:hAnsi="仿宋" w:cs="仿宋"/>
                <w:b/>
                <w:color w:val="auto"/>
                <w:szCs w:val="21"/>
              </w:rPr>
              <w:t xml:space="preserve">5 </w:t>
            </w:r>
          </w:p>
        </w:tc>
        <w:tc>
          <w:tcPr>
            <w:tcW w:w="6077" w:type="dxa"/>
            <w:noWrap w:val="0"/>
            <w:vAlign w:val="top"/>
          </w:tcPr>
          <w:p>
            <w:pPr>
              <w:rPr>
                <w:rFonts w:hint="eastAsia" w:ascii="仿宋" w:hAnsi="仿宋" w:cs="仿宋"/>
                <w:b/>
                <w:color w:val="auto"/>
                <w:szCs w:val="21"/>
              </w:rPr>
            </w:pPr>
            <w:r>
              <w:rPr>
                <w:rFonts w:hint="eastAsia" w:ascii="仿宋" w:hAnsi="仿宋" w:cs="仿宋"/>
                <w:b w:val="0"/>
                <w:bCs/>
                <w:color w:val="auto"/>
                <w:szCs w:val="21"/>
              </w:rPr>
              <w:t>投标人在参与政府采购活动中存在诚信相关问题且在主管部门相关处理措施实施期限内的，本项不得分，否则得满分。投标人无需提供任何证明材料，由评标工作人员向评委会提供相关信息。</w:t>
            </w:r>
          </w:p>
        </w:tc>
      </w:tr>
    </w:tbl>
    <w:p>
      <w:pPr>
        <w:pStyle w:val="3"/>
        <w:rPr>
          <w:rFonts w:hint="eastAsia"/>
        </w:rPr>
      </w:pPr>
    </w:p>
    <w:p>
      <w:pPr>
        <w:pStyle w:val="3"/>
      </w:pPr>
      <w:r>
        <w:rPr>
          <w:rFonts w:hint="eastAsia"/>
        </w:rPr>
        <w:t>第二章  项目需求</w:t>
      </w:r>
    </w:p>
    <w:p>
      <w:pPr>
        <w:pStyle w:val="6"/>
        <w:spacing w:before="156" w:beforeLines="50" w:after="156" w:afterLines="50"/>
        <w:rPr>
          <w:rFonts w:cs="宋体"/>
          <w:szCs w:val="28"/>
        </w:rPr>
      </w:pPr>
      <w:bookmarkStart w:id="0" w:name="_Toc101074876"/>
      <w:bookmarkStart w:id="1" w:name="_Toc60560625"/>
      <w:bookmarkStart w:id="2" w:name="_Toc60631620"/>
      <w:bookmarkStart w:id="3" w:name="_Toc73517639"/>
      <w:bookmarkStart w:id="4" w:name="_Toc73521635"/>
      <w:bookmarkStart w:id="5" w:name="_Toc100052364"/>
      <w:bookmarkStart w:id="6" w:name="_Toc73521547"/>
      <w:bookmarkStart w:id="7" w:name="_Toc73518117"/>
      <w:r>
        <w:rPr>
          <w:rFonts w:hint="eastAsia" w:cs="宋体"/>
          <w:szCs w:val="28"/>
        </w:rPr>
        <w:t>一、项目概况</w:t>
      </w:r>
    </w:p>
    <w:bookmarkEnd w:id="0"/>
    <w:bookmarkEnd w:id="1"/>
    <w:bookmarkEnd w:id="2"/>
    <w:bookmarkEnd w:id="3"/>
    <w:bookmarkEnd w:id="4"/>
    <w:bookmarkEnd w:id="5"/>
    <w:bookmarkEnd w:id="6"/>
    <w:bookmarkEnd w:id="7"/>
    <w:p>
      <w:pPr>
        <w:rPr>
          <w:rFonts w:ascii="宋体" w:hAnsi="宋体" w:cs="宋体"/>
          <w:szCs w:val="21"/>
        </w:rPr>
      </w:pPr>
      <w:r>
        <w:rPr>
          <w:rFonts w:hint="eastAsia" w:ascii="宋体" w:hAnsi="宋体" w:cs="宋体"/>
          <w:szCs w:val="21"/>
        </w:rPr>
        <w:t>本项目</w:t>
      </w:r>
      <w:r>
        <w:rPr>
          <w:rFonts w:ascii="宋体" w:hAnsi="宋体" w:cs="宋体"/>
          <w:szCs w:val="21"/>
        </w:rPr>
        <w:t>为</w:t>
      </w:r>
      <w:r>
        <w:rPr>
          <w:rFonts w:hint="eastAsia" w:ascii="宋体" w:hAnsi="宋体" w:cs="宋体"/>
          <w:szCs w:val="21"/>
        </w:rPr>
        <w:t>深圳市第一职业技术</w:t>
      </w:r>
      <w:r>
        <w:rPr>
          <w:rFonts w:hint="eastAsia" w:ascii="宋体" w:hAnsi="宋体" w:cs="宋体"/>
          <w:szCs w:val="21"/>
          <w:lang w:eastAsia="zh-CN"/>
        </w:rPr>
        <w:t>企业会计理实一体化软件采购</w:t>
      </w:r>
      <w:r>
        <w:rPr>
          <w:rFonts w:hint="eastAsia" w:ascii="宋体" w:hAnsi="宋体" w:cs="宋体"/>
          <w:szCs w:val="21"/>
        </w:rPr>
        <w:t>项目。</w:t>
      </w:r>
    </w:p>
    <w:p>
      <w:pPr>
        <w:pStyle w:val="6"/>
        <w:numPr>
          <w:ilvl w:val="0"/>
          <w:numId w:val="2"/>
        </w:numPr>
        <w:spacing w:before="156" w:beforeLines="50" w:after="156" w:afterLines="50"/>
        <w:rPr>
          <w:rFonts w:cs="宋体"/>
          <w:szCs w:val="28"/>
        </w:rPr>
      </w:pPr>
      <w:r>
        <w:rPr>
          <w:rFonts w:hint="eastAsia" w:cs="宋体"/>
          <w:szCs w:val="28"/>
          <w:lang w:val="en-US" w:eastAsia="zh-CN"/>
        </w:rPr>
        <w:t>货物</w:t>
      </w:r>
      <w:r>
        <w:rPr>
          <w:rFonts w:hint="eastAsia" w:cs="宋体"/>
          <w:szCs w:val="28"/>
        </w:rPr>
        <w:t>清单</w:t>
      </w:r>
    </w:p>
    <w:tbl>
      <w:tblPr>
        <w:tblStyle w:val="16"/>
        <w:tblW w:w="54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2015"/>
        <w:gridCol w:w="2613"/>
        <w:gridCol w:w="1429"/>
        <w:gridCol w:w="790"/>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shd w:val="clear" w:color="auto" w:fill="auto"/>
            <w:noWrap w:val="0"/>
            <w:vAlign w:val="center"/>
          </w:tcPr>
          <w:p>
            <w:pPr>
              <w:pStyle w:val="9"/>
              <w:jc w:val="center"/>
              <w:rPr>
                <w:rFonts w:hint="eastAsia"/>
                <w:b w:val="0"/>
                <w:bCs w:val="0"/>
              </w:rPr>
            </w:pPr>
            <w:r>
              <w:rPr>
                <w:rFonts w:hint="eastAsia"/>
                <w:b w:val="0"/>
                <w:bCs w:val="0"/>
              </w:rPr>
              <w:t>序号</w:t>
            </w:r>
          </w:p>
        </w:tc>
        <w:tc>
          <w:tcPr>
            <w:tcW w:w="1091" w:type="pct"/>
            <w:shd w:val="clear" w:color="auto" w:fill="auto"/>
            <w:noWrap w:val="0"/>
            <w:vAlign w:val="top"/>
          </w:tcPr>
          <w:p>
            <w:pPr>
              <w:pStyle w:val="9"/>
              <w:jc w:val="center"/>
              <w:rPr>
                <w:b w:val="0"/>
                <w:bCs w:val="0"/>
              </w:rPr>
            </w:pPr>
            <w:r>
              <w:rPr>
                <w:rFonts w:hint="eastAsia"/>
                <w:b w:val="0"/>
                <w:bCs w:val="0"/>
              </w:rPr>
              <w:t>采购计划编号/财务流水编号</w:t>
            </w:r>
          </w:p>
        </w:tc>
        <w:tc>
          <w:tcPr>
            <w:tcW w:w="1415" w:type="pct"/>
            <w:shd w:val="clear" w:color="auto" w:fill="auto"/>
            <w:noWrap w:val="0"/>
            <w:vAlign w:val="center"/>
          </w:tcPr>
          <w:p>
            <w:pPr>
              <w:pStyle w:val="9"/>
              <w:jc w:val="center"/>
              <w:rPr>
                <w:rFonts w:hint="eastAsia"/>
                <w:b w:val="0"/>
                <w:bCs w:val="0"/>
              </w:rPr>
            </w:pPr>
            <w:r>
              <w:rPr>
                <w:rFonts w:hint="eastAsia"/>
                <w:b w:val="0"/>
                <w:bCs w:val="0"/>
              </w:rPr>
              <w:t>货物名称</w:t>
            </w:r>
          </w:p>
        </w:tc>
        <w:tc>
          <w:tcPr>
            <w:tcW w:w="774" w:type="pct"/>
            <w:shd w:val="clear" w:color="auto" w:fill="auto"/>
            <w:noWrap w:val="0"/>
            <w:vAlign w:val="center"/>
          </w:tcPr>
          <w:p>
            <w:pPr>
              <w:pStyle w:val="9"/>
              <w:jc w:val="center"/>
              <w:rPr>
                <w:rFonts w:hint="eastAsia"/>
                <w:b w:val="0"/>
                <w:bCs w:val="0"/>
              </w:rPr>
            </w:pPr>
            <w:r>
              <w:rPr>
                <w:rFonts w:hint="eastAsia"/>
                <w:b w:val="0"/>
                <w:bCs w:val="0"/>
              </w:rPr>
              <w:t>数量</w:t>
            </w:r>
          </w:p>
        </w:tc>
        <w:tc>
          <w:tcPr>
            <w:tcW w:w="428" w:type="pct"/>
            <w:shd w:val="clear" w:color="auto" w:fill="auto"/>
            <w:noWrap w:val="0"/>
            <w:vAlign w:val="center"/>
          </w:tcPr>
          <w:p>
            <w:pPr>
              <w:pStyle w:val="9"/>
              <w:jc w:val="center"/>
              <w:rPr>
                <w:rFonts w:hint="eastAsia"/>
                <w:b w:val="0"/>
                <w:bCs w:val="0"/>
              </w:rPr>
            </w:pPr>
            <w:r>
              <w:rPr>
                <w:rFonts w:hint="eastAsia"/>
                <w:b w:val="0"/>
                <w:bCs w:val="0"/>
              </w:rPr>
              <w:t>单位</w:t>
            </w:r>
          </w:p>
        </w:tc>
        <w:tc>
          <w:tcPr>
            <w:tcW w:w="834" w:type="pct"/>
            <w:shd w:val="clear" w:color="auto" w:fill="auto"/>
            <w:noWrap w:val="0"/>
            <w:vAlign w:val="center"/>
          </w:tcPr>
          <w:p>
            <w:pPr>
              <w:pStyle w:val="9"/>
              <w:jc w:val="center"/>
              <w:rPr>
                <w:rFonts w:hint="eastAsia"/>
                <w:b w:val="0"/>
                <w:bCs w:val="0"/>
              </w:rPr>
            </w:pPr>
            <w:r>
              <w:rPr>
                <w:rFonts w:hint="eastAsia"/>
                <w:b w:val="0"/>
                <w:bCs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shd w:val="clear" w:color="auto" w:fill="auto"/>
            <w:noWrap w:val="0"/>
            <w:vAlign w:val="center"/>
          </w:tcPr>
          <w:p>
            <w:pPr>
              <w:pStyle w:val="9"/>
              <w:jc w:val="center"/>
              <w:rPr>
                <w:rFonts w:hint="eastAsia" w:ascii="仿宋" w:hAnsi="仿宋" w:cs="仿宋"/>
                <w:b w:val="0"/>
                <w:bCs w:val="0"/>
              </w:rPr>
            </w:pPr>
            <w:r>
              <w:rPr>
                <w:rFonts w:hint="eastAsia" w:ascii="仿宋" w:hAnsi="仿宋" w:cs="仿宋"/>
                <w:b w:val="0"/>
                <w:bCs w:val="0"/>
              </w:rPr>
              <w:t>1</w:t>
            </w:r>
          </w:p>
        </w:tc>
        <w:tc>
          <w:tcPr>
            <w:tcW w:w="1091" w:type="pct"/>
            <w:shd w:val="clear" w:color="auto" w:fill="auto"/>
            <w:noWrap w:val="0"/>
            <w:vAlign w:val="center"/>
          </w:tcPr>
          <w:p>
            <w:pPr>
              <w:pStyle w:val="9"/>
              <w:jc w:val="center"/>
              <w:rPr>
                <w:rFonts w:hint="eastAsia" w:ascii="仿宋" w:hAnsi="仿宋" w:cs="仿宋"/>
                <w:b w:val="0"/>
                <w:bCs w:val="0"/>
              </w:rPr>
            </w:pPr>
          </w:p>
        </w:tc>
        <w:tc>
          <w:tcPr>
            <w:tcW w:w="1415" w:type="pct"/>
            <w:shd w:val="clear" w:color="auto" w:fill="auto"/>
            <w:noWrap w:val="0"/>
            <w:vAlign w:val="center"/>
          </w:tcPr>
          <w:p>
            <w:pPr>
              <w:pStyle w:val="9"/>
              <w:jc w:val="center"/>
              <w:rPr>
                <w:rFonts w:hint="eastAsia" w:ascii="仿宋" w:hAnsi="仿宋" w:cs="仿宋"/>
                <w:b w:val="0"/>
                <w:bCs w:val="0"/>
              </w:rPr>
            </w:pPr>
            <w:r>
              <w:rPr>
                <w:rFonts w:hint="eastAsia" w:ascii="仿宋" w:hAnsi="仿宋" w:cs="仿宋"/>
                <w:b w:val="0"/>
                <w:bCs w:val="0"/>
              </w:rPr>
              <w:t>企业会计理实一体化软件</w:t>
            </w:r>
          </w:p>
        </w:tc>
        <w:tc>
          <w:tcPr>
            <w:tcW w:w="774" w:type="pct"/>
            <w:shd w:val="clear" w:color="auto" w:fill="auto"/>
            <w:noWrap w:val="0"/>
            <w:vAlign w:val="center"/>
          </w:tcPr>
          <w:p>
            <w:pPr>
              <w:pStyle w:val="9"/>
              <w:jc w:val="center"/>
              <w:rPr>
                <w:rFonts w:hint="eastAsia" w:ascii="仿宋" w:hAnsi="仿宋" w:cs="仿宋"/>
                <w:b w:val="0"/>
                <w:bCs w:val="0"/>
              </w:rPr>
            </w:pPr>
            <w:r>
              <w:rPr>
                <w:rFonts w:hint="eastAsia" w:ascii="仿宋" w:hAnsi="仿宋" w:cs="仿宋"/>
                <w:b w:val="0"/>
                <w:bCs w:val="0"/>
              </w:rPr>
              <w:t>1</w:t>
            </w:r>
          </w:p>
        </w:tc>
        <w:tc>
          <w:tcPr>
            <w:tcW w:w="428" w:type="pct"/>
            <w:shd w:val="clear" w:color="auto" w:fill="auto"/>
            <w:noWrap w:val="0"/>
            <w:vAlign w:val="center"/>
          </w:tcPr>
          <w:p>
            <w:pPr>
              <w:pStyle w:val="9"/>
              <w:jc w:val="center"/>
              <w:rPr>
                <w:rFonts w:hint="eastAsia" w:ascii="仿宋" w:hAnsi="仿宋" w:cs="仿宋"/>
                <w:b w:val="0"/>
                <w:bCs w:val="0"/>
              </w:rPr>
            </w:pPr>
            <w:r>
              <w:rPr>
                <w:rFonts w:hint="eastAsia" w:ascii="仿宋" w:hAnsi="仿宋" w:cs="仿宋"/>
                <w:b w:val="0"/>
                <w:bCs w:val="0"/>
              </w:rPr>
              <w:t>套</w:t>
            </w:r>
          </w:p>
        </w:tc>
        <w:tc>
          <w:tcPr>
            <w:tcW w:w="834" w:type="pct"/>
            <w:shd w:val="clear" w:color="auto" w:fill="auto"/>
            <w:noWrap w:val="0"/>
            <w:vAlign w:val="center"/>
          </w:tcPr>
          <w:p>
            <w:pPr>
              <w:pStyle w:val="9"/>
              <w:jc w:val="center"/>
              <w:rPr>
                <w:rFonts w:hint="eastAsia" w:ascii="仿宋" w:hAnsi="仿宋" w:cs="仿宋"/>
                <w:b w:val="0"/>
                <w:bCs w:val="0"/>
              </w:rPr>
            </w:pPr>
            <w:r>
              <w:rPr>
                <w:rFonts w:hint="eastAsia" w:ascii="仿宋" w:hAnsi="仿宋" w:cs="仿宋"/>
                <w:b w:val="0"/>
                <w:bCs w:val="0"/>
              </w:rPr>
              <w:t>拒绝进口</w:t>
            </w:r>
          </w:p>
        </w:tc>
      </w:tr>
    </w:tbl>
    <w:p>
      <w:pPr>
        <w:pStyle w:val="6"/>
        <w:spacing w:before="156" w:beforeLines="50" w:after="156" w:afterLines="50"/>
        <w:rPr>
          <w:rFonts w:cs="宋体"/>
          <w:b/>
          <w:bCs w:val="0"/>
          <w:szCs w:val="28"/>
        </w:rPr>
      </w:pPr>
      <w:r>
        <w:rPr>
          <w:rFonts w:hint="eastAsia" w:cs="宋体"/>
          <w:b/>
          <w:bCs w:val="0"/>
          <w:szCs w:val="28"/>
        </w:rPr>
        <w:t>三、具体技术要求</w:t>
      </w:r>
    </w:p>
    <w:p>
      <w:pPr>
        <w:rPr>
          <w:rFonts w:ascii="宋体" w:hAnsi="宋体" w:cs="宋体"/>
          <w:b w:val="0"/>
          <w:bCs/>
          <w:szCs w:val="21"/>
        </w:rPr>
      </w:pPr>
      <w:r>
        <w:rPr>
          <w:rFonts w:hint="eastAsia" w:ascii="宋体" w:hAnsi="宋体" w:cs="宋体"/>
          <w:b w:val="0"/>
          <w:bCs/>
          <w:szCs w:val="21"/>
        </w:rPr>
        <w:t>说明：投标人须如实填写《技术规格偏离表》，并按招标文件的要求提供相关证明资料，包括产品原厂说明书或产品彩页等。提供的证明资料与投标响应情况不相符的，视为《技术规格偏离表》填写不实。</w:t>
      </w:r>
    </w:p>
    <w:tbl>
      <w:tblPr>
        <w:tblStyle w:val="16"/>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736"/>
        <w:gridCol w:w="7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shd w:val="clear" w:color="auto" w:fill="auto"/>
            <w:noWrap w:val="0"/>
            <w:vAlign w:val="center"/>
          </w:tcPr>
          <w:p>
            <w:pPr>
              <w:jc w:val="center"/>
              <w:rPr>
                <w:rFonts w:hint="eastAsia" w:ascii="仿宋" w:hAnsi="仿宋" w:cs="仿宋"/>
              </w:rPr>
            </w:pPr>
            <w:r>
              <w:rPr>
                <w:rFonts w:hint="eastAsia" w:ascii="仿宋" w:hAnsi="仿宋" w:cs="仿宋"/>
              </w:rPr>
              <w:t>序号</w:t>
            </w:r>
          </w:p>
        </w:tc>
        <w:tc>
          <w:tcPr>
            <w:tcW w:w="736" w:type="dxa"/>
            <w:shd w:val="clear" w:color="auto" w:fill="auto"/>
            <w:noWrap w:val="0"/>
            <w:vAlign w:val="center"/>
          </w:tcPr>
          <w:p>
            <w:pPr>
              <w:widowControl/>
              <w:jc w:val="center"/>
              <w:rPr>
                <w:rFonts w:hint="eastAsia" w:ascii="仿宋" w:hAnsi="仿宋" w:cs="仿宋"/>
              </w:rPr>
            </w:pPr>
            <w:r>
              <w:rPr>
                <w:rFonts w:hint="eastAsia" w:ascii="仿宋" w:hAnsi="仿宋" w:cs="仿宋"/>
              </w:rPr>
              <w:t>货物名称</w:t>
            </w:r>
          </w:p>
        </w:tc>
        <w:tc>
          <w:tcPr>
            <w:tcW w:w="7795" w:type="dxa"/>
            <w:shd w:val="clear" w:color="auto" w:fill="auto"/>
            <w:noWrap w:val="0"/>
            <w:vAlign w:val="center"/>
          </w:tcPr>
          <w:p>
            <w:pPr>
              <w:jc w:val="center"/>
              <w:rPr>
                <w:rFonts w:hint="eastAsia" w:ascii="仿宋" w:hAnsi="仿宋" w:cs="仿宋"/>
              </w:rPr>
            </w:pPr>
            <w:r>
              <w:rPr>
                <w:rFonts w:hint="eastAsia" w:ascii="仿宋" w:hAnsi="仿宋" w:cs="仿宋"/>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shd w:val="clear" w:color="auto" w:fill="auto"/>
            <w:noWrap w:val="0"/>
            <w:vAlign w:val="center"/>
          </w:tcPr>
          <w:p>
            <w:pPr>
              <w:widowControl/>
              <w:rPr>
                <w:rFonts w:hint="eastAsia" w:ascii="仿宋" w:hAnsi="仿宋" w:cs="仿宋"/>
              </w:rPr>
            </w:pPr>
            <w:r>
              <w:rPr>
                <w:rFonts w:hint="eastAsia" w:ascii="仿宋" w:hAnsi="仿宋" w:cs="仿宋"/>
              </w:rPr>
              <w:t>1</w:t>
            </w:r>
          </w:p>
        </w:tc>
        <w:tc>
          <w:tcPr>
            <w:tcW w:w="736" w:type="dxa"/>
            <w:shd w:val="clear" w:color="auto" w:fill="auto"/>
            <w:noWrap w:val="0"/>
            <w:vAlign w:val="center"/>
          </w:tcPr>
          <w:p>
            <w:pPr>
              <w:widowControl/>
              <w:rPr>
                <w:rFonts w:hint="eastAsia" w:ascii="仿宋" w:hAnsi="仿宋" w:cs="仿宋"/>
              </w:rPr>
            </w:pPr>
            <w:r>
              <w:rPr>
                <w:rFonts w:hint="eastAsia" w:ascii="仿宋" w:hAnsi="仿宋" w:cs="仿宋"/>
              </w:rPr>
              <w:t>企业会计理实一体化软件</w:t>
            </w:r>
          </w:p>
        </w:tc>
        <w:tc>
          <w:tcPr>
            <w:tcW w:w="7795" w:type="dxa"/>
            <w:shd w:val="clear" w:color="auto" w:fill="auto"/>
            <w:noWrap w:val="0"/>
            <w:vAlign w:val="center"/>
          </w:tcPr>
          <w:p>
            <w:pPr>
              <w:ind w:firstLine="480"/>
            </w:pPr>
            <w:r>
              <w:rPr>
                <w:rFonts w:hint="eastAsia"/>
              </w:rPr>
              <w:t>立足专业能力要求和专业教学内容和要求，结合企业财务会计岗（群）的业务实质判断、经济业务账务处理等工作内容和要求，使学生掌握企业日常经营活动基本业务流程和会计核算方法，具有主要经济业务会计确认、计量、报告以及实施会计监督的能力。</w:t>
            </w:r>
          </w:p>
          <w:p>
            <w:pPr>
              <w:widowControl/>
              <w:rPr>
                <w:rFonts w:hint="eastAsia" w:ascii="仿宋" w:hAnsi="仿宋" w:cs="仿宋"/>
              </w:rPr>
            </w:pPr>
            <w:r>
              <w:rPr>
                <w:rFonts w:hint="eastAsia" w:ascii="仿宋" w:hAnsi="仿宋" w:cs="仿宋"/>
              </w:rPr>
              <w:t>1.系统应基于B/S架构设计，不需要安装客户端，通过浏览器访问，可支持基于校园网的应用，兼容火狐、谷歌等主流浏览器。</w:t>
            </w:r>
          </w:p>
          <w:p>
            <w:pPr>
              <w:widowControl/>
              <w:jc w:val="both"/>
              <w:rPr>
                <w:rFonts w:hint="eastAsia" w:ascii="仿宋" w:hAnsi="仿宋" w:cs="仿宋"/>
              </w:rPr>
            </w:pPr>
            <w:r>
              <w:rPr>
                <w:rFonts w:hint="eastAsia" w:ascii="仿宋" w:hAnsi="仿宋" w:cs="仿宋"/>
                <w:kern w:val="0"/>
                <w:szCs w:val="21"/>
                <w:lang w:bidi="ar"/>
              </w:rPr>
              <w:t>▲</w:t>
            </w:r>
            <w:r>
              <w:rPr>
                <w:rFonts w:hint="eastAsia" w:ascii="仿宋" w:hAnsi="仿宋" w:cs="仿宋"/>
              </w:rPr>
              <w:t>2.涵盖涵盖业务企业会计数据分析、财务会计报表分析、财务会计指标分析、预算分析等技能训练内容。业务数据分析包含采购业务、销售业务、库存业务完成情况及计划执行差异分析、供应商和客户评价分析，并进行可视化呈现。财务报表分析包含资产负债表、利润表、现金流量表主要报表项目结构及趋势变动分析，并进行可视化呈现；财务指标分析包括偿债能力、盈利能力、营运能力、发展能力等主要财务指标的计算与对比分析，并进行可视化呈现；预算分析包括收入预算、费用预算、利润预算分析并进行可视化呈现。</w:t>
            </w:r>
            <w:r>
              <w:rPr>
                <w:rFonts w:hint="eastAsia" w:ascii="仿宋" w:hAnsi="仿宋" w:cs="仿宋"/>
                <w:color w:val="0000FF"/>
              </w:rPr>
              <w:t>（需提供软件系统功能截图证明材料）</w:t>
            </w:r>
          </w:p>
          <w:p>
            <w:pPr>
              <w:widowControl/>
              <w:rPr>
                <w:rFonts w:hint="eastAsia" w:ascii="仿宋" w:hAnsi="仿宋" w:cs="仿宋"/>
              </w:rPr>
            </w:pPr>
            <w:r>
              <w:rPr>
                <w:rFonts w:hint="eastAsia" w:ascii="仿宋" w:hAnsi="仿宋" w:cs="仿宋"/>
                <w:kern w:val="0"/>
                <w:szCs w:val="21"/>
                <w:lang w:bidi="ar"/>
              </w:rPr>
              <w:t>▲</w:t>
            </w:r>
            <w:r>
              <w:rPr>
                <w:rFonts w:hint="eastAsia" w:ascii="仿宋" w:hAnsi="仿宋" w:cs="仿宋"/>
              </w:rPr>
              <w:t>3.采用系统智能比对答案，设置指标数值计算、图表分析呈现、评价结论三大判分项，针对每个任务的指标数值、可视化图表及分析结论进行智能评分，其中可视化图表判分可对图表名称、图表类型、轴标题、轴类型、轴值、数据标签、数据表、图例名称、图例值进行逐项进行对比。</w:t>
            </w:r>
            <w:r>
              <w:rPr>
                <w:rFonts w:hint="eastAsia" w:ascii="仿宋" w:hAnsi="仿宋" w:cs="仿宋"/>
                <w:color w:val="0000FF"/>
              </w:rPr>
              <w:t>（需提供软件系统功能截图证明材料）</w:t>
            </w:r>
          </w:p>
          <w:p>
            <w:pPr>
              <w:widowControl/>
              <w:rPr>
                <w:rFonts w:hint="eastAsia" w:ascii="仿宋" w:hAnsi="仿宋" w:cs="仿宋"/>
              </w:rPr>
            </w:pPr>
            <w:r>
              <w:rPr>
                <w:rFonts w:hint="eastAsia" w:ascii="仿宋" w:hAnsi="仿宋" w:cs="仿宋"/>
                <w:kern w:val="0"/>
                <w:szCs w:val="21"/>
                <w:lang w:bidi="ar"/>
              </w:rPr>
              <w:t>▲</w:t>
            </w:r>
            <w:r>
              <w:rPr>
                <w:rFonts w:hint="eastAsia" w:ascii="仿宋" w:hAnsi="仿宋" w:cs="仿宋"/>
              </w:rPr>
              <w:t>4.数据分析模块可通过文件缩略图功能查看做题数据表及数据图，方便查阅做题结果</w:t>
            </w:r>
            <w:r>
              <w:rPr>
                <w:rFonts w:hint="eastAsia" w:ascii="仿宋" w:hAnsi="仿宋" w:cs="仿宋"/>
                <w:color w:val="0000FF"/>
              </w:rPr>
              <w:t>（需提供软件系统功能截图证明材料）</w:t>
            </w:r>
          </w:p>
          <w:p>
            <w:pPr>
              <w:widowControl/>
              <w:rPr>
                <w:rFonts w:hint="eastAsia" w:ascii="仿宋" w:hAnsi="仿宋" w:cs="仿宋"/>
              </w:rPr>
            </w:pPr>
            <w:r>
              <w:rPr>
                <w:rFonts w:hint="eastAsia" w:ascii="仿宋" w:hAnsi="仿宋" w:cs="仿宋"/>
                <w:kern w:val="0"/>
                <w:szCs w:val="21"/>
                <w:lang w:bidi="ar"/>
              </w:rPr>
              <w:t>▲</w:t>
            </w:r>
            <w:r>
              <w:rPr>
                <w:rFonts w:hint="eastAsia" w:ascii="仿宋" w:hAnsi="仿宋" w:cs="仿宋"/>
              </w:rPr>
              <w:t>5、数据分析模块支持WPS、Office等企业级应用办公软件表格工具进行数据分析，可直接使用WPS和Office的excel表格的函数、公式和图表进行数据统计、计算、可视化展示，上传后可查看上传文件的数据及图表，并按展示文件表中每一项判分项和数据明细，直接对接实际工作使用工具，实现学用零对接。</w:t>
            </w:r>
            <w:r>
              <w:rPr>
                <w:rFonts w:hint="eastAsia" w:ascii="仿宋" w:hAnsi="仿宋" w:cs="仿宋"/>
                <w:color w:val="0000FF"/>
              </w:rPr>
              <w:t>（需提供软件系统功能截图证明材料）</w:t>
            </w:r>
          </w:p>
          <w:p>
            <w:pPr>
              <w:widowControl/>
              <w:rPr>
                <w:rFonts w:hint="eastAsia" w:ascii="仿宋" w:hAnsi="仿宋" w:cs="仿宋"/>
                <w:color w:val="0000FF"/>
              </w:rPr>
            </w:pPr>
            <w:r>
              <w:rPr>
                <w:rFonts w:hint="eastAsia" w:ascii="仿宋" w:hAnsi="仿宋" w:cs="仿宋"/>
                <w:kern w:val="0"/>
                <w:szCs w:val="21"/>
                <w:lang w:bidi="ar"/>
              </w:rPr>
              <w:t>▲</w:t>
            </w:r>
            <w:r>
              <w:rPr>
                <w:rFonts w:hint="eastAsia" w:ascii="仿宋" w:hAnsi="仿宋" w:cs="仿宋"/>
              </w:rPr>
              <w:t>6.</w:t>
            </w:r>
            <w:r>
              <w:rPr>
                <w:rFonts w:hint="eastAsia"/>
              </w:rPr>
              <w:t>课程包含综合实训，至少1</w:t>
            </w:r>
            <w:r>
              <w:t>0</w:t>
            </w:r>
            <w:r>
              <w:rPr>
                <w:rFonts w:hint="eastAsia"/>
              </w:rPr>
              <w:t>套试卷内容，覆盖</w:t>
            </w:r>
            <w:r>
              <w:rPr>
                <w:rFonts w:hint="eastAsia" w:cs="宋体"/>
                <w:kern w:val="0"/>
              </w:rPr>
              <w:t>数据分析模块的</w:t>
            </w:r>
            <w:r>
              <w:rPr>
                <w:rFonts w:hint="eastAsia"/>
              </w:rPr>
              <w:t>数据管理基本知识和素养、业务数据分析、财务报表分析三大部分至少9项等主要内容</w:t>
            </w:r>
            <w:r>
              <w:rPr>
                <w:rFonts w:hint="eastAsia" w:ascii="仿宋" w:hAnsi="仿宋" w:cs="仿宋"/>
              </w:rPr>
              <w:t>。</w:t>
            </w:r>
            <w:r>
              <w:rPr>
                <w:rFonts w:hint="eastAsia" w:ascii="仿宋" w:hAnsi="仿宋" w:cs="仿宋"/>
                <w:color w:val="0000FF"/>
              </w:rPr>
              <w:t>（需提供软件系统功能截图证明材料）</w:t>
            </w:r>
          </w:p>
          <w:p>
            <w:pPr>
              <w:widowControl/>
              <w:rPr>
                <w:rFonts w:hint="eastAsia" w:ascii="仿宋" w:hAnsi="仿宋" w:cs="仿宋"/>
              </w:rPr>
            </w:pPr>
            <w:r>
              <w:rPr>
                <w:rFonts w:hint="eastAsia" w:ascii="仿宋" w:hAnsi="仿宋" w:cs="仿宋"/>
              </w:rPr>
              <w:t>7.</w:t>
            </w:r>
            <w:r>
              <w:rPr>
                <w:rFonts w:hint="eastAsia"/>
              </w:rPr>
              <w:t>课程的课程设计中包含课件、视频、案例、实训等资源，满足课程自主学习和技能训练</w:t>
            </w:r>
            <w:r>
              <w:rPr>
                <w:rFonts w:hint="eastAsia" w:ascii="仿宋" w:hAnsi="仿宋" w:cs="仿宋"/>
              </w:rPr>
              <w:t>。</w:t>
            </w:r>
          </w:p>
          <w:p>
            <w:pPr>
              <w:widowControl/>
              <w:rPr>
                <w:rFonts w:hint="eastAsia" w:ascii="仿宋" w:hAnsi="仿宋" w:cs="仿宋"/>
              </w:rPr>
            </w:pPr>
            <w:r>
              <w:rPr>
                <w:rFonts w:hint="eastAsia" w:ascii="仿宋" w:hAnsi="仿宋" w:cs="仿宋"/>
                <w:kern w:val="0"/>
                <w:szCs w:val="21"/>
                <w:lang w:bidi="ar"/>
              </w:rPr>
              <w:t>▲</w:t>
            </w:r>
            <w:r>
              <w:rPr>
                <w:rFonts w:hint="eastAsia" w:ascii="仿宋" w:hAnsi="仿宋" w:cs="仿宋"/>
              </w:rPr>
              <w:t>8.</w:t>
            </w:r>
            <w:r>
              <w:rPr>
                <w:rFonts w:hint="eastAsia"/>
              </w:rPr>
              <w:t>系统中实训任务应包实训目标、实训背景和实训分析，其中实训分析提供任务解题思路、所需的工具、方法等内容,配套看微课、看实操视频资源，方便学生自主学习</w:t>
            </w:r>
            <w:r>
              <w:rPr>
                <w:rFonts w:hint="eastAsia" w:ascii="仿宋" w:hAnsi="仿宋" w:cs="仿宋"/>
              </w:rPr>
              <w:t>。</w:t>
            </w:r>
            <w:r>
              <w:rPr>
                <w:rFonts w:hint="eastAsia" w:ascii="仿宋" w:hAnsi="仿宋" w:cs="仿宋"/>
                <w:color w:val="0000FF"/>
              </w:rPr>
              <w:t>（需提供软件系统功能截图证明材料）</w:t>
            </w:r>
          </w:p>
          <w:p>
            <w:pPr>
              <w:widowControl/>
              <w:rPr>
                <w:rFonts w:hint="eastAsia" w:ascii="仿宋" w:hAnsi="仿宋" w:cs="仿宋"/>
              </w:rPr>
            </w:pPr>
            <w:r>
              <w:rPr>
                <w:rFonts w:hint="eastAsia" w:ascii="仿宋" w:hAnsi="仿宋" w:cs="仿宋"/>
              </w:rPr>
              <w:t>二、功能要求</w:t>
            </w:r>
          </w:p>
          <w:p>
            <w:pPr>
              <w:widowControl/>
              <w:rPr>
                <w:rFonts w:hint="eastAsia" w:ascii="仿宋" w:hAnsi="仿宋" w:cs="仿宋"/>
              </w:rPr>
            </w:pPr>
            <w:r>
              <w:rPr>
                <w:rFonts w:hint="eastAsia" w:ascii="仿宋" w:hAnsi="仿宋" w:cs="仿宋"/>
              </w:rPr>
              <w:t>1.系统采用临时保存机制，避免学生在实训过程中因为失误造成的错误。</w:t>
            </w:r>
          </w:p>
          <w:p>
            <w:pPr>
              <w:widowControl/>
              <w:rPr>
                <w:rFonts w:hint="eastAsia" w:ascii="仿宋" w:hAnsi="仿宋" w:cs="仿宋"/>
              </w:rPr>
            </w:pPr>
            <w:r>
              <w:rPr>
                <w:rFonts w:hint="eastAsia" w:ascii="仿宋" w:hAnsi="仿宋" w:cs="仿宋"/>
              </w:rPr>
              <w:t>2.系统应具备完整的教学管理功能，包括教学中心和学习中心，进行查看课程、开课申请、开课审批、课程统计分析、学生课程分析、课程对比分析。</w:t>
            </w:r>
          </w:p>
          <w:p>
            <w:pPr>
              <w:widowControl/>
              <w:rPr>
                <w:rFonts w:hint="eastAsia" w:ascii="仿宋" w:hAnsi="仿宋" w:cs="仿宋"/>
              </w:rPr>
            </w:pPr>
            <w:r>
              <w:rPr>
                <w:rFonts w:hint="eastAsia" w:ascii="仿宋" w:hAnsi="仿宋" w:cs="仿宋"/>
              </w:rPr>
              <w:t>3.系统支持资源库建设和管理，支持图片、视频、文件、富文本等多种类型资源上传、预览；支持题库建设和管理，支持单选、多选、判断等理论题型的题库添加、编辑、删除。</w:t>
            </w:r>
          </w:p>
          <w:p>
            <w:pPr>
              <w:widowControl/>
              <w:rPr>
                <w:rFonts w:hint="eastAsia" w:ascii="仿宋" w:hAnsi="仿宋" w:cs="仿宋"/>
              </w:rPr>
            </w:pPr>
            <w:r>
              <w:rPr>
                <w:rFonts w:hint="eastAsia" w:ascii="仿宋" w:hAnsi="仿宋" w:cs="仿宋"/>
              </w:rPr>
              <w:t>4.课程设计支持目录结构调整，添加预习、拓展和课件，可关联多种类型学习资源、实训任务、富文本和单元测试。</w:t>
            </w:r>
          </w:p>
          <w:p>
            <w:pPr>
              <w:widowControl/>
              <w:rPr>
                <w:rFonts w:hint="eastAsia" w:ascii="仿宋" w:hAnsi="仿宋" w:cs="仿宋"/>
              </w:rPr>
            </w:pPr>
            <w:r>
              <w:rPr>
                <w:rFonts w:hint="eastAsia" w:ascii="仿宋" w:hAnsi="仿宋" w:cs="仿宋"/>
              </w:rPr>
              <w:t>5.作业支持随机出题和手动出题两种模式，支持单选、多选、判断和实训题，均采用客观判分，可进行预览、编辑、删除。</w:t>
            </w:r>
          </w:p>
          <w:p>
            <w:pPr>
              <w:widowControl/>
              <w:rPr>
                <w:rFonts w:hint="eastAsia" w:ascii="仿宋" w:hAnsi="仿宋" w:cs="仿宋"/>
              </w:rPr>
            </w:pPr>
            <w:r>
              <w:rPr>
                <w:rFonts w:hint="eastAsia" w:ascii="仿宋" w:hAnsi="仿宋" w:cs="仿宋"/>
              </w:rPr>
              <w:t>6.考试支持状态、时间、答案公开时间设置，支持随机出题和手动出题两种模式，支持单选、多选、判断和实训题，均采用客观判分，可进行预览、编辑、删除。</w:t>
            </w:r>
          </w:p>
          <w:p>
            <w:pPr>
              <w:widowControl/>
              <w:rPr>
                <w:rFonts w:hint="eastAsia" w:ascii="仿宋" w:hAnsi="仿宋" w:cs="仿宋"/>
              </w:rPr>
            </w:pPr>
            <w:r>
              <w:rPr>
                <w:rFonts w:hint="eastAsia" w:ascii="仿宋" w:hAnsi="仿宋" w:cs="仿宋"/>
              </w:rPr>
              <w:t>7.系统支持学情分析管理功能，可对课程统计分析、学生课程分析和课程对比分析，分别查看课程和学生以及不同课程之间的课程训练次数、课程进度、学生随堂检测、学生作业、学生考试、实训任务学习等情况，能通过监测学生的实训数据，以图表的形式直观的反应出学生的活跃度。</w:t>
            </w:r>
          </w:p>
          <w:p>
            <w:pPr>
              <w:widowControl/>
              <w:rPr>
                <w:rFonts w:hint="eastAsia" w:ascii="仿宋" w:hAnsi="仿宋" w:cs="仿宋"/>
              </w:rPr>
            </w:pPr>
            <w:r>
              <w:rPr>
                <w:rFonts w:hint="eastAsia" w:ascii="仿宋" w:hAnsi="仿宋" w:cs="仿宋"/>
              </w:rPr>
              <w:t>8.学习中心支持查看课程所属学期、整体进度、参与人数、实训个数、作业个数。</w:t>
            </w:r>
          </w:p>
          <w:p>
            <w:pPr>
              <w:widowControl/>
              <w:rPr>
                <w:rFonts w:hint="eastAsia" w:ascii="仿宋" w:hAnsi="仿宋" w:cs="仿宋"/>
              </w:rPr>
            </w:pPr>
            <w:r>
              <w:rPr>
                <w:rFonts w:hint="eastAsia" w:ascii="仿宋" w:hAnsi="仿宋" w:cs="仿宋"/>
              </w:rPr>
              <w:t>9.学习中心支持查看导学，方便把握课程整体情况、教学内容、课程目标等内容。</w:t>
            </w:r>
          </w:p>
          <w:p>
            <w:pPr>
              <w:widowControl/>
              <w:rPr>
                <w:rFonts w:hint="eastAsia" w:ascii="仿宋" w:hAnsi="仿宋" w:cs="仿宋"/>
              </w:rPr>
            </w:pPr>
            <w:r>
              <w:rPr>
                <w:rFonts w:hint="eastAsia" w:ascii="仿宋" w:hAnsi="仿宋" w:cs="仿宋"/>
              </w:rPr>
              <w:t>10.学习中心的课件模块，包含预习、测验、作业、实训等教学内容，显示任务记录和测试记录，满足学生自主学习。</w:t>
            </w:r>
          </w:p>
          <w:p>
            <w:pPr>
              <w:widowControl/>
              <w:rPr>
                <w:rFonts w:hint="eastAsia" w:ascii="仿宋" w:hAnsi="仿宋" w:cs="仿宋"/>
              </w:rPr>
            </w:pPr>
            <w:r>
              <w:rPr>
                <w:rFonts w:hint="eastAsia" w:ascii="仿宋" w:hAnsi="仿宋" w:cs="仿宋"/>
              </w:rPr>
              <w:t>11.学习中心的作业和考试模块，应显示未开始、进行中、已结束三种状态，并能显示相应得分，能按状态和名称进行快速筛选。</w:t>
            </w:r>
          </w:p>
          <w:p>
            <w:pPr>
              <w:widowControl/>
              <w:rPr>
                <w:rFonts w:hint="eastAsia" w:ascii="仿宋" w:hAnsi="仿宋" w:cs="仿宋"/>
              </w:rPr>
            </w:pPr>
            <w:r>
              <w:rPr>
                <w:rFonts w:hint="eastAsia" w:ascii="仿宋" w:hAnsi="仿宋" w:cs="仿宋"/>
              </w:rPr>
              <w:t>12.学习中心的成绩模块，应按课件学习、课堂活动、作业、考试进行统计汇总，涵盖学习行为和学习结果统计。</w:t>
            </w:r>
          </w:p>
        </w:tc>
      </w:tr>
    </w:tbl>
    <w:p>
      <w:pPr>
        <w:ind w:firstLine="420" w:firstLineChars="200"/>
        <w:rPr>
          <w:rFonts w:hint="eastAsia" w:ascii="宋体" w:hAnsi="宋体" w:cs="宋体"/>
          <w:b w:val="0"/>
          <w:bCs/>
        </w:rPr>
      </w:pPr>
    </w:p>
    <w:p>
      <w:pPr>
        <w:ind w:firstLine="420" w:firstLineChars="200"/>
        <w:rPr>
          <w:b w:val="0"/>
          <w:bCs/>
          <w:szCs w:val="21"/>
        </w:rPr>
      </w:pPr>
      <w:r>
        <w:rPr>
          <w:rFonts w:hint="eastAsia" w:ascii="宋体" w:hAnsi="宋体" w:cs="宋体"/>
          <w:b w:val="0"/>
          <w:bCs/>
        </w:rPr>
        <w:t>备注：</w:t>
      </w:r>
      <w:r>
        <w:rPr>
          <w:rFonts w:hint="eastAsia"/>
          <w:b w:val="0"/>
          <w:bCs/>
          <w:szCs w:val="21"/>
        </w:rPr>
        <w:t>1．带“</w:t>
      </w:r>
      <w:r>
        <w:rPr>
          <w:rFonts w:hint="eastAsia" w:ascii="宋体" w:hAnsi="宋体" w:cs="宋体"/>
          <w:b w:val="0"/>
          <w:bCs/>
          <w:szCs w:val="21"/>
        </w:rPr>
        <w:t>★</w:t>
      </w:r>
      <w:r>
        <w:rPr>
          <w:rFonts w:hint="eastAsia"/>
          <w:b w:val="0"/>
          <w:bCs/>
          <w:szCs w:val="21"/>
        </w:rPr>
        <w:t>”指标项为实质性条款，如出现负偏离，将被视为未实质性满足招标文件要求作投标无效处理。带“</w:t>
      </w:r>
      <w:r>
        <w:rPr>
          <w:b w:val="0"/>
          <w:bCs/>
        </w:rPr>
        <w:t>▲</w:t>
      </w:r>
      <w:r>
        <w:rPr>
          <w:rFonts w:hint="eastAsia"/>
          <w:b w:val="0"/>
          <w:bCs/>
          <w:szCs w:val="21"/>
        </w:rPr>
        <w:t xml:space="preserve">”指标项为重要参数，负偏离时依相关评分准则内容作重点扣分处理。 </w:t>
      </w:r>
    </w:p>
    <w:p>
      <w:pPr>
        <w:ind w:firstLine="420" w:firstLineChars="200"/>
        <w:rPr>
          <w:rFonts w:ascii="宋体" w:hAnsi="宋体" w:cs="宋体"/>
          <w:b w:val="0"/>
          <w:bCs/>
        </w:rPr>
      </w:pPr>
      <w:r>
        <w:rPr>
          <w:rFonts w:hint="eastAsia"/>
          <w:b w:val="0"/>
          <w:bCs/>
        </w:rPr>
        <w:t>2．评分时，如对一项招标技术要求中的内容存在两处（或以上）负偏离的，在评分时只作一项负偏离扣分</w:t>
      </w:r>
      <w:r>
        <w:rPr>
          <w:rFonts w:hint="eastAsia" w:ascii="宋体" w:hAnsi="宋体" w:cs="宋体"/>
          <w:b w:val="0"/>
          <w:bCs/>
        </w:rPr>
        <w:t>。</w:t>
      </w:r>
    </w:p>
    <w:p>
      <w:pPr>
        <w:pStyle w:val="11"/>
        <w:ind w:firstLine="422"/>
        <w:rPr>
          <w:rFonts w:ascii="宋体" w:hAnsi="宋体" w:cs="宋体"/>
          <w:b/>
        </w:rPr>
      </w:pPr>
    </w:p>
    <w:p>
      <w:pPr>
        <w:pStyle w:val="6"/>
        <w:spacing w:before="156" w:beforeLines="50" w:after="156" w:afterLines="50"/>
        <w:rPr>
          <w:rFonts w:cs="宋体"/>
          <w:szCs w:val="28"/>
        </w:rPr>
      </w:pPr>
      <w:r>
        <w:rPr>
          <w:rFonts w:hint="eastAsia" w:cs="宋体"/>
          <w:szCs w:val="28"/>
        </w:rPr>
        <w:t>四、商务需求</w:t>
      </w:r>
    </w:p>
    <w:tbl>
      <w:tblPr>
        <w:tblStyle w:val="16"/>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59"/>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noWrap w:val="0"/>
            <w:vAlign w:val="center"/>
          </w:tcPr>
          <w:p>
            <w:pPr>
              <w:jc w:val="center"/>
              <w:rPr>
                <w:rFonts w:hint="eastAsia" w:ascii="仿宋" w:hAnsi="仿宋" w:cs="仿宋"/>
                <w:b/>
              </w:rPr>
            </w:pPr>
            <w:r>
              <w:rPr>
                <w:rFonts w:hint="eastAsia" w:ascii="仿宋" w:hAnsi="仿宋" w:cs="仿宋"/>
                <w:b/>
              </w:rPr>
              <w:t>序号</w:t>
            </w:r>
          </w:p>
        </w:tc>
        <w:tc>
          <w:tcPr>
            <w:tcW w:w="1559" w:type="dxa"/>
            <w:noWrap w:val="0"/>
            <w:vAlign w:val="center"/>
          </w:tcPr>
          <w:p>
            <w:pPr>
              <w:jc w:val="center"/>
              <w:rPr>
                <w:rFonts w:hint="eastAsia" w:ascii="仿宋" w:hAnsi="仿宋" w:cs="仿宋"/>
                <w:b/>
              </w:rPr>
            </w:pPr>
            <w:r>
              <w:rPr>
                <w:rFonts w:hint="eastAsia" w:ascii="仿宋" w:hAnsi="仿宋" w:cs="仿宋"/>
                <w:b/>
              </w:rPr>
              <w:t>目录</w:t>
            </w:r>
          </w:p>
        </w:tc>
        <w:tc>
          <w:tcPr>
            <w:tcW w:w="6158" w:type="dxa"/>
            <w:noWrap w:val="0"/>
            <w:vAlign w:val="center"/>
          </w:tcPr>
          <w:p>
            <w:pPr>
              <w:jc w:val="center"/>
              <w:rPr>
                <w:rFonts w:hint="eastAsia" w:ascii="仿宋" w:hAnsi="仿宋" w:cs="仿宋"/>
                <w:b/>
              </w:rPr>
            </w:pPr>
            <w:r>
              <w:rPr>
                <w:rFonts w:hint="eastAsia" w:ascii="仿宋" w:hAnsi="仿宋" w:cs="仿宋"/>
                <w:b/>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709" w:type="dxa"/>
            <w:noWrap w:val="0"/>
            <w:vAlign w:val="center"/>
          </w:tcPr>
          <w:p>
            <w:pPr>
              <w:jc w:val="center"/>
              <w:rPr>
                <w:rFonts w:hint="eastAsia" w:ascii="仿宋" w:hAnsi="仿宋" w:cs="仿宋"/>
                <w:b/>
              </w:rPr>
            </w:pPr>
            <w:r>
              <w:rPr>
                <w:rFonts w:hint="eastAsia" w:ascii="仿宋" w:hAnsi="仿宋" w:cs="仿宋"/>
                <w:b/>
              </w:rPr>
              <w:t>1</w:t>
            </w:r>
          </w:p>
        </w:tc>
        <w:tc>
          <w:tcPr>
            <w:tcW w:w="1559" w:type="dxa"/>
            <w:noWrap w:val="0"/>
            <w:vAlign w:val="center"/>
          </w:tcPr>
          <w:p>
            <w:pPr>
              <w:rPr>
                <w:rFonts w:hint="eastAsia" w:ascii="仿宋" w:hAnsi="仿宋" w:cs="仿宋"/>
              </w:rPr>
            </w:pPr>
            <w:r>
              <w:rPr>
                <w:rFonts w:hint="eastAsia" w:ascii="仿宋" w:hAnsi="仿宋" w:cs="仿宋"/>
                <w:szCs w:val="21"/>
              </w:rPr>
              <w:t>▲</w:t>
            </w:r>
            <w:r>
              <w:rPr>
                <w:rFonts w:hint="eastAsia" w:ascii="仿宋" w:hAnsi="仿宋" w:cs="仿宋"/>
              </w:rPr>
              <w:t>免费保修期</w:t>
            </w:r>
          </w:p>
        </w:tc>
        <w:tc>
          <w:tcPr>
            <w:tcW w:w="6158" w:type="dxa"/>
            <w:noWrap w:val="0"/>
            <w:vAlign w:val="top"/>
          </w:tcPr>
          <w:p>
            <w:pPr>
              <w:rPr>
                <w:rFonts w:hint="eastAsia" w:ascii="仿宋" w:hAnsi="仿宋" w:cs="仿宋"/>
                <w:b/>
              </w:rPr>
            </w:pPr>
            <w:r>
              <w:rPr>
                <w:rFonts w:hint="eastAsia" w:ascii="仿宋" w:hAnsi="仿宋" w:cs="仿宋"/>
                <w:bCs/>
                <w:szCs w:val="21"/>
              </w:rPr>
              <w:t>货物免费保修期</w:t>
            </w:r>
            <w:r>
              <w:rPr>
                <w:rFonts w:hint="eastAsia" w:ascii="仿宋" w:hAnsi="仿宋" w:cs="仿宋"/>
                <w:bCs/>
                <w:szCs w:val="21"/>
                <w:u w:val="single"/>
              </w:rPr>
              <w:t xml:space="preserve"> 3 </w:t>
            </w:r>
            <w:r>
              <w:rPr>
                <w:rFonts w:hint="eastAsia" w:ascii="仿宋" w:hAnsi="仿宋" w:cs="仿宋"/>
                <w:bCs/>
                <w:szCs w:val="21"/>
              </w:rPr>
              <w:t>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09" w:type="dxa"/>
            <w:noWrap w:val="0"/>
            <w:vAlign w:val="center"/>
          </w:tcPr>
          <w:p>
            <w:pPr>
              <w:jc w:val="center"/>
              <w:rPr>
                <w:rFonts w:hint="eastAsia" w:ascii="仿宋" w:hAnsi="仿宋" w:cs="仿宋"/>
                <w:b/>
              </w:rPr>
            </w:pPr>
            <w:r>
              <w:rPr>
                <w:rFonts w:hint="eastAsia" w:ascii="仿宋" w:hAnsi="仿宋" w:cs="仿宋"/>
                <w:b/>
              </w:rPr>
              <w:t>2</w:t>
            </w:r>
          </w:p>
        </w:tc>
        <w:tc>
          <w:tcPr>
            <w:tcW w:w="1559" w:type="dxa"/>
            <w:noWrap w:val="0"/>
            <w:vAlign w:val="top"/>
          </w:tcPr>
          <w:p>
            <w:pPr>
              <w:rPr>
                <w:rFonts w:hint="eastAsia" w:ascii="仿宋" w:hAnsi="仿宋" w:cs="仿宋"/>
              </w:rPr>
            </w:pPr>
            <w:r>
              <w:rPr>
                <w:rFonts w:hint="eastAsia" w:ascii="仿宋" w:hAnsi="仿宋" w:cs="仿宋"/>
              </w:rPr>
              <w:t>维修响应及故障解决时间</w:t>
            </w:r>
          </w:p>
        </w:tc>
        <w:tc>
          <w:tcPr>
            <w:tcW w:w="6158" w:type="dxa"/>
            <w:noWrap w:val="0"/>
            <w:vAlign w:val="top"/>
          </w:tcPr>
          <w:p>
            <w:pPr>
              <w:rPr>
                <w:rFonts w:hint="eastAsia" w:ascii="仿宋" w:hAnsi="仿宋" w:cs="仿宋"/>
                <w:b/>
              </w:rPr>
            </w:pPr>
            <w:r>
              <w:rPr>
                <w:rFonts w:hint="eastAsia" w:ascii="仿宋" w:hAnsi="仿宋" w:cs="仿宋"/>
                <w:bCs/>
                <w:szCs w:val="21"/>
              </w:rPr>
              <w:t>在保修期内，一旦发生质量问题，投标人保证在接到通知24小时内赶到现场进行修理或更换。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restart"/>
            <w:noWrap w:val="0"/>
            <w:vAlign w:val="center"/>
          </w:tcPr>
          <w:p>
            <w:pPr>
              <w:jc w:val="center"/>
              <w:rPr>
                <w:rFonts w:hint="eastAsia" w:ascii="仿宋" w:hAnsi="仿宋" w:cs="仿宋"/>
              </w:rPr>
            </w:pPr>
            <w:r>
              <w:rPr>
                <w:rFonts w:hint="eastAsia" w:ascii="仿宋" w:hAnsi="仿宋" w:cs="仿宋"/>
              </w:rPr>
              <w:t>3</w:t>
            </w:r>
          </w:p>
        </w:tc>
        <w:tc>
          <w:tcPr>
            <w:tcW w:w="1559" w:type="dxa"/>
            <w:vMerge w:val="restart"/>
            <w:noWrap w:val="0"/>
            <w:vAlign w:val="center"/>
          </w:tcPr>
          <w:p>
            <w:pPr>
              <w:jc w:val="center"/>
              <w:rPr>
                <w:rFonts w:hint="eastAsia" w:ascii="仿宋" w:hAnsi="仿宋" w:cs="仿宋"/>
              </w:rPr>
            </w:pPr>
            <w:r>
              <w:rPr>
                <w:rFonts w:hint="eastAsia" w:ascii="仿宋" w:hAnsi="仿宋" w:cs="仿宋"/>
                <w:b/>
                <w:color w:val="FF0000"/>
                <w:kern w:val="0"/>
                <w:sz w:val="20"/>
                <w:szCs w:val="20"/>
              </w:rPr>
              <w:t>★</w:t>
            </w:r>
            <w:r>
              <w:rPr>
                <w:rFonts w:hint="eastAsia" w:ascii="仿宋" w:hAnsi="仿宋" w:cs="仿宋"/>
              </w:rPr>
              <w:t>关于交货期</w:t>
            </w:r>
          </w:p>
        </w:tc>
        <w:tc>
          <w:tcPr>
            <w:tcW w:w="6158" w:type="dxa"/>
            <w:noWrap w:val="0"/>
            <w:vAlign w:val="top"/>
          </w:tcPr>
          <w:p>
            <w:pPr>
              <w:rPr>
                <w:rFonts w:hint="eastAsia" w:ascii="仿宋" w:hAnsi="仿宋" w:cs="仿宋"/>
                <w:b/>
              </w:rPr>
            </w:pPr>
            <w:r>
              <w:rPr>
                <w:rFonts w:hint="eastAsia" w:ascii="仿宋" w:hAnsi="仿宋" w:cs="仿宋"/>
                <w:bCs/>
                <w:szCs w:val="21"/>
              </w:rPr>
              <w:t>1.签订合同之日起</w:t>
            </w:r>
            <w:r>
              <w:rPr>
                <w:rFonts w:hint="eastAsia" w:ascii="仿宋" w:hAnsi="仿宋" w:cs="仿宋"/>
                <w:bCs/>
                <w:szCs w:val="21"/>
                <w:u w:val="single"/>
              </w:rPr>
              <w:t xml:space="preserve">  30 </w:t>
            </w:r>
            <w:r>
              <w:rPr>
                <w:rFonts w:hint="eastAsia" w:ascii="仿宋" w:hAnsi="仿宋" w:cs="仿宋"/>
                <w:bCs/>
                <w:szCs w:val="21"/>
              </w:rPr>
              <w:t>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09" w:type="dxa"/>
            <w:vMerge w:val="continue"/>
            <w:noWrap w:val="0"/>
            <w:vAlign w:val="center"/>
          </w:tcPr>
          <w:p>
            <w:pPr>
              <w:jc w:val="center"/>
              <w:rPr>
                <w:rFonts w:hint="eastAsia" w:ascii="仿宋" w:hAnsi="仿宋" w:cs="仿宋"/>
              </w:rPr>
            </w:pPr>
          </w:p>
        </w:tc>
        <w:tc>
          <w:tcPr>
            <w:tcW w:w="1559" w:type="dxa"/>
            <w:vMerge w:val="continue"/>
            <w:noWrap w:val="0"/>
            <w:vAlign w:val="center"/>
          </w:tcPr>
          <w:p>
            <w:pPr>
              <w:jc w:val="center"/>
              <w:rPr>
                <w:rFonts w:hint="eastAsia" w:ascii="仿宋" w:hAnsi="仿宋" w:cs="仿宋"/>
              </w:rPr>
            </w:pPr>
          </w:p>
        </w:tc>
        <w:tc>
          <w:tcPr>
            <w:tcW w:w="6158" w:type="dxa"/>
            <w:noWrap w:val="0"/>
            <w:vAlign w:val="top"/>
          </w:tcPr>
          <w:p>
            <w:pPr>
              <w:rPr>
                <w:rFonts w:hint="eastAsia" w:ascii="仿宋" w:hAnsi="仿宋" w:cs="仿宋"/>
                <w:bCs/>
                <w:szCs w:val="21"/>
              </w:rPr>
            </w:pPr>
            <w:r>
              <w:rPr>
                <w:rFonts w:hint="eastAsia" w:ascii="仿宋" w:hAnsi="仿宋" w:cs="仿宋"/>
                <w:bCs/>
                <w:szCs w:val="21"/>
              </w:rPr>
              <w:t>2.投标人必须承担的货物运输、安装调试、验收检测和提供货物操作说明书、图纸等其他类似的义务。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restart"/>
            <w:noWrap w:val="0"/>
            <w:vAlign w:val="center"/>
          </w:tcPr>
          <w:p>
            <w:pPr>
              <w:jc w:val="center"/>
              <w:rPr>
                <w:rFonts w:hint="eastAsia" w:ascii="仿宋" w:hAnsi="仿宋" w:cs="仿宋"/>
              </w:rPr>
            </w:pPr>
            <w:r>
              <w:rPr>
                <w:rFonts w:hint="eastAsia" w:ascii="仿宋" w:hAnsi="仿宋" w:cs="仿宋"/>
              </w:rPr>
              <w:t>4</w:t>
            </w:r>
          </w:p>
        </w:tc>
        <w:tc>
          <w:tcPr>
            <w:tcW w:w="1559" w:type="dxa"/>
            <w:vMerge w:val="restart"/>
            <w:noWrap w:val="0"/>
            <w:vAlign w:val="center"/>
          </w:tcPr>
          <w:p>
            <w:pPr>
              <w:jc w:val="center"/>
              <w:rPr>
                <w:rFonts w:hint="eastAsia" w:ascii="仿宋" w:hAnsi="仿宋" w:cs="仿宋"/>
              </w:rPr>
            </w:pPr>
            <w:r>
              <w:rPr>
                <w:rFonts w:hint="eastAsia" w:ascii="仿宋" w:hAnsi="仿宋" w:cs="仿宋"/>
                <w:b/>
                <w:color w:val="FF0000"/>
                <w:kern w:val="0"/>
                <w:sz w:val="20"/>
                <w:szCs w:val="20"/>
              </w:rPr>
              <w:t>★</w:t>
            </w:r>
            <w:r>
              <w:rPr>
                <w:rFonts w:hint="eastAsia" w:ascii="仿宋" w:hAnsi="仿宋" w:cs="仿宋"/>
              </w:rPr>
              <w:t>关于验收</w:t>
            </w:r>
          </w:p>
        </w:tc>
        <w:tc>
          <w:tcPr>
            <w:tcW w:w="6158" w:type="dxa"/>
            <w:noWrap w:val="0"/>
            <w:vAlign w:val="top"/>
          </w:tcPr>
          <w:p>
            <w:pPr>
              <w:spacing w:line="340" w:lineRule="exact"/>
              <w:rPr>
                <w:rFonts w:hint="eastAsia" w:ascii="仿宋" w:hAnsi="仿宋" w:cs="仿宋"/>
                <w:bCs/>
                <w:szCs w:val="21"/>
              </w:rPr>
            </w:pPr>
            <w:r>
              <w:rPr>
                <w:rFonts w:hint="eastAsia" w:ascii="仿宋" w:hAnsi="仿宋" w:cs="仿宋"/>
                <w:bCs/>
                <w:szCs w:val="21"/>
              </w:rPr>
              <w:t>1.投标人货物经过双方检验认可后，签署验收报告，产品保修期自验收合格之日起算，由投标人提供产品保修文件。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continue"/>
            <w:noWrap w:val="0"/>
            <w:vAlign w:val="center"/>
          </w:tcPr>
          <w:p>
            <w:pPr>
              <w:jc w:val="center"/>
              <w:rPr>
                <w:rFonts w:hint="eastAsia" w:ascii="仿宋" w:hAnsi="仿宋" w:cs="仿宋"/>
                <w:b/>
              </w:rPr>
            </w:pPr>
          </w:p>
        </w:tc>
        <w:tc>
          <w:tcPr>
            <w:tcW w:w="1559" w:type="dxa"/>
            <w:vMerge w:val="continue"/>
            <w:noWrap w:val="0"/>
            <w:vAlign w:val="top"/>
          </w:tcPr>
          <w:p>
            <w:pPr>
              <w:rPr>
                <w:rFonts w:hint="eastAsia" w:ascii="仿宋" w:hAnsi="仿宋" w:cs="仿宋"/>
                <w:b/>
              </w:rPr>
            </w:pPr>
          </w:p>
        </w:tc>
        <w:tc>
          <w:tcPr>
            <w:tcW w:w="6158" w:type="dxa"/>
            <w:noWrap w:val="0"/>
            <w:vAlign w:val="top"/>
          </w:tcPr>
          <w:p>
            <w:pPr>
              <w:tabs>
                <w:tab w:val="left" w:pos="1260"/>
              </w:tabs>
              <w:spacing w:line="340" w:lineRule="exact"/>
              <w:rPr>
                <w:rFonts w:hint="eastAsia" w:ascii="仿宋" w:hAnsi="仿宋" w:cs="仿宋"/>
                <w:bCs/>
                <w:szCs w:val="21"/>
              </w:rPr>
            </w:pPr>
            <w:r>
              <w:rPr>
                <w:rFonts w:hint="eastAsia" w:ascii="仿宋" w:hAnsi="仿宋" w:cs="仿宋"/>
                <w:bCs/>
                <w:szCs w:val="21"/>
              </w:rPr>
              <w:t>2.当满足以下条件时，采购人才向中标人签发货物验收报告：</w:t>
            </w:r>
          </w:p>
          <w:p>
            <w:pPr>
              <w:tabs>
                <w:tab w:val="left" w:pos="1260"/>
              </w:tabs>
              <w:spacing w:line="340" w:lineRule="exact"/>
              <w:rPr>
                <w:rFonts w:hint="eastAsia" w:ascii="仿宋" w:hAnsi="仿宋" w:cs="仿宋"/>
                <w:bCs/>
                <w:szCs w:val="21"/>
              </w:rPr>
            </w:pPr>
            <w:r>
              <w:rPr>
                <w:rFonts w:hint="eastAsia" w:ascii="仿宋" w:hAnsi="仿宋" w:cs="仿宋"/>
                <w:bCs/>
                <w:szCs w:val="21"/>
              </w:rPr>
              <w:t>a、中标人已按照合同规定提供了全部产品及完整的技术资料。</w:t>
            </w:r>
          </w:p>
          <w:p>
            <w:pPr>
              <w:tabs>
                <w:tab w:val="left" w:pos="1260"/>
              </w:tabs>
              <w:spacing w:line="340" w:lineRule="exact"/>
              <w:rPr>
                <w:rFonts w:hint="eastAsia" w:ascii="仿宋" w:hAnsi="仿宋" w:cs="仿宋"/>
                <w:bCs/>
                <w:szCs w:val="21"/>
              </w:rPr>
            </w:pPr>
            <w:r>
              <w:rPr>
                <w:rFonts w:hint="eastAsia" w:ascii="仿宋" w:hAnsi="仿宋" w:cs="仿宋"/>
                <w:bCs/>
                <w:szCs w:val="21"/>
              </w:rPr>
              <w:t>b、货物符合招标文件技术规格书的要求，性能满足要求。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09" w:type="dxa"/>
            <w:noWrap w:val="0"/>
            <w:vAlign w:val="center"/>
          </w:tcPr>
          <w:p>
            <w:pPr>
              <w:jc w:val="center"/>
              <w:rPr>
                <w:rFonts w:hint="eastAsia" w:ascii="仿宋" w:hAnsi="仿宋" w:cs="仿宋"/>
                <w:b/>
                <w:szCs w:val="21"/>
              </w:rPr>
            </w:pPr>
            <w:r>
              <w:rPr>
                <w:rFonts w:hint="eastAsia" w:ascii="仿宋" w:hAnsi="仿宋" w:cs="仿宋"/>
                <w:b/>
                <w:szCs w:val="21"/>
              </w:rPr>
              <w:t>5</w:t>
            </w:r>
          </w:p>
        </w:tc>
        <w:tc>
          <w:tcPr>
            <w:tcW w:w="1559" w:type="dxa"/>
            <w:noWrap w:val="0"/>
            <w:vAlign w:val="center"/>
          </w:tcPr>
          <w:p>
            <w:pPr>
              <w:jc w:val="center"/>
              <w:rPr>
                <w:rFonts w:hint="eastAsia" w:ascii="仿宋" w:hAnsi="仿宋" w:cs="仿宋"/>
                <w:szCs w:val="21"/>
              </w:rPr>
            </w:pPr>
            <w:r>
              <w:rPr>
                <w:rFonts w:hint="eastAsia" w:ascii="仿宋" w:hAnsi="仿宋" w:cs="仿宋"/>
                <w:color w:val="FF0000"/>
                <w:kern w:val="0"/>
                <w:sz w:val="20"/>
                <w:szCs w:val="20"/>
              </w:rPr>
              <w:t>★</w:t>
            </w:r>
            <w:r>
              <w:rPr>
                <w:rFonts w:hint="eastAsia" w:ascii="仿宋" w:hAnsi="仿宋" w:cs="仿宋"/>
                <w:szCs w:val="21"/>
              </w:rPr>
              <w:t>付款方式</w:t>
            </w:r>
          </w:p>
        </w:tc>
        <w:tc>
          <w:tcPr>
            <w:tcW w:w="6158" w:type="dxa"/>
            <w:noWrap w:val="0"/>
            <w:vAlign w:val="center"/>
          </w:tcPr>
          <w:p>
            <w:pPr>
              <w:rPr>
                <w:rFonts w:hint="eastAsia" w:ascii="仿宋" w:hAnsi="仿宋" w:cs="仿宋"/>
                <w:b/>
                <w:szCs w:val="21"/>
              </w:rPr>
            </w:pPr>
            <w:r>
              <w:rPr>
                <w:rFonts w:hint="eastAsia" w:ascii="仿宋" w:hAnsi="仿宋" w:cs="仿宋"/>
                <w:szCs w:val="21"/>
              </w:rPr>
              <w:t>按合同约定交货、安装、调试及试运行，并经甲方组织的验收合格后，甲方在收到乙方付款申请、履约保证金及付款所需要的材料后15个工作日内，甲方向乙方一次性付清合同款项。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noWrap w:val="0"/>
            <w:vAlign w:val="center"/>
          </w:tcPr>
          <w:p>
            <w:pPr>
              <w:jc w:val="center"/>
              <w:rPr>
                <w:rFonts w:hint="eastAsia" w:ascii="仿宋" w:hAnsi="仿宋" w:cs="仿宋"/>
                <w:b/>
                <w:kern w:val="0"/>
                <w:szCs w:val="21"/>
                <w:highlight w:val="yellow"/>
              </w:rPr>
            </w:pPr>
            <w:r>
              <w:rPr>
                <w:rFonts w:hint="eastAsia" w:ascii="仿宋" w:hAnsi="仿宋" w:cs="仿宋"/>
                <w:kern w:val="0"/>
                <w:szCs w:val="21"/>
              </w:rPr>
              <w:t>6</w:t>
            </w:r>
          </w:p>
        </w:tc>
        <w:tc>
          <w:tcPr>
            <w:tcW w:w="1559" w:type="dxa"/>
            <w:noWrap w:val="0"/>
            <w:vAlign w:val="center"/>
          </w:tcPr>
          <w:p>
            <w:pPr>
              <w:jc w:val="center"/>
              <w:rPr>
                <w:rFonts w:hint="eastAsia" w:ascii="仿宋" w:hAnsi="仿宋" w:cs="仿宋"/>
                <w:kern w:val="0"/>
                <w:szCs w:val="21"/>
              </w:rPr>
            </w:pPr>
            <w:r>
              <w:rPr>
                <w:rFonts w:hint="eastAsia" w:ascii="仿宋" w:hAnsi="仿宋" w:cs="仿宋"/>
                <w:color w:val="FF0000"/>
                <w:kern w:val="0"/>
                <w:sz w:val="20"/>
                <w:szCs w:val="20"/>
              </w:rPr>
              <w:t>★</w:t>
            </w:r>
            <w:r>
              <w:rPr>
                <w:rFonts w:hint="eastAsia" w:ascii="仿宋" w:hAnsi="仿宋" w:cs="仿宋"/>
                <w:kern w:val="0"/>
                <w:szCs w:val="21"/>
              </w:rPr>
              <w:t>诚信履约</w:t>
            </w:r>
          </w:p>
        </w:tc>
        <w:tc>
          <w:tcPr>
            <w:tcW w:w="6158" w:type="dxa"/>
            <w:noWrap w:val="0"/>
            <w:vAlign w:val="center"/>
          </w:tcPr>
          <w:p>
            <w:pPr>
              <w:rPr>
                <w:rFonts w:hint="eastAsia" w:ascii="仿宋" w:hAnsi="仿宋" w:cs="仿宋"/>
                <w:szCs w:val="21"/>
              </w:rPr>
            </w:pPr>
            <w:r>
              <w:rPr>
                <w:rFonts w:hint="eastAsia" w:ascii="仿宋" w:hAnsi="仿宋" w:cs="仿宋"/>
                <w:szCs w:val="21"/>
              </w:rPr>
              <w:t>投标人承诺遵守投标过程中所作出的响应和承诺，严格按合同的要求履约，不偷工减料、不以次充好，在合同服务期内，若采购人发现中标人有违反响应与承诺、不按合同要求履约、偷工减料、以次充好的，中标人须按涉事货物、工程或服务合同价格3倍的金额向采购人进行赔偿，情节严重的，采购人有权直接终止合同并进行不诚信履约记录公示。</w:t>
            </w:r>
          </w:p>
        </w:tc>
      </w:tr>
    </w:tbl>
    <w:p>
      <w:pPr>
        <w:pStyle w:val="11"/>
        <w:ind w:firstLine="422"/>
        <w:rPr>
          <w:rFonts w:ascii="宋体" w:hAnsi="宋体" w:cs="宋体"/>
          <w:b/>
        </w:rPr>
      </w:pPr>
    </w:p>
    <w:p>
      <w:pPr>
        <w:pStyle w:val="11"/>
        <w:ind w:firstLine="422"/>
        <w:rPr>
          <w:rFonts w:ascii="宋体" w:hAnsi="宋体" w:cs="宋体"/>
          <w:b/>
        </w:rPr>
      </w:pPr>
    </w:p>
    <w:p>
      <w:pPr>
        <w:pStyle w:val="3"/>
      </w:pPr>
      <w:r>
        <w:rPr>
          <w:rFonts w:hint="eastAsia"/>
        </w:rPr>
        <w:t>第三章  投标文件格式</w:t>
      </w:r>
    </w:p>
    <w:p>
      <w:pPr>
        <w:rPr>
          <w:rStyle w:val="22"/>
          <w:rFonts w:ascii="宋体" w:hAnsi="宋体" w:eastAsia="宋体" w:cs="宋体"/>
          <w:sz w:val="28"/>
          <w:szCs w:val="28"/>
        </w:rPr>
      </w:pPr>
      <w:r>
        <w:rPr>
          <w:rStyle w:val="22"/>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rPr>
        <w:t>投标一览表</w:t>
      </w:r>
    </w:p>
    <w:p>
      <w:pPr>
        <w:rPr>
          <w:rFonts w:ascii="宋体" w:hAnsi="宋体" w:cs="宋体"/>
          <w:sz w:val="24"/>
        </w:rPr>
      </w:pPr>
      <w:r>
        <w:rPr>
          <w:rFonts w:hint="eastAsia" w:ascii="宋体" w:hAnsi="宋体" w:cs="宋体"/>
          <w:sz w:val="24"/>
        </w:rPr>
        <w:t>1、评标指引表</w:t>
      </w:r>
    </w:p>
    <w:p>
      <w:pPr>
        <w:rPr>
          <w:rFonts w:ascii="宋体" w:hAnsi="宋体" w:cs="宋体"/>
          <w:sz w:val="24"/>
        </w:rPr>
      </w:pPr>
      <w:r>
        <w:rPr>
          <w:rFonts w:hint="eastAsia" w:ascii="宋体" w:hAnsi="宋体" w:cs="宋体"/>
          <w:sz w:val="24"/>
        </w:rPr>
        <w:t>2、法定代表人证明书</w:t>
      </w:r>
    </w:p>
    <w:p>
      <w:pPr>
        <w:rPr>
          <w:rFonts w:ascii="宋体" w:hAnsi="宋体" w:cs="宋体"/>
          <w:sz w:val="24"/>
        </w:rPr>
      </w:pPr>
      <w:r>
        <w:rPr>
          <w:rFonts w:hint="eastAsia" w:ascii="宋体" w:hAnsi="宋体" w:cs="宋体"/>
          <w:sz w:val="24"/>
        </w:rPr>
        <w:t>3、投标文件签署授权委托书</w:t>
      </w:r>
    </w:p>
    <w:p>
      <w:pPr>
        <w:rPr>
          <w:rFonts w:ascii="宋体" w:hAnsi="宋体" w:cs="宋体"/>
          <w:sz w:val="24"/>
        </w:rPr>
      </w:pPr>
      <w:r>
        <w:rPr>
          <w:rFonts w:hint="eastAsia" w:ascii="宋体" w:hAnsi="宋体" w:cs="宋体"/>
          <w:sz w:val="24"/>
        </w:rPr>
        <w:t>4、投标承诺函</w:t>
      </w:r>
    </w:p>
    <w:p>
      <w:pPr>
        <w:rPr>
          <w:rFonts w:ascii="宋体" w:hAnsi="宋体" w:cs="宋体"/>
          <w:sz w:val="24"/>
        </w:rPr>
      </w:pPr>
      <w:r>
        <w:rPr>
          <w:rFonts w:hint="eastAsia" w:ascii="宋体" w:hAnsi="宋体" w:cs="宋体"/>
          <w:sz w:val="24"/>
        </w:rPr>
        <w:t>5、投标人情况介绍</w:t>
      </w:r>
    </w:p>
    <w:p>
      <w:pPr>
        <w:rPr>
          <w:rFonts w:ascii="宋体" w:hAnsi="宋体" w:cs="宋体"/>
          <w:sz w:val="24"/>
        </w:rPr>
      </w:pPr>
      <w:r>
        <w:rPr>
          <w:rFonts w:hint="eastAsia" w:ascii="宋体" w:hAnsi="宋体" w:cs="宋体"/>
          <w:sz w:val="24"/>
        </w:rPr>
        <w:t>6、分项报价清单表</w:t>
      </w:r>
    </w:p>
    <w:p>
      <w:pPr>
        <w:rPr>
          <w:rFonts w:ascii="宋体" w:hAnsi="宋体" w:cs="宋体"/>
          <w:sz w:val="24"/>
        </w:rPr>
      </w:pPr>
      <w:r>
        <w:rPr>
          <w:rFonts w:hint="eastAsia" w:ascii="宋体" w:hAnsi="宋体" w:cs="宋体"/>
          <w:sz w:val="24"/>
        </w:rPr>
        <w:t>7、货物说明一览表</w:t>
      </w:r>
    </w:p>
    <w:p>
      <w:pPr>
        <w:rPr>
          <w:rFonts w:ascii="宋体" w:hAnsi="宋体" w:cs="宋体"/>
          <w:sz w:val="24"/>
        </w:rPr>
      </w:pPr>
      <w:r>
        <w:rPr>
          <w:rFonts w:hint="eastAsia" w:ascii="宋体" w:hAnsi="宋体" w:cs="宋体"/>
          <w:sz w:val="24"/>
        </w:rPr>
        <w:t>8、技术规格偏离表</w:t>
      </w:r>
    </w:p>
    <w:p>
      <w:pPr>
        <w:rPr>
          <w:rFonts w:ascii="宋体" w:hAnsi="宋体" w:cs="宋体"/>
          <w:sz w:val="24"/>
        </w:rPr>
      </w:pPr>
      <w:r>
        <w:rPr>
          <w:rFonts w:hint="eastAsia" w:ascii="宋体" w:hAnsi="宋体" w:cs="宋体"/>
          <w:sz w:val="24"/>
        </w:rPr>
        <w:t>9、商务需求偏离表</w:t>
      </w:r>
    </w:p>
    <w:p>
      <w:pPr>
        <w:rPr>
          <w:rFonts w:ascii="宋体" w:hAnsi="宋体" w:cs="宋体"/>
          <w:sz w:val="24"/>
        </w:rPr>
      </w:pPr>
      <w:r>
        <w:rPr>
          <w:rFonts w:hint="eastAsia" w:ascii="宋体" w:hAnsi="宋体" w:cs="宋体"/>
          <w:sz w:val="24"/>
        </w:rPr>
        <w:t>10、技术保障措施</w:t>
      </w:r>
    </w:p>
    <w:p>
      <w:pPr>
        <w:rPr>
          <w:rFonts w:ascii="宋体" w:hAnsi="宋体" w:cs="宋体"/>
          <w:sz w:val="24"/>
        </w:rPr>
      </w:pPr>
      <w:r>
        <w:rPr>
          <w:rFonts w:hint="eastAsia" w:ascii="宋体" w:hAnsi="宋体" w:cs="宋体"/>
          <w:sz w:val="24"/>
        </w:rPr>
        <w:t>11、</w:t>
      </w:r>
      <w:r>
        <w:rPr>
          <w:rFonts w:hint="eastAsia" w:ascii="宋体" w:hAnsi="宋体" w:cs="宋体"/>
          <w:sz w:val="24"/>
          <w:lang w:val="en-US" w:eastAsia="zh-CN"/>
        </w:rPr>
        <w:t>安装</w:t>
      </w:r>
      <w:r>
        <w:rPr>
          <w:rFonts w:hint="eastAsia" w:ascii="宋体" w:hAnsi="宋体" w:cs="宋体"/>
          <w:sz w:val="24"/>
        </w:rPr>
        <w:t>安全</w:t>
      </w:r>
      <w:r>
        <w:rPr>
          <w:rFonts w:hint="eastAsia" w:ascii="宋体" w:hAnsi="宋体" w:cs="宋体"/>
          <w:sz w:val="24"/>
          <w:lang w:val="en-US" w:eastAsia="zh-CN"/>
        </w:rPr>
        <w:t>及质量</w:t>
      </w:r>
      <w:r>
        <w:rPr>
          <w:rFonts w:hint="eastAsia" w:ascii="宋体" w:hAnsi="宋体" w:cs="宋体"/>
          <w:sz w:val="24"/>
        </w:rPr>
        <w:t>保障措施</w:t>
      </w:r>
    </w:p>
    <w:p>
      <w:pPr>
        <w:rPr>
          <w:rFonts w:ascii="宋体" w:hAnsi="宋体" w:cs="宋体"/>
          <w:sz w:val="24"/>
        </w:rPr>
      </w:pPr>
      <w:r>
        <w:rPr>
          <w:rFonts w:hint="eastAsia" w:ascii="宋体" w:hAnsi="宋体" w:cs="宋体"/>
          <w:sz w:val="24"/>
        </w:rPr>
        <w:t>12、售后服务方案</w:t>
      </w:r>
    </w:p>
    <w:p>
      <w:pPr>
        <w:rPr>
          <w:rFonts w:ascii="宋体" w:hAnsi="宋体" w:cs="宋体"/>
          <w:sz w:val="24"/>
        </w:rPr>
      </w:pP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rPr>
        <w:t>开标一览表</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投标报价</w:t>
            </w:r>
          </w:p>
        </w:tc>
        <w:tc>
          <w:tcPr>
            <w:tcW w:w="2217"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交货期</w:t>
            </w:r>
          </w:p>
        </w:tc>
        <w:tc>
          <w:tcPr>
            <w:tcW w:w="201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rPr>
                <w:rFonts w:ascii="宋体" w:hAnsi="宋体" w:cs="宋体"/>
                <w:snapToGrid w:val="0"/>
                <w:color w:val="000000"/>
                <w:kern w:val="0"/>
                <w:szCs w:val="22"/>
                <w:u w:val="single"/>
              </w:rPr>
            </w:pPr>
          </w:p>
        </w:tc>
        <w:tc>
          <w:tcPr>
            <w:tcW w:w="2603" w:type="dxa"/>
            <w:tcBorders>
              <w:top w:val="single" w:color="auto" w:sz="4" w:space="0"/>
            </w:tcBorders>
            <w:vAlign w:val="center"/>
          </w:tcPr>
          <w:p>
            <w:pPr>
              <w:rPr>
                <w:rFonts w:ascii="宋体" w:hAnsi="宋体" w:cs="宋体"/>
                <w:szCs w:val="21"/>
              </w:rPr>
            </w:pPr>
            <w:r>
              <w:rPr>
                <w:rFonts w:hint="eastAsia" w:ascii="宋体" w:hAnsi="宋体" w:cs="宋体"/>
                <w:szCs w:val="21"/>
              </w:rPr>
              <w:t>大写：</w:t>
            </w:r>
          </w:p>
          <w:p>
            <w:pPr>
              <w:rPr>
                <w:rFonts w:ascii="宋体" w:hAnsi="宋体" w:cs="宋体"/>
                <w:color w:val="FF0000"/>
                <w:szCs w:val="21"/>
              </w:rPr>
            </w:pPr>
            <w:r>
              <w:rPr>
                <w:rFonts w:hint="eastAsia" w:ascii="宋体" w:hAnsi="宋体" w:cs="宋体"/>
                <w:szCs w:val="21"/>
              </w:rPr>
              <w:t>小写：</w:t>
            </w:r>
          </w:p>
        </w:tc>
        <w:tc>
          <w:tcPr>
            <w:tcW w:w="2217" w:type="dxa"/>
            <w:tcBorders>
              <w:top w:val="single" w:color="auto" w:sz="4" w:space="0"/>
            </w:tcBorders>
            <w:vAlign w:val="center"/>
          </w:tcPr>
          <w:p>
            <w:pPr>
              <w:ind w:firstLine="281" w:firstLineChars="100"/>
              <w:rPr>
                <w:rFonts w:ascii="宋体" w:hAnsi="宋体" w:cs="宋体"/>
                <w:color w:val="000000"/>
                <w:kern w:val="0"/>
                <w:szCs w:val="21"/>
                <w:lang w:val="zh-CN"/>
              </w:rPr>
            </w:pPr>
            <w:r>
              <w:rPr>
                <w:rFonts w:hint="eastAsia" w:ascii="宋体" w:hAnsi="宋体" w:cs="宋体"/>
                <w:b/>
                <w:bCs/>
                <w:kern w:val="0"/>
                <w:sz w:val="28"/>
                <w:szCs w:val="28"/>
                <w:u w:val="single"/>
              </w:rPr>
              <w:t xml:space="preserve">    </w:t>
            </w:r>
            <w:r>
              <w:rPr>
                <w:rFonts w:hint="eastAsia" w:ascii="宋体" w:hAnsi="宋体" w:cs="宋体"/>
                <w:snapToGrid w:val="0"/>
                <w:color w:val="000000"/>
                <w:kern w:val="0"/>
                <w:szCs w:val="22"/>
              </w:rPr>
              <w:t>日历日</w:t>
            </w:r>
          </w:p>
        </w:tc>
        <w:tc>
          <w:tcPr>
            <w:tcW w:w="2013" w:type="dxa"/>
            <w:tcBorders>
              <w:top w:val="single" w:color="auto" w:sz="4" w:space="0"/>
            </w:tcBorders>
            <w:vAlign w:val="center"/>
          </w:tcPr>
          <w:p>
            <w:pPr>
              <w:rPr>
                <w:rFonts w:ascii="宋体" w:hAnsi="宋体" w:cs="宋体"/>
                <w:snapToGrid w:val="0"/>
                <w:color w:val="000000"/>
                <w:kern w:val="0"/>
                <w:szCs w:val="22"/>
              </w:rPr>
            </w:pP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3、开标一览表和投标文件（含正本和副本）应分开独立密封包装。开标一览表未按规定密封、签字、盖章将导致废标。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 xml:space="preserve">                         投标单位公章：</w:t>
      </w:r>
    </w:p>
    <w:p>
      <w:pPr>
        <w:pStyle w:val="11"/>
      </w:pPr>
    </w:p>
    <w:p>
      <w:pPr>
        <w:pStyle w:val="4"/>
        <w:numPr>
          <w:ilvl w:val="0"/>
          <w:numId w:val="3"/>
        </w:numPr>
        <w:jc w:val="center"/>
        <w:rPr>
          <w:rFonts w:cs="宋体"/>
          <w:bCs w:val="0"/>
          <w:kern w:val="0"/>
          <w:szCs w:val="28"/>
        </w:rPr>
      </w:pPr>
      <w:r>
        <w:rPr>
          <w:rFonts w:hint="eastAsia" w:cs="宋体"/>
          <w:bCs w:val="0"/>
          <w:kern w:val="0"/>
          <w:szCs w:val="28"/>
        </w:rPr>
        <w:t>评标指引表</w:t>
      </w:r>
    </w:p>
    <w:tbl>
      <w:tblPr>
        <w:tblStyle w:val="16"/>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4"/>
        <w:jc w:val="center"/>
        <w:rPr>
          <w:rFonts w:cs="宋体"/>
          <w:bCs w:val="0"/>
          <w:kern w:val="0"/>
          <w:szCs w:val="28"/>
        </w:rPr>
      </w:pPr>
      <w:r>
        <w:rPr>
          <w:rFonts w:hint="eastAsia" w:cs="宋体"/>
          <w:bCs w:val="0"/>
          <w:kern w:val="0"/>
          <w:szCs w:val="28"/>
        </w:rPr>
        <w:t>二、法定代表人证明书</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rPr>
          <w:rFonts w:ascii="宋体" w:hAnsi="宋体" w:cs="宋体"/>
          <w:szCs w:val="21"/>
        </w:rPr>
      </w:pPr>
      <w:r>
        <w:rPr>
          <w:rFonts w:hint="eastAsia" w:ascii="宋体" w:hAnsi="宋体" w:cs="宋体"/>
          <w:szCs w:val="21"/>
        </w:rPr>
        <w:t xml:space="preserve">有效日期：         签发日期：         单位：              </w:t>
      </w:r>
    </w:p>
    <w:p>
      <w:pPr>
        <w:spacing w:line="360" w:lineRule="auto"/>
        <w:rPr>
          <w:rFonts w:ascii="宋体" w:hAnsi="宋体" w:cs="宋体"/>
          <w:szCs w:val="21"/>
        </w:rPr>
      </w:pPr>
      <w:r>
        <w:rPr>
          <w:rFonts w:hint="eastAsia" w:ascii="宋体" w:hAnsi="宋体" w:cs="宋体"/>
          <w:szCs w:val="21"/>
        </w:rPr>
        <w:t>附：代表人性别：   年龄：      身份证号码：</w:t>
      </w:r>
    </w:p>
    <w:p>
      <w:pPr>
        <w:spacing w:line="360" w:lineRule="auto"/>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 xml:space="preserve">      2、内容必须填写真实、清楚，涂改无效，不得转让、买卖。</w:t>
      </w:r>
    </w:p>
    <w:p>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 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手机：</w:t>
      </w:r>
      <w:r>
        <w:rPr>
          <w:rFonts w:hint="eastAsia" w:ascii="宋体" w:hAnsi="宋体" w:cs="宋体"/>
          <w:szCs w:val="21"/>
          <w:u w:val="single"/>
        </w:rPr>
        <w:t xml:space="preserve">                   </w:t>
      </w:r>
    </w:p>
    <w:p>
      <w:pPr>
        <w:spacing w:line="360" w:lineRule="auto"/>
        <w:ind w:left="540" w:leftChars="257"/>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四、投标承诺函</w:t>
      </w:r>
    </w:p>
    <w:p>
      <w:pPr>
        <w:pStyle w:val="4"/>
        <w:ind w:firstLine="3373" w:firstLineChars="1200"/>
        <w:rPr>
          <w:rFonts w:cs="宋体"/>
          <w:bCs w:val="0"/>
          <w:szCs w:val="28"/>
        </w:rPr>
      </w:pPr>
      <w:r>
        <w:rPr>
          <w:rFonts w:hint="eastAsia" w:cs="宋体"/>
          <w:bCs w:val="0"/>
          <w:szCs w:val="28"/>
        </w:rPr>
        <w:t>（一）投标函</w:t>
      </w:r>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深圳市第一职业技术学校 </w:t>
      </w:r>
    </w:p>
    <w:p>
      <w:pPr>
        <w:numPr>
          <w:ilvl w:val="0"/>
          <w:numId w:val="4"/>
        </w:numPr>
        <w:spacing w:after="156" w:afterLines="50"/>
        <w:ind w:firstLine="440" w:firstLineChars="200"/>
        <w:rPr>
          <w:rFonts w:ascii="宋体" w:hAnsi="宋体" w:cs="宋体"/>
          <w:sz w:val="22"/>
          <w:szCs w:val="22"/>
        </w:rPr>
      </w:pPr>
      <w:r>
        <w:rPr>
          <w:rFonts w:hint="eastAsia" w:ascii="宋体" w:hAnsi="宋体" w:cs="宋体"/>
          <w:sz w:val="22"/>
          <w:szCs w:val="22"/>
        </w:rPr>
        <w:t>根据已收到贵方的</w:t>
      </w:r>
      <w:r>
        <w:rPr>
          <w:rFonts w:hint="eastAsia" w:ascii="宋体" w:hAnsi="宋体" w:cs="宋体"/>
          <w:sz w:val="22"/>
          <w:szCs w:val="22"/>
          <w:u w:val="single"/>
        </w:rPr>
        <w:t xml:space="preserve">                </w:t>
      </w:r>
      <w:r>
        <w:rPr>
          <w:rFonts w:hint="eastAsia" w:ascii="宋体" w:hAnsi="宋体" w:cs="宋体"/>
          <w:sz w:val="22"/>
          <w:szCs w:val="22"/>
        </w:rPr>
        <w:t>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pPr>
        <w:spacing w:after="156"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pPr>
        <w:spacing w:after="156"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pPr>
        <w:spacing w:after="156"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pPr>
        <w:spacing w:after="156" w:afterLines="50"/>
        <w:ind w:firstLine="411" w:firstLineChars="196"/>
        <w:rPr>
          <w:rFonts w:ascii="宋体" w:hAnsi="宋体" w:cs="宋体"/>
          <w:szCs w:val="21"/>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投标人：                       单位地址：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法定代表人或其委托代理人：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邮政编码：            电话：            传真：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日期：       年     月    日                                </w:t>
      </w: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pPr>
        <w:spacing w:after="156" w:afterLines="50"/>
        <w:ind w:firstLine="440" w:firstLineChars="200"/>
        <w:rPr>
          <w:rFonts w:ascii="宋体" w:hAnsi="宋体" w:cs="宋体"/>
          <w:sz w:val="22"/>
          <w:szCs w:val="22"/>
        </w:rPr>
      </w:pPr>
      <w:r>
        <w:rPr>
          <w:rFonts w:hint="eastAsia" w:ascii="宋体" w:hAnsi="宋体" w:cs="宋体"/>
          <w:sz w:val="22"/>
          <w:szCs w:val="22"/>
        </w:rPr>
        <w:t>我单位承诺：</w:t>
      </w:r>
    </w:p>
    <w:p>
      <w:pPr>
        <w:spacing w:after="156"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pPr>
        <w:spacing w:after="156"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pPr>
        <w:spacing w:after="156"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pPr>
        <w:spacing w:after="156"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pPr>
        <w:spacing w:after="156"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pPr>
        <w:spacing w:after="156"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pPr>
        <w:spacing w:after="156"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156"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pPr>
        <w:spacing w:after="156" w:afterLines="50"/>
        <w:ind w:firstLine="440" w:firstLineChars="200"/>
        <w:rPr>
          <w:rFonts w:ascii="宋体" w:hAnsi="宋体" w:cs="宋体"/>
          <w:sz w:val="22"/>
          <w:szCs w:val="22"/>
        </w:rPr>
      </w:pPr>
      <w:r>
        <w:rPr>
          <w:rFonts w:hint="eastAsia" w:ascii="宋体" w:hAnsi="宋体" w:cs="宋体"/>
          <w:sz w:val="22"/>
          <w:szCs w:val="22"/>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156"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pPr>
        <w:spacing w:after="156" w:afterLines="50"/>
        <w:ind w:firstLine="440" w:firstLineChars="200"/>
        <w:rPr>
          <w:rFonts w:ascii="宋体" w:hAnsi="宋体" w:cs="宋体"/>
          <w:sz w:val="22"/>
          <w:szCs w:val="22"/>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五、投标人情况介绍</w:t>
      </w:r>
    </w:p>
    <w:p>
      <w:pPr>
        <w:spacing w:after="156" w:afterLines="50"/>
        <w:rPr>
          <w:rFonts w:ascii="宋体" w:hAnsi="宋体" w:cs="宋体"/>
          <w:b/>
          <w:bCs/>
          <w:sz w:val="24"/>
        </w:rPr>
      </w:pPr>
      <w:r>
        <w:rPr>
          <w:rFonts w:hint="eastAsia" w:ascii="宋体" w:hAnsi="宋体" w:cs="宋体"/>
          <w:b/>
          <w:bCs/>
          <w:sz w:val="24"/>
        </w:rPr>
        <w:t>（一）投标人资格要求的证明文件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pPr>
        <w:spacing w:after="156"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6"/>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六、分项报价清单</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项目报价表</w:t>
      </w:r>
    </w:p>
    <w:p>
      <w:pPr>
        <w:rPr>
          <w:rFonts w:ascii="宋体" w:hAnsi="宋体" w:cs="宋体"/>
          <w:b/>
          <w:sz w:val="24"/>
        </w:rPr>
      </w:pPr>
    </w:p>
    <w:tbl>
      <w:tblPr>
        <w:tblStyle w:val="16"/>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525"/>
        <w:gridCol w:w="1440"/>
        <w:gridCol w:w="900"/>
        <w:gridCol w:w="720"/>
        <w:gridCol w:w="720"/>
        <w:gridCol w:w="900"/>
        <w:gridCol w:w="90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jc w:val="center"/>
              <w:rPr>
                <w:rFonts w:ascii="宋体" w:hAnsi="宋体" w:cs="宋体"/>
                <w:szCs w:val="21"/>
              </w:rPr>
            </w:pPr>
            <w:r>
              <w:rPr>
                <w:rFonts w:hint="eastAsia" w:ascii="宋体" w:hAnsi="宋体" w:cs="宋体"/>
                <w:szCs w:val="21"/>
              </w:rPr>
              <w:t>序号</w:t>
            </w:r>
          </w:p>
        </w:tc>
        <w:tc>
          <w:tcPr>
            <w:tcW w:w="2525" w:type="dxa"/>
            <w:vAlign w:val="center"/>
          </w:tcPr>
          <w:p>
            <w:pPr>
              <w:jc w:val="center"/>
              <w:rPr>
                <w:rFonts w:ascii="宋体" w:hAnsi="宋体" w:cs="宋体"/>
                <w:szCs w:val="21"/>
              </w:rPr>
            </w:pPr>
            <w:r>
              <w:rPr>
                <w:rFonts w:hint="eastAsia" w:ascii="宋体" w:hAnsi="宋体" w:cs="宋体"/>
                <w:szCs w:val="21"/>
              </w:rPr>
              <w:t>货物名称</w:t>
            </w:r>
          </w:p>
        </w:tc>
        <w:tc>
          <w:tcPr>
            <w:tcW w:w="1440" w:type="dxa"/>
            <w:vAlign w:val="center"/>
          </w:tcPr>
          <w:p>
            <w:pPr>
              <w:jc w:val="center"/>
              <w:rPr>
                <w:rFonts w:ascii="宋体" w:hAnsi="宋体" w:cs="宋体"/>
                <w:szCs w:val="21"/>
              </w:rPr>
            </w:pPr>
            <w:r>
              <w:rPr>
                <w:rFonts w:hint="eastAsia" w:ascii="宋体" w:hAnsi="宋体" w:cs="宋体"/>
                <w:szCs w:val="21"/>
              </w:rPr>
              <w:t>规格及型号</w:t>
            </w:r>
          </w:p>
        </w:tc>
        <w:tc>
          <w:tcPr>
            <w:tcW w:w="900" w:type="dxa"/>
            <w:vAlign w:val="center"/>
          </w:tcPr>
          <w:p>
            <w:pPr>
              <w:jc w:val="center"/>
              <w:rPr>
                <w:rFonts w:ascii="宋体" w:hAnsi="宋体" w:cs="宋体"/>
                <w:b/>
                <w:szCs w:val="21"/>
              </w:rPr>
            </w:pPr>
            <w:r>
              <w:rPr>
                <w:rFonts w:hint="eastAsia" w:ascii="宋体" w:hAnsi="宋体" w:cs="宋体"/>
                <w:bCs/>
                <w:szCs w:val="21"/>
              </w:rPr>
              <w:t>原产地</w:t>
            </w:r>
          </w:p>
        </w:tc>
        <w:tc>
          <w:tcPr>
            <w:tcW w:w="720" w:type="dxa"/>
            <w:vAlign w:val="center"/>
          </w:tcPr>
          <w:p>
            <w:pPr>
              <w:jc w:val="center"/>
              <w:rPr>
                <w:rFonts w:ascii="宋体" w:hAnsi="宋体" w:cs="宋体"/>
                <w:szCs w:val="21"/>
              </w:rPr>
            </w:pPr>
            <w:r>
              <w:rPr>
                <w:rFonts w:hint="eastAsia" w:ascii="宋体" w:hAnsi="宋体" w:cs="宋体"/>
                <w:szCs w:val="21"/>
              </w:rPr>
              <w:t>品牌</w:t>
            </w:r>
          </w:p>
        </w:tc>
        <w:tc>
          <w:tcPr>
            <w:tcW w:w="720" w:type="dxa"/>
            <w:vAlign w:val="center"/>
          </w:tcPr>
          <w:p>
            <w:pPr>
              <w:jc w:val="center"/>
              <w:rPr>
                <w:rFonts w:ascii="宋体" w:hAnsi="宋体" w:cs="宋体"/>
                <w:szCs w:val="21"/>
              </w:rPr>
            </w:pPr>
            <w:r>
              <w:rPr>
                <w:rFonts w:hint="eastAsia" w:ascii="宋体" w:hAnsi="宋体" w:cs="宋体"/>
                <w:szCs w:val="21"/>
              </w:rPr>
              <w:t>数量</w:t>
            </w:r>
          </w:p>
        </w:tc>
        <w:tc>
          <w:tcPr>
            <w:tcW w:w="900" w:type="dxa"/>
            <w:vAlign w:val="center"/>
          </w:tcPr>
          <w:p>
            <w:pPr>
              <w:jc w:val="center"/>
              <w:rPr>
                <w:rFonts w:ascii="宋体" w:hAnsi="宋体" w:cs="宋体"/>
                <w:szCs w:val="21"/>
              </w:rPr>
            </w:pPr>
            <w:r>
              <w:rPr>
                <w:rFonts w:hint="eastAsia" w:ascii="宋体" w:hAnsi="宋体" w:cs="宋体"/>
                <w:szCs w:val="21"/>
              </w:rPr>
              <w:t>单价(元)</w:t>
            </w:r>
          </w:p>
        </w:tc>
        <w:tc>
          <w:tcPr>
            <w:tcW w:w="900" w:type="dxa"/>
            <w:vAlign w:val="center"/>
          </w:tcPr>
          <w:p>
            <w:pPr>
              <w:jc w:val="center"/>
              <w:rPr>
                <w:rFonts w:ascii="宋体" w:hAnsi="宋体" w:cs="宋体"/>
                <w:szCs w:val="21"/>
              </w:rPr>
            </w:pPr>
            <w:r>
              <w:rPr>
                <w:rFonts w:hint="eastAsia" w:ascii="宋体" w:hAnsi="宋体" w:cs="宋体"/>
                <w:szCs w:val="21"/>
              </w:rPr>
              <w:t>合价(元)</w:t>
            </w:r>
          </w:p>
        </w:tc>
        <w:tc>
          <w:tcPr>
            <w:tcW w:w="956" w:type="dxa"/>
            <w:vAlign w:val="center"/>
          </w:tcPr>
          <w:p>
            <w:pPr>
              <w:jc w:val="center"/>
              <w:rPr>
                <w:rFonts w:ascii="宋体" w:hAnsi="宋体" w:cs="宋体"/>
                <w:szCs w:val="21"/>
              </w:rPr>
            </w:pPr>
            <w:r>
              <w:rPr>
                <w:rFonts w:hint="eastAsia" w:ascii="宋体" w:hAnsi="宋体" w:cs="宋体"/>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2" w:type="dxa"/>
            <w:gridSpan w:val="7"/>
          </w:tcPr>
          <w:p>
            <w:pPr>
              <w:rPr>
                <w:rFonts w:ascii="宋体" w:hAnsi="宋体" w:cs="宋体"/>
                <w:szCs w:val="21"/>
              </w:rPr>
            </w:pPr>
            <w:r>
              <w:rPr>
                <w:rFonts w:hint="eastAsia" w:ascii="宋体" w:hAnsi="宋体" w:cs="宋体"/>
                <w:szCs w:val="21"/>
              </w:rPr>
              <w:t>合计（即：投标总价；币种：人民币；单位：元）：大写：</w:t>
            </w:r>
          </w:p>
        </w:tc>
        <w:tc>
          <w:tcPr>
            <w:tcW w:w="900" w:type="dxa"/>
          </w:tcPr>
          <w:p>
            <w:pPr>
              <w:rPr>
                <w:rFonts w:ascii="宋体" w:hAnsi="宋体" w:cs="宋体"/>
                <w:szCs w:val="21"/>
              </w:rPr>
            </w:pPr>
          </w:p>
        </w:tc>
        <w:tc>
          <w:tcPr>
            <w:tcW w:w="956"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供应商代表姓名：</w:t>
      </w:r>
      <w:r>
        <w:rPr>
          <w:rFonts w:hint="eastAsia" w:ascii="宋体" w:hAnsi="宋体" w:cs="宋体"/>
          <w:szCs w:val="21"/>
          <w:u w:val="single"/>
        </w:rPr>
        <w:t xml:space="preserve">               </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注：1.所有价格应按“招标文件”中规定的货币单位填写；</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 xml:space="preserve">    2.投标总价应为以上各分项价格之和；</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3.本表格式不得修改；</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4.单价、合价和投标总价为包干价，即三者均应包含设备的价款、包装、运输、装卸、安装、调试、技术指导、培训、咨询、服务、保险、税费、检测、验收合格交付使用之前以及技术和售后服务等其他各项有关费用。</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5.投标总价和项目报价表中单个采购预算条目报价均不得超过对应的财政预算限额，否则将导致废标。</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6.开标一览表的投标总价必须与项目报价表的投标总价一致。</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7.“原产地”是指该产品的实际生产加工地，而非品牌总公司所在地。</w:t>
      </w:r>
    </w:p>
    <w:p>
      <w:pPr>
        <w:widowControl/>
        <w:shd w:val="clear" w:color="auto" w:fill="FFFFFF"/>
        <w:spacing w:line="360" w:lineRule="atLeast"/>
        <w:jc w:val="left"/>
        <w:rPr>
          <w:rFonts w:ascii="宋体" w:hAnsi="宋体" w:cs="宋体"/>
          <w:kern w:val="0"/>
          <w:sz w:val="22"/>
          <w:szCs w:val="22"/>
          <w:shd w:val="clear" w:color="auto" w:fill="FFFFFF"/>
        </w:rPr>
      </w:pPr>
    </w:p>
    <w:p>
      <w:pPr>
        <w:pStyle w:val="4"/>
        <w:jc w:val="center"/>
        <w:rPr>
          <w:rFonts w:cs="宋体"/>
          <w:bCs w:val="0"/>
          <w:szCs w:val="28"/>
        </w:rPr>
      </w:pPr>
      <w:r>
        <w:rPr>
          <w:rFonts w:hint="eastAsia" w:cs="宋体"/>
          <w:bCs w:val="0"/>
          <w:szCs w:val="28"/>
        </w:rPr>
        <w:t>七、货物说明一览表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pStyle w:val="9"/>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260"/>
        <w:gridCol w:w="1980"/>
        <w:gridCol w:w="126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jc w:val="center"/>
              <w:rPr>
                <w:rFonts w:ascii="宋体" w:hAnsi="宋体" w:cs="宋体"/>
                <w:szCs w:val="21"/>
              </w:rPr>
            </w:pPr>
            <w:r>
              <w:rPr>
                <w:rFonts w:hint="eastAsia" w:ascii="宋体" w:hAnsi="宋体" w:cs="宋体"/>
                <w:szCs w:val="21"/>
              </w:rPr>
              <w:t>序号</w:t>
            </w:r>
          </w:p>
        </w:tc>
        <w:tc>
          <w:tcPr>
            <w:tcW w:w="1620" w:type="dxa"/>
          </w:tcPr>
          <w:p>
            <w:pPr>
              <w:jc w:val="center"/>
              <w:rPr>
                <w:rFonts w:ascii="宋体" w:hAnsi="宋体" w:cs="宋体"/>
                <w:szCs w:val="21"/>
              </w:rPr>
            </w:pPr>
            <w:r>
              <w:rPr>
                <w:rFonts w:hint="eastAsia" w:ascii="宋体" w:hAnsi="宋体" w:cs="宋体"/>
                <w:szCs w:val="21"/>
              </w:rPr>
              <w:t>货物名称</w:t>
            </w:r>
          </w:p>
        </w:tc>
        <w:tc>
          <w:tcPr>
            <w:tcW w:w="1260" w:type="dxa"/>
          </w:tcPr>
          <w:p>
            <w:pPr>
              <w:jc w:val="center"/>
              <w:rPr>
                <w:rFonts w:ascii="宋体" w:hAnsi="宋体" w:cs="宋体"/>
                <w:szCs w:val="21"/>
              </w:rPr>
            </w:pPr>
            <w:r>
              <w:rPr>
                <w:rFonts w:hint="eastAsia" w:ascii="宋体" w:hAnsi="宋体" w:cs="宋体"/>
                <w:szCs w:val="21"/>
              </w:rPr>
              <w:t>型号</w:t>
            </w:r>
          </w:p>
        </w:tc>
        <w:tc>
          <w:tcPr>
            <w:tcW w:w="1980" w:type="dxa"/>
          </w:tcPr>
          <w:p>
            <w:pPr>
              <w:jc w:val="center"/>
              <w:rPr>
                <w:rFonts w:ascii="宋体" w:hAnsi="宋体" w:cs="宋体"/>
                <w:szCs w:val="21"/>
              </w:rPr>
            </w:pPr>
            <w:r>
              <w:rPr>
                <w:rFonts w:hint="eastAsia" w:ascii="宋体" w:hAnsi="宋体" w:cs="宋体"/>
                <w:szCs w:val="21"/>
              </w:rPr>
              <w:t>技术参数</w:t>
            </w:r>
          </w:p>
        </w:tc>
        <w:tc>
          <w:tcPr>
            <w:tcW w:w="1260" w:type="dxa"/>
          </w:tcPr>
          <w:p>
            <w:pPr>
              <w:jc w:val="center"/>
              <w:rPr>
                <w:rFonts w:ascii="宋体" w:hAnsi="宋体" w:cs="宋体"/>
                <w:szCs w:val="21"/>
              </w:rPr>
            </w:pPr>
            <w:r>
              <w:rPr>
                <w:rFonts w:hint="eastAsia" w:ascii="宋体" w:hAnsi="宋体" w:cs="宋体"/>
                <w:szCs w:val="21"/>
              </w:rPr>
              <w:t>数量</w:t>
            </w:r>
          </w:p>
        </w:tc>
        <w:tc>
          <w:tcPr>
            <w:tcW w:w="1344" w:type="dxa"/>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注：提供</w:t>
      </w:r>
      <w:r>
        <w:rPr>
          <w:rFonts w:hint="eastAsia" w:ascii="宋体" w:hAnsi="宋体" w:cs="宋体"/>
          <w:b/>
          <w:bCs/>
          <w:szCs w:val="21"/>
        </w:rPr>
        <w:t>制造商出具的产品中文说明书、彩页、照片等</w:t>
      </w:r>
      <w:r>
        <w:rPr>
          <w:rFonts w:hint="eastAsia" w:ascii="宋体" w:hAnsi="宋体" w:cs="宋体"/>
          <w:szCs w:val="21"/>
        </w:rPr>
        <w:t>相关资料</w:t>
      </w:r>
    </w:p>
    <w:p>
      <w:pPr>
        <w:rPr>
          <w:rFonts w:ascii="宋体" w:hAnsi="宋体" w:cs="宋体"/>
          <w:sz w:val="24"/>
        </w:rPr>
      </w:pPr>
    </w:p>
    <w:p>
      <w:pPr>
        <w:pStyle w:val="4"/>
        <w:jc w:val="center"/>
        <w:rPr>
          <w:rFonts w:cs="宋体"/>
          <w:bCs w:val="0"/>
          <w:szCs w:val="28"/>
        </w:rPr>
      </w:pPr>
      <w:r>
        <w:rPr>
          <w:rFonts w:hint="eastAsia" w:cs="宋体"/>
          <w:bCs w:val="0"/>
          <w:szCs w:val="28"/>
        </w:rPr>
        <w:t>八、技术规格偏离表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pStyle w:val="9"/>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r>
              <w:rPr>
                <w:rFonts w:hint="eastAsia" w:ascii="宋体" w:hAnsi="宋体" w:cs="宋体"/>
                <w:szCs w:val="21"/>
              </w:rPr>
              <w:t>序号</w:t>
            </w:r>
          </w:p>
        </w:tc>
        <w:tc>
          <w:tcPr>
            <w:tcW w:w="1356" w:type="dxa"/>
          </w:tcPr>
          <w:p>
            <w:pPr>
              <w:rPr>
                <w:rFonts w:ascii="宋体" w:hAnsi="宋体" w:cs="宋体"/>
                <w:szCs w:val="21"/>
              </w:rPr>
            </w:pPr>
            <w:r>
              <w:rPr>
                <w:rFonts w:hint="eastAsia" w:ascii="宋体" w:hAnsi="宋体" w:cs="宋体"/>
                <w:szCs w:val="21"/>
              </w:rPr>
              <w:t>货物名称</w:t>
            </w:r>
          </w:p>
        </w:tc>
        <w:tc>
          <w:tcPr>
            <w:tcW w:w="1356" w:type="dxa"/>
          </w:tcPr>
          <w:p>
            <w:pPr>
              <w:rPr>
                <w:rFonts w:ascii="宋体" w:hAnsi="宋体" w:cs="宋体"/>
                <w:szCs w:val="21"/>
              </w:rPr>
            </w:pPr>
            <w:r>
              <w:rPr>
                <w:rFonts w:hint="eastAsia" w:ascii="宋体" w:hAnsi="宋体" w:cs="宋体"/>
                <w:szCs w:val="21"/>
              </w:rPr>
              <w:t>招标技术要求</w:t>
            </w:r>
          </w:p>
        </w:tc>
        <w:tc>
          <w:tcPr>
            <w:tcW w:w="1356" w:type="dxa"/>
          </w:tcPr>
          <w:p>
            <w:pPr>
              <w:rPr>
                <w:rFonts w:ascii="宋体" w:hAnsi="宋体" w:cs="宋体"/>
                <w:szCs w:val="21"/>
              </w:rPr>
            </w:pPr>
            <w:r>
              <w:rPr>
                <w:rFonts w:hint="eastAsia" w:ascii="宋体" w:hAnsi="宋体" w:cs="宋体"/>
                <w:szCs w:val="21"/>
              </w:rPr>
              <w:t>投标技术响应</w:t>
            </w:r>
          </w:p>
        </w:tc>
        <w:tc>
          <w:tcPr>
            <w:tcW w:w="1484" w:type="dxa"/>
          </w:tcPr>
          <w:p>
            <w:pPr>
              <w:rPr>
                <w:rFonts w:ascii="宋体" w:hAnsi="宋体" w:cs="宋体"/>
                <w:szCs w:val="21"/>
              </w:rPr>
            </w:pPr>
            <w:r>
              <w:rPr>
                <w:rFonts w:hint="eastAsia" w:ascii="宋体" w:hAnsi="宋体" w:cs="宋体"/>
                <w:szCs w:val="21"/>
              </w:rPr>
              <w:t>偏离情况</w:t>
            </w:r>
          </w:p>
        </w:tc>
        <w:tc>
          <w:tcPr>
            <w:tcW w:w="1530" w:type="dxa"/>
          </w:tcPr>
          <w:p>
            <w:pP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rPr>
          <w:rFonts w:ascii="宋体" w:hAnsi="宋体" w:cs="宋体"/>
          <w:szCs w:val="21"/>
        </w:rPr>
      </w:pPr>
      <w:r>
        <w:rPr>
          <w:rFonts w:hint="eastAsia" w:ascii="宋体" w:hAnsi="宋体" w:cs="宋体"/>
          <w:szCs w:val="21"/>
        </w:rPr>
        <w:t>1、“招标技术要求”一栏应</w:t>
      </w:r>
      <w:r>
        <w:rPr>
          <w:rFonts w:hint="eastAsia" w:ascii="宋体" w:hAnsi="宋体" w:cs="宋体"/>
          <w:b/>
          <w:szCs w:val="21"/>
        </w:rPr>
        <w:t>填写招标文件第二章</w:t>
      </w:r>
      <w:r>
        <w:rPr>
          <w:rFonts w:hint="eastAsia" w:ascii="宋体" w:hAnsi="宋体" w:cs="宋体"/>
          <w:szCs w:val="21"/>
        </w:rPr>
        <w:t>“三、具体技术要求”的内容；</w:t>
      </w:r>
    </w:p>
    <w:p>
      <w:pPr>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pPr>
        <w:rPr>
          <w:rFonts w:ascii="宋体" w:hAnsi="宋体" w:cs="宋体"/>
          <w:szCs w:val="21"/>
        </w:rPr>
      </w:pPr>
      <w:r>
        <w:rPr>
          <w:rFonts w:hint="eastAsia" w:ascii="宋体" w:hAnsi="宋体" w:cs="宋体"/>
          <w:szCs w:val="21"/>
        </w:rPr>
        <w:t>3、“偏离情况”一栏应如实填写“正偏离”、“负偏离”或“无偏离”。</w:t>
      </w:r>
    </w:p>
    <w:p>
      <w:pPr>
        <w:rPr>
          <w:rFonts w:ascii="宋体" w:hAnsi="宋体" w:cs="宋体"/>
          <w:szCs w:val="21"/>
        </w:rPr>
      </w:pPr>
      <w:r>
        <w:rPr>
          <w:rFonts w:hint="eastAsia" w:ascii="宋体" w:hAnsi="宋体" w:cs="宋体"/>
          <w:szCs w:val="21"/>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rPr>
          <w:rFonts w:ascii="宋体" w:hAnsi="宋体" w:cs="宋体"/>
          <w:szCs w:val="21"/>
        </w:rPr>
      </w:pPr>
      <w:r>
        <w:rPr>
          <w:rFonts w:hint="eastAsia" w:ascii="宋体" w:hAnsi="宋体" w:cs="宋体"/>
          <w:szCs w:val="21"/>
        </w:rPr>
        <w:t>5、证明资料（均为原件扫描件）的提供要求：</w:t>
      </w:r>
    </w:p>
    <w:p>
      <w:pPr>
        <w:rPr>
          <w:rFonts w:ascii="宋体" w:hAnsi="宋体" w:cs="宋体"/>
          <w:szCs w:val="21"/>
        </w:rPr>
      </w:pPr>
      <w:r>
        <w:rPr>
          <w:rFonts w:hint="eastAsia" w:ascii="宋体" w:hAnsi="宋体" w:cs="宋体"/>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rPr>
          <w:rFonts w:ascii="宋体" w:hAnsi="宋体" w:cs="宋体"/>
          <w:szCs w:val="21"/>
        </w:rPr>
      </w:pPr>
      <w:r>
        <w:rPr>
          <w:rFonts w:hint="eastAsia" w:ascii="宋体" w:hAnsi="宋体" w:cs="宋体"/>
          <w:szCs w:val="21"/>
        </w:rPr>
        <w:t>（2）我国政府机构出具的产品检验和核准证件应为证件正面、背面和附件标注的全部具体内容；产品检验和核准证件的尺寸和清晰度应该能够被阅读、识别和判断。未达到以上提供要求的，评标委员会有权认定为不合格响应，其相关分数予以扣减或作废标处理。</w:t>
      </w:r>
    </w:p>
    <w:p>
      <w:pPr>
        <w:rPr>
          <w:rFonts w:ascii="宋体" w:hAnsi="宋体" w:cs="宋体"/>
          <w:szCs w:val="21"/>
        </w:rPr>
      </w:pPr>
      <w:r>
        <w:rPr>
          <w:rFonts w:hint="eastAsia" w:ascii="宋体" w:hAnsi="宋体" w:cs="宋体"/>
          <w:szCs w:val="21"/>
        </w:rPr>
        <w:t>6、评标委员会有权对以谋取中标为目的的技术规格模糊响应（如有意照搬照抄招标文件的技术要求）或虚假响应予以认定，并视情况经集中采购机构报市政府采购监督管理部门予以处罚。</w:t>
      </w:r>
    </w:p>
    <w:p>
      <w:pPr>
        <w:rPr>
          <w:rFonts w:ascii="宋体" w:hAnsi="宋体" w:cs="宋体"/>
          <w:sz w:val="24"/>
        </w:rPr>
      </w:pPr>
    </w:p>
    <w:p>
      <w:pPr>
        <w:pStyle w:val="4"/>
        <w:jc w:val="center"/>
        <w:rPr>
          <w:rFonts w:cs="宋体"/>
          <w:bCs w:val="0"/>
          <w:szCs w:val="28"/>
        </w:rPr>
      </w:pPr>
      <w:r>
        <w:rPr>
          <w:rFonts w:hint="eastAsia" w:cs="宋体"/>
          <w:bCs w:val="0"/>
          <w:szCs w:val="28"/>
        </w:rPr>
        <w:t>九、商务需求偏离表</w:t>
      </w:r>
    </w:p>
    <w:p>
      <w:pPr>
        <w:rPr>
          <w:rFonts w:ascii="宋体" w:hAnsi="宋体" w:cs="宋体"/>
          <w:b/>
          <w:szCs w:val="21"/>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rPr>
          <w:rFonts w:ascii="宋体" w:hAnsi="宋体" w:cs="宋体"/>
          <w:szCs w:val="21"/>
        </w:rPr>
      </w:pPr>
    </w:p>
    <w:tbl>
      <w:tblPr>
        <w:tblStyle w:val="16"/>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序号</w:t>
            </w:r>
          </w:p>
        </w:tc>
        <w:tc>
          <w:tcPr>
            <w:tcW w:w="10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目录</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招标商务条款</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响应商务条款</w:t>
            </w:r>
          </w:p>
        </w:tc>
        <w:tc>
          <w:tcPr>
            <w:tcW w:w="144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偏离情况</w:t>
            </w:r>
          </w:p>
        </w:tc>
        <w:tc>
          <w:tcPr>
            <w:tcW w:w="1164"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1</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2</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1.“商务需求”一栏必须填写采购文件第二章“商务需求”的内容分别对应的内容进行填写。</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2.“投标商务条款”一栏必须详细填写投标商务条款的内容。</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3.“偏离情况”栏中应如实填写“正偏离”、“负偏离”或“无偏离”。</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3.交货期条款为不可负偏离条款，投标文件响应为“负偏离”的，投标文件将按废标处理。</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4.开标一览表中填写的“交货期”必须与本表填写的“交货期”一致。如填写不一致，以开标一览表填写的“交货期”为准。</w:t>
      </w:r>
    </w:p>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 </w:t>
      </w:r>
    </w:p>
    <w:p>
      <w:pPr>
        <w:rPr>
          <w:rFonts w:ascii="宋体" w:hAnsi="宋体" w:cs="宋体"/>
        </w:rPr>
      </w:pPr>
    </w:p>
    <w:p>
      <w:pPr>
        <w:pStyle w:val="4"/>
        <w:jc w:val="center"/>
        <w:rPr>
          <w:rFonts w:cs="宋体"/>
          <w:kern w:val="0"/>
          <w:szCs w:val="28"/>
        </w:rPr>
      </w:pPr>
      <w:r>
        <w:rPr>
          <w:rFonts w:hint="eastAsia" w:cs="宋体"/>
          <w:kern w:val="0"/>
          <w:szCs w:val="28"/>
        </w:rPr>
        <w:t>十、技术保障措施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4"/>
        <w:jc w:val="center"/>
        <w:rPr>
          <w:rFonts w:cs="宋体"/>
          <w:kern w:val="0"/>
          <w:szCs w:val="28"/>
        </w:rPr>
      </w:pPr>
      <w:r>
        <w:rPr>
          <w:rFonts w:hint="eastAsia" w:cs="宋体"/>
          <w:kern w:val="0"/>
          <w:szCs w:val="28"/>
        </w:rPr>
        <w:t>十一、</w:t>
      </w:r>
      <w:r>
        <w:rPr>
          <w:rFonts w:hint="eastAsia" w:cs="宋体"/>
          <w:kern w:val="0"/>
          <w:szCs w:val="28"/>
          <w:lang w:val="en-US" w:eastAsia="zh-CN"/>
        </w:rPr>
        <w:t>安装</w:t>
      </w:r>
      <w:r>
        <w:rPr>
          <w:rFonts w:hint="eastAsia" w:cs="宋体"/>
          <w:kern w:val="0"/>
          <w:szCs w:val="28"/>
        </w:rPr>
        <w:t>安全</w:t>
      </w:r>
      <w:r>
        <w:rPr>
          <w:rFonts w:hint="eastAsia" w:cs="宋体"/>
          <w:kern w:val="0"/>
          <w:szCs w:val="28"/>
          <w:lang w:val="en-US" w:eastAsia="zh-CN"/>
        </w:rPr>
        <w:t>及质量</w:t>
      </w:r>
      <w:r>
        <w:rPr>
          <w:rFonts w:hint="eastAsia" w:cs="宋体"/>
          <w:kern w:val="0"/>
          <w:szCs w:val="28"/>
        </w:rPr>
        <w:t>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4"/>
        <w:jc w:val="center"/>
        <w:rPr>
          <w:rFonts w:cs="宋体"/>
          <w:kern w:val="0"/>
          <w:szCs w:val="28"/>
        </w:rPr>
      </w:pPr>
      <w:r>
        <w:rPr>
          <w:rFonts w:hint="eastAsia" w:cs="宋体"/>
          <w:kern w:val="0"/>
          <w:szCs w:val="28"/>
        </w:rPr>
        <w:t>十二、售后服务方案</w:t>
      </w:r>
    </w:p>
    <w:p>
      <w:pPr>
        <w:rPr>
          <w:rFonts w:ascii="宋体" w:hAnsi="宋体" w:cs="宋体"/>
          <w:sz w:val="24"/>
        </w:rPr>
      </w:pPr>
    </w:p>
    <w:p>
      <w:pPr>
        <w:rPr>
          <w:rFonts w:ascii="宋体" w:hAnsi="宋体" w:cs="宋体"/>
          <w:szCs w:val="21"/>
        </w:rPr>
      </w:pPr>
      <w:r>
        <w:rPr>
          <w:rFonts w:hint="eastAsia" w:ascii="宋体" w:hAnsi="宋体" w:cs="宋体"/>
          <w:szCs w:val="21"/>
        </w:rPr>
        <w:t>主要内容应包括(根据项目实际情况适当调整内容)：</w:t>
      </w:r>
    </w:p>
    <w:p>
      <w:pPr>
        <w:rPr>
          <w:rFonts w:ascii="宋体" w:hAnsi="宋体" w:cs="宋体"/>
          <w:szCs w:val="21"/>
        </w:rPr>
      </w:pPr>
      <w:r>
        <w:rPr>
          <w:rFonts w:hint="eastAsia" w:ascii="宋体" w:hAnsi="宋体" w:cs="宋体"/>
          <w:szCs w:val="21"/>
        </w:rPr>
        <w:t>（1）整体售后服务方案；</w:t>
      </w:r>
    </w:p>
    <w:p>
      <w:pPr>
        <w:rPr>
          <w:rFonts w:ascii="宋体" w:hAnsi="宋体" w:cs="宋体"/>
          <w:szCs w:val="21"/>
        </w:rPr>
      </w:pPr>
      <w:r>
        <w:rPr>
          <w:rFonts w:hint="eastAsia" w:ascii="宋体" w:hAnsi="宋体" w:cs="宋体"/>
          <w:szCs w:val="21"/>
        </w:rPr>
        <w:t>（2）维修服务队伍；</w:t>
      </w:r>
    </w:p>
    <w:p>
      <w:pPr>
        <w:rPr>
          <w:rFonts w:ascii="宋体" w:hAnsi="宋体" w:cs="宋体"/>
          <w:szCs w:val="21"/>
        </w:rPr>
      </w:pPr>
      <w:r>
        <w:rPr>
          <w:rFonts w:hint="eastAsia" w:ascii="宋体" w:hAnsi="宋体" w:cs="宋体"/>
          <w:szCs w:val="21"/>
        </w:rPr>
        <w:t>（3）维修响应时间；</w:t>
      </w:r>
    </w:p>
    <w:p>
      <w:pPr>
        <w:rPr>
          <w:rFonts w:ascii="宋体" w:hAnsi="宋体" w:cs="宋体"/>
          <w:szCs w:val="21"/>
        </w:rPr>
      </w:pPr>
      <w:r>
        <w:rPr>
          <w:rFonts w:hint="eastAsia" w:ascii="宋体" w:hAnsi="宋体" w:cs="宋体"/>
          <w:szCs w:val="21"/>
        </w:rPr>
        <w:t>（4）配件储备情况。</w:t>
      </w:r>
    </w:p>
    <w:p>
      <w:r>
        <w:rPr>
          <w:rFonts w:hint="eastAsia" w:ascii="宋体" w:hAnsi="宋体" w:cs="宋体"/>
          <w:b/>
          <w:szCs w:val="21"/>
        </w:rPr>
        <w:t>（备注：该部分须与“商务需求”承诺的内容相呼应，不得前后矛盾。）</w:t>
      </w:r>
    </w:p>
    <w:p>
      <w:pPr>
        <w:pStyle w:val="11"/>
      </w:pPr>
    </w:p>
    <w:p>
      <w:pPr>
        <w:rPr>
          <w:rFonts w:ascii="宋体" w:hAnsi="宋体" w:cs="宋体"/>
          <w:bCs/>
          <w:szCs w:val="21"/>
        </w:rPr>
      </w:pPr>
    </w:p>
    <w:sectPr>
      <w:footerReference r:id="rId3" w:type="default"/>
      <w:pgSz w:w="11906" w:h="16838"/>
      <w:pgMar w:top="1440" w:right="1800" w:bottom="126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04DDE"/>
    <w:multiLevelType w:val="singleLevel"/>
    <w:tmpl w:val="90A04DDE"/>
    <w:lvl w:ilvl="0" w:tentative="0">
      <w:start w:val="2"/>
      <w:numFmt w:val="chineseCounting"/>
      <w:suff w:val="nothing"/>
      <w:lvlText w:val="（%1）"/>
      <w:lvlJc w:val="left"/>
      <w:rPr>
        <w:rFonts w:hint="eastAsia"/>
      </w:rPr>
    </w:lvl>
  </w:abstractNum>
  <w:abstractNum w:abstractNumId="1">
    <w:nsid w:val="B71CD0F6"/>
    <w:multiLevelType w:val="singleLevel"/>
    <w:tmpl w:val="B71CD0F6"/>
    <w:lvl w:ilvl="0" w:tentative="0">
      <w:start w:val="2"/>
      <w:numFmt w:val="chineseCounting"/>
      <w:suff w:val="nothing"/>
      <w:lvlText w:val="%1、"/>
      <w:lvlJc w:val="left"/>
      <w:rPr>
        <w:rFonts w:hint="eastAsia"/>
      </w:rPr>
    </w:lvl>
  </w:abstractNum>
  <w:abstractNum w:abstractNumId="2">
    <w:nsid w:val="3C85A461"/>
    <w:multiLevelType w:val="singleLevel"/>
    <w:tmpl w:val="3C85A461"/>
    <w:lvl w:ilvl="0" w:tentative="0">
      <w:start w:val="1"/>
      <w:numFmt w:val="decimal"/>
      <w:suff w:val="nothing"/>
      <w:lvlText w:val="%1、"/>
      <w:lvlJc w:val="left"/>
    </w:lvl>
  </w:abstractNum>
  <w:abstractNum w:abstractNumId="3">
    <w:nsid w:val="62064AA1"/>
    <w:multiLevelType w:val="multilevel"/>
    <w:tmpl w:val="62064AA1"/>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xMDM0MzI5MGQ4MjJjNjFiM2IwNjViZGFiYzQyNWYifQ=="/>
    <w:docVar w:name="KSO_WPS_MARK_KEY" w:val="b85b1f25-ac70-4f09-a64c-f0f04b2f9994"/>
  </w:docVars>
  <w:rsids>
    <w:rsidRoot w:val="008E06EA"/>
    <w:rsid w:val="000958E5"/>
    <w:rsid w:val="001338D7"/>
    <w:rsid w:val="002B1235"/>
    <w:rsid w:val="00390C90"/>
    <w:rsid w:val="003C1F11"/>
    <w:rsid w:val="003C75D3"/>
    <w:rsid w:val="005821A2"/>
    <w:rsid w:val="006E43F1"/>
    <w:rsid w:val="0079565D"/>
    <w:rsid w:val="008E06EA"/>
    <w:rsid w:val="00960C58"/>
    <w:rsid w:val="009C137A"/>
    <w:rsid w:val="00A151C1"/>
    <w:rsid w:val="00A2554D"/>
    <w:rsid w:val="00A72C32"/>
    <w:rsid w:val="00AF491E"/>
    <w:rsid w:val="00B626E5"/>
    <w:rsid w:val="00BD34F2"/>
    <w:rsid w:val="00C815FC"/>
    <w:rsid w:val="00CF7933"/>
    <w:rsid w:val="00D02822"/>
    <w:rsid w:val="00D22651"/>
    <w:rsid w:val="00D415BF"/>
    <w:rsid w:val="00D7132D"/>
    <w:rsid w:val="02C35610"/>
    <w:rsid w:val="076A4ABC"/>
    <w:rsid w:val="26B82091"/>
    <w:rsid w:val="3C602787"/>
    <w:rsid w:val="3D8A54BD"/>
    <w:rsid w:val="411F02FE"/>
    <w:rsid w:val="42B10A7D"/>
    <w:rsid w:val="4E273257"/>
    <w:rsid w:val="52B37A56"/>
    <w:rsid w:val="53C012FA"/>
    <w:rsid w:val="565A0366"/>
    <w:rsid w:val="56F95DAB"/>
    <w:rsid w:val="583556C9"/>
    <w:rsid w:val="6404609E"/>
    <w:rsid w:val="665004E8"/>
    <w:rsid w:val="685130EA"/>
    <w:rsid w:val="6BBD7F7B"/>
    <w:rsid w:val="6EE92007"/>
    <w:rsid w:val="76231D2E"/>
    <w:rsid w:val="772174F0"/>
    <w:rsid w:val="79156FC5"/>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spacing w:before="340" w:after="330" w:line="360" w:lineRule="auto"/>
      <w:jc w:val="center"/>
      <w:outlineLvl w:val="0"/>
    </w:pPr>
    <w:rPr>
      <w:kern w:val="44"/>
      <w:sz w:val="32"/>
      <w:szCs w:val="36"/>
    </w:rPr>
  </w:style>
  <w:style w:type="paragraph" w:styleId="6">
    <w:name w:val="heading 2"/>
    <w:basedOn w:val="4"/>
    <w:next w:val="5"/>
    <w:autoRedefine/>
    <w:qFormat/>
    <w:uiPriority w:val="0"/>
    <w:pPr>
      <w:adjustRightInd w:val="0"/>
      <w:jc w:val="center"/>
      <w:textAlignment w:val="baseline"/>
      <w:outlineLvl w:val="1"/>
    </w:pPr>
    <w:rPr>
      <w:bCs w:val="0"/>
      <w:kern w:val="0"/>
      <w:szCs w:val="20"/>
    </w:rPr>
  </w:style>
  <w:style w:type="paragraph" w:styleId="4">
    <w:name w:val="heading 3"/>
    <w:basedOn w:val="5"/>
    <w:next w:val="1"/>
    <w:autoRedefine/>
    <w:qFormat/>
    <w:uiPriority w:val="0"/>
    <w:pPr>
      <w:spacing w:before="260" w:after="260" w:line="240" w:lineRule="auto"/>
      <w:outlineLvl w:val="2"/>
    </w:pPr>
    <w:rPr>
      <w:rFonts w:ascii="宋体" w:hAnsi="宋体" w:eastAsia="宋体"/>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99"/>
    <w:pPr>
      <w:spacing w:before="25" w:after="25"/>
    </w:pPr>
    <w:rPr>
      <w:spacing w:val="10"/>
      <w:sz w:val="24"/>
    </w:rPr>
  </w:style>
  <w:style w:type="paragraph" w:styleId="7">
    <w:name w:val="Normal Indent"/>
    <w:basedOn w:val="1"/>
    <w:autoRedefine/>
    <w:qFormat/>
    <w:uiPriority w:val="0"/>
    <w:pPr>
      <w:ind w:firstLine="420" w:firstLineChars="200"/>
    </w:pPr>
  </w:style>
  <w:style w:type="paragraph" w:styleId="8">
    <w:name w:val="annotation text"/>
    <w:basedOn w:val="1"/>
    <w:autoRedefine/>
    <w:qFormat/>
    <w:uiPriority w:val="0"/>
    <w:pPr>
      <w:jc w:val="left"/>
    </w:pPr>
  </w:style>
  <w:style w:type="paragraph" w:styleId="9">
    <w:name w:val="Body Text"/>
    <w:basedOn w:val="1"/>
    <w:next w:val="1"/>
    <w:autoRedefine/>
    <w:qFormat/>
    <w:uiPriority w:val="0"/>
    <w:pPr>
      <w:spacing w:line="360" w:lineRule="auto"/>
    </w:pPr>
    <w:rPr>
      <w:b/>
      <w:bCs/>
      <w:sz w:val="24"/>
    </w:rPr>
  </w:style>
  <w:style w:type="paragraph" w:styleId="10">
    <w:name w:val="Body Text Indent"/>
    <w:basedOn w:val="1"/>
    <w:next w:val="11"/>
    <w:autoRedefine/>
    <w:qFormat/>
    <w:uiPriority w:val="0"/>
    <w:pPr>
      <w:spacing w:line="360" w:lineRule="auto"/>
      <w:ind w:firstLine="420" w:firstLineChars="200"/>
    </w:pPr>
  </w:style>
  <w:style w:type="paragraph" w:styleId="11">
    <w:name w:val="Body Text First Indent 2"/>
    <w:basedOn w:val="10"/>
    <w:autoRedefine/>
    <w:unhideWhenUsed/>
    <w:qFormat/>
    <w:uiPriority w:val="99"/>
    <w:pPr>
      <w:spacing w:after="120"/>
      <w:ind w:left="420" w:leftChars="200"/>
    </w:pPr>
    <w:rPr>
      <w:rFonts w:ascii="Calibri" w:hAnsi="Calibri"/>
      <w:szCs w:val="22"/>
    </w:rPr>
  </w:style>
  <w:style w:type="paragraph" w:styleId="12">
    <w:name w:val="Plain Text"/>
    <w:basedOn w:val="1"/>
    <w:autoRedefine/>
    <w:qFormat/>
    <w:uiPriority w:val="0"/>
    <w:rPr>
      <w:rFonts w:ascii="宋体" w:hAnsi="Courier New"/>
      <w:kern w:val="0"/>
      <w:sz w:val="20"/>
      <w:szCs w:val="20"/>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8">
    <w:name w:val="Strong"/>
    <w:basedOn w:val="17"/>
    <w:autoRedefine/>
    <w:qFormat/>
    <w:uiPriority w:val="22"/>
    <w:rPr>
      <w:b/>
      <w:bCs/>
    </w:rPr>
  </w:style>
  <w:style w:type="character" w:styleId="19">
    <w:name w:val="FollowedHyperlink"/>
    <w:basedOn w:val="17"/>
    <w:autoRedefine/>
    <w:qFormat/>
    <w:uiPriority w:val="0"/>
    <w:rPr>
      <w:color w:val="954F72" w:themeColor="followedHyperlink"/>
      <w:u w:val="single"/>
      <w14:textFill>
        <w14:solidFill>
          <w14:schemeClr w14:val="folHlink"/>
        </w14:solidFill>
      </w14:textFill>
    </w:rPr>
  </w:style>
  <w:style w:type="character" w:styleId="20">
    <w:name w:val="Hyperlink"/>
    <w:autoRedefine/>
    <w:unhideWhenUsed/>
    <w:qFormat/>
    <w:uiPriority w:val="99"/>
    <w:rPr>
      <w:color w:val="0000FF"/>
      <w:u w:val="single"/>
    </w:rPr>
  </w:style>
  <w:style w:type="character" w:styleId="21">
    <w:name w:val="annotation reference"/>
    <w:autoRedefine/>
    <w:unhideWhenUsed/>
    <w:qFormat/>
    <w:uiPriority w:val="0"/>
    <w:rPr>
      <w:sz w:val="21"/>
      <w:szCs w:val="21"/>
    </w:rPr>
  </w:style>
  <w:style w:type="character" w:customStyle="1" w:styleId="22">
    <w:name w:val="标题 3 Char"/>
    <w:autoRedefine/>
    <w:qFormat/>
    <w:uiPriority w:val="0"/>
    <w:rPr>
      <w:rFonts w:ascii="黑体" w:eastAsia="黑体"/>
      <w:bCs/>
      <w:sz w:val="30"/>
    </w:rPr>
  </w:style>
  <w:style w:type="character" w:customStyle="1" w:styleId="23">
    <w:name w:val="Unresolved Mention"/>
    <w:basedOn w:val="17"/>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4329</Words>
  <Characters>4405</Characters>
  <Lines>75</Lines>
  <Paragraphs>21</Paragraphs>
  <TotalTime>7</TotalTime>
  <ScaleCrop>false</ScaleCrop>
  <LinksUpToDate>false</LinksUpToDate>
  <CharactersWithSpaces>5085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15001</cp:lastModifiedBy>
  <dcterms:modified xsi:type="dcterms:W3CDTF">2024-05-15T12:09:07Z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FBC8D5B965AB498B919C9C582390BD4C_13</vt:lpwstr>
  </property>
</Properties>
</file>