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2024年学生湖南研学实践活动招标文件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eastAsia="zh-CN"/>
        </w:rPr>
        <w:t>四</w:t>
      </w:r>
      <w:r>
        <w:rPr>
          <w:rFonts w:hint="eastAsia" w:ascii="黑体" w:hAnsi="华文中宋" w:eastAsia="黑体" w:cs="Arial"/>
          <w:sz w:val="32"/>
          <w:szCs w:val="32"/>
        </w:rPr>
        <w:t>年</w:t>
      </w:r>
      <w:r>
        <w:rPr>
          <w:rFonts w:hint="eastAsia" w:ascii="黑体" w:hAnsi="华文中宋" w:eastAsia="黑体" w:cs="Arial"/>
          <w:sz w:val="32"/>
          <w:szCs w:val="32"/>
          <w:lang w:eastAsia="zh-CN"/>
        </w:rPr>
        <w:t>五月</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深圳市第一职业技术学校2024年学生湖南研学实践活动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eastAsia="zh-CN"/>
        </w:rPr>
        <w:t>服务</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3"/>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3"/>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3"/>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2"/>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2"/>
              <w:widowControl/>
              <w:spacing w:line="324" w:lineRule="auto"/>
              <w:ind w:left="420"/>
              <w:rPr>
                <w:sz w:val="21"/>
                <w:szCs w:val="21"/>
              </w:rPr>
            </w:pPr>
            <w:r>
              <w:rPr>
                <w:sz w:val="21"/>
                <w:szCs w:val="21"/>
              </w:rPr>
              <w:t>投标报价得分=(评标基准价／投标报价)×100</w:t>
            </w:r>
          </w:p>
          <w:p>
            <w:pPr>
              <w:pStyle w:val="12"/>
              <w:widowControl/>
              <w:spacing w:line="324" w:lineRule="auto"/>
              <w:ind w:left="420"/>
              <w:rPr>
                <w:sz w:val="21"/>
                <w:szCs w:val="21"/>
              </w:rPr>
            </w:pPr>
            <w:r>
              <w:rPr>
                <w:sz w:val="21"/>
                <w:szCs w:val="21"/>
              </w:rPr>
              <w:t xml:space="preserve">评标总得分＝F1×A1＋F2×A2＋……＋Fn×An </w:t>
            </w:r>
          </w:p>
          <w:p>
            <w:pPr>
              <w:pStyle w:val="12"/>
              <w:widowControl/>
              <w:spacing w:line="324" w:lineRule="auto"/>
              <w:ind w:left="420"/>
              <w:rPr>
                <w:sz w:val="21"/>
                <w:szCs w:val="21"/>
              </w:rPr>
            </w:pPr>
            <w:r>
              <w:rPr>
                <w:sz w:val="21"/>
                <w:szCs w:val="21"/>
              </w:rPr>
              <w:t xml:space="preserve">F1、F2……Fn分别为各项评审因素的得分； </w:t>
            </w:r>
          </w:p>
          <w:p>
            <w:pPr>
              <w:pStyle w:val="12"/>
              <w:widowControl/>
              <w:spacing w:line="324" w:lineRule="auto"/>
              <w:ind w:left="420"/>
              <w:rPr>
                <w:sz w:val="21"/>
                <w:szCs w:val="21"/>
              </w:rPr>
            </w:pPr>
            <w:r>
              <w:rPr>
                <w:sz w:val="21"/>
                <w:szCs w:val="21"/>
              </w:rPr>
              <w:t xml:space="preserve">A1、A2、……An 分别为各项评审因素所占的权重(A1＋A2＋……＋An＝1)。 </w:t>
            </w:r>
          </w:p>
          <w:p>
            <w:pPr>
              <w:pStyle w:val="12"/>
              <w:widowControl/>
              <w:spacing w:line="324" w:lineRule="auto"/>
              <w:ind w:left="420"/>
              <w:rPr>
                <w:sz w:val="21"/>
                <w:szCs w:val="21"/>
              </w:rPr>
            </w:pPr>
            <w:r>
              <w:rPr>
                <w:sz w:val="21"/>
                <w:szCs w:val="21"/>
              </w:rPr>
              <w:t xml:space="preserve">评标过程中，不得去掉报价中的最高报价和最低报价。 </w:t>
            </w:r>
          </w:p>
          <w:p>
            <w:pPr>
              <w:pStyle w:val="12"/>
              <w:widowControl/>
              <w:spacing w:line="324" w:lineRule="auto"/>
              <w:ind w:left="420"/>
              <w:rPr>
                <w:sz w:val="21"/>
                <w:szCs w:val="21"/>
              </w:rPr>
            </w:pPr>
            <w:r>
              <w:rPr>
                <w:sz w:val="21"/>
                <w:szCs w:val="21"/>
              </w:rPr>
              <w:t>此方法适用于货物类、服务类、工程类项目。</w:t>
            </w:r>
          </w:p>
        </w:tc>
      </w:tr>
    </w:tbl>
    <w:p/>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28"/>
        <w:gridCol w:w="649"/>
        <w:gridCol w:w="1032"/>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评分项</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一、价格部分</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pPr>
              <w:spacing w:line="360" w:lineRule="exact"/>
              <w:ind w:firstLine="420" w:firstLineChars="200"/>
              <w:rPr>
                <w:rFonts w:ascii="宋体" w:hAnsi="宋体" w:cs="宋体"/>
                <w:szCs w:val="21"/>
              </w:rPr>
            </w:pPr>
            <w:r>
              <w:rPr>
                <w:rFonts w:hint="eastAsia" w:ascii="宋体" w:hAnsi="宋体" w:cs="宋体"/>
                <w:szCs w:val="21"/>
              </w:rPr>
              <w:t>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0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lang w:val="zh-CN"/>
              </w:rPr>
              <w:t>二、</w:t>
            </w:r>
            <w:r>
              <w:rPr>
                <w:rFonts w:hint="eastAsia" w:ascii="宋体" w:hAnsi="宋体" w:cs="宋体"/>
                <w:b/>
                <w:szCs w:val="21"/>
              </w:rPr>
              <w:t>技术部分</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lang w:val="en-US" w:eastAsia="zh-CN"/>
              </w:rPr>
              <w:t>40</w:t>
            </w:r>
            <w:r>
              <w:rPr>
                <w:rFonts w:hint="eastAsia" w:ascii="宋体" w:hAnsi="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序号</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评分因素</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
                <w:szCs w:val="21"/>
              </w:rPr>
            </w:pPr>
            <w:r>
              <w:rPr>
                <w:rFonts w:hint="eastAsia" w:ascii="宋体" w:hAnsi="宋体" w:cs="宋体"/>
                <w:b/>
                <w:szCs w:val="21"/>
              </w:rPr>
              <w:t>具体</w:t>
            </w:r>
          </w:p>
          <w:p>
            <w:pPr>
              <w:spacing w:line="360" w:lineRule="exact"/>
              <w:jc w:val="center"/>
              <w:rPr>
                <w:rFonts w:ascii="宋体" w:hAnsi="宋体" w:cs="宋体"/>
                <w:b/>
                <w:szCs w:val="21"/>
              </w:rPr>
            </w:pPr>
            <w:r>
              <w:rPr>
                <w:rFonts w:hint="eastAsia" w:ascii="宋体" w:hAnsi="宋体" w:cs="宋体"/>
                <w:b/>
                <w:szCs w:val="21"/>
              </w:rPr>
              <w:t>分值</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评标方式</w:t>
            </w:r>
          </w:p>
        </w:tc>
        <w:tc>
          <w:tcPr>
            <w:tcW w:w="5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1</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实施方案</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kern w:val="0"/>
                <w:szCs w:val="21"/>
              </w:rPr>
            </w:pPr>
            <w:r>
              <w:rPr>
                <w:rFonts w:hint="eastAsia" w:ascii="宋体" w:hAnsi="宋体" w:cs="宋体"/>
                <w:kern w:val="0"/>
                <w:szCs w:val="21"/>
              </w:rPr>
              <w:t>5</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专家打分</w:t>
            </w:r>
          </w:p>
        </w:tc>
        <w:tc>
          <w:tcPr>
            <w:tcW w:w="5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（一）评分内容：</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szCs w:val="21"/>
              </w:rPr>
            </w:pPr>
            <w:r>
              <w:rPr>
                <w:rFonts w:hint="eastAsia" w:ascii="宋体" w:hAnsi="宋体" w:cs="宋体"/>
                <w:szCs w:val="21"/>
              </w:rPr>
              <w:t>针对本次招标项目策划出完整的活动方案（对活动主题、意义、内容、行程作出详细说明），且要体现出教育意义。</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szCs w:val="21"/>
              </w:rPr>
            </w:pPr>
            <w:r>
              <w:rPr>
                <w:rFonts w:hint="eastAsia" w:ascii="宋体" w:hAnsi="宋体" w:cs="宋体"/>
                <w:szCs w:val="21"/>
              </w:rPr>
              <w:t>（1）课程方案全面完善，设计目标清晰明确。</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szCs w:val="21"/>
              </w:rPr>
            </w:pPr>
            <w:r>
              <w:rPr>
                <w:rFonts w:hint="eastAsia" w:ascii="宋体" w:hAnsi="宋体" w:cs="宋体"/>
                <w:szCs w:val="21"/>
              </w:rPr>
              <w:t>（2）课程方案一般满足客户的实际需求，</w:t>
            </w:r>
            <w:r>
              <w:rPr>
                <w:rFonts w:hint="eastAsia" w:ascii="宋体" w:hAnsi="宋体" w:cs="宋体"/>
                <w:bCs/>
              </w:rPr>
              <w:t>具有较强教育意义</w:t>
            </w:r>
            <w:r>
              <w:rPr>
                <w:rFonts w:hint="eastAsia" w:ascii="宋体" w:hAnsi="宋体" w:cs="宋体"/>
                <w:szCs w:val="21"/>
              </w:rPr>
              <w:t>。</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szCs w:val="21"/>
              </w:rPr>
            </w:pPr>
            <w:r>
              <w:rPr>
                <w:rFonts w:hint="eastAsia" w:ascii="宋体" w:hAnsi="宋体" w:cs="宋体"/>
                <w:szCs w:val="21"/>
              </w:rPr>
              <w:t>（3）课程方案具有较强的操作性实施性。</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（二）评分依据：</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szCs w:val="21"/>
              </w:rPr>
            </w:pPr>
            <w:r>
              <w:rPr>
                <w:rFonts w:hint="eastAsia" w:ascii="宋体" w:hAnsi="宋体" w:cs="宋体"/>
                <w:szCs w:val="21"/>
              </w:rPr>
              <w:t>满足以上3项得5分，满足以上2项得2分，满足以上1项得1分，其他情况不得分。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2</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szCs w:val="21"/>
              </w:rPr>
              <w:t>组织方案</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kern w:val="0"/>
                <w:szCs w:val="21"/>
              </w:rPr>
            </w:pPr>
            <w:r>
              <w:rPr>
                <w:rFonts w:hint="eastAsia" w:ascii="宋体" w:hAnsi="宋体" w:cs="宋体"/>
                <w:kern w:val="0"/>
                <w:szCs w:val="21"/>
              </w:rPr>
              <w:t>5</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专家打分</w:t>
            </w:r>
          </w:p>
        </w:tc>
        <w:tc>
          <w:tcPr>
            <w:tcW w:w="5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（一）评分内容：</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iCs/>
                <w:szCs w:val="21"/>
              </w:rPr>
            </w:pPr>
            <w:r>
              <w:rPr>
                <w:rFonts w:hint="eastAsia" w:ascii="宋体" w:hAnsi="宋体" w:cs="宋体"/>
                <w:iCs/>
                <w:szCs w:val="21"/>
              </w:rPr>
              <w:t>要求提供规范的组织实施流程、管理制度、奖罚细则，提供社会实践标准服务，活动方案科学、合理、可操作性强，并能严格按方案实施。</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iCs/>
                <w:szCs w:val="21"/>
              </w:rPr>
            </w:pPr>
            <w:r>
              <w:rPr>
                <w:rFonts w:hint="eastAsia" w:ascii="宋体" w:hAnsi="宋体" w:cs="宋体"/>
                <w:szCs w:val="21"/>
              </w:rPr>
              <w:t>（1）组织实施</w:t>
            </w:r>
            <w:r>
              <w:rPr>
                <w:rFonts w:hint="eastAsia" w:ascii="宋体" w:hAnsi="宋体" w:cs="宋体"/>
                <w:iCs/>
                <w:szCs w:val="21"/>
              </w:rPr>
              <w:t>方案全面完善，设计目标清晰明确，充分满足客户的应用需求。</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iCs/>
                <w:szCs w:val="21"/>
              </w:rPr>
            </w:pPr>
            <w:r>
              <w:rPr>
                <w:rFonts w:hint="eastAsia" w:ascii="宋体" w:hAnsi="宋体" w:cs="宋体"/>
                <w:szCs w:val="21"/>
              </w:rPr>
              <w:t>（2）组织实施</w:t>
            </w:r>
            <w:r>
              <w:rPr>
                <w:rFonts w:hint="eastAsia" w:ascii="宋体" w:hAnsi="宋体" w:cs="宋体"/>
                <w:iCs/>
                <w:szCs w:val="21"/>
              </w:rPr>
              <w:t>方案活动方案科学、合理、可操作性强。</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iCs/>
                <w:szCs w:val="21"/>
              </w:rPr>
            </w:pPr>
            <w:r>
              <w:rPr>
                <w:rFonts w:hint="eastAsia" w:ascii="宋体" w:hAnsi="宋体" w:cs="宋体"/>
                <w:szCs w:val="21"/>
              </w:rPr>
              <w:t>（3）组织实施</w:t>
            </w:r>
            <w:r>
              <w:rPr>
                <w:rFonts w:hint="eastAsia" w:ascii="宋体" w:hAnsi="宋体" w:cs="宋体"/>
                <w:iCs/>
                <w:szCs w:val="21"/>
              </w:rPr>
              <w:t>方案可满足采购人本项目的需求，具有较强的教育意义。</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（二）评分依据：</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szCs w:val="21"/>
              </w:rPr>
            </w:pPr>
            <w:r>
              <w:rPr>
                <w:rFonts w:hint="eastAsia" w:ascii="宋体" w:hAnsi="宋体" w:cs="宋体"/>
                <w:szCs w:val="21"/>
              </w:rPr>
              <w:t>满足以上3项得5分，满足以上2项得2分，满足以上1项得1分，其他情况不得分。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3</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szCs w:val="21"/>
              </w:rPr>
              <w:t>安全预案及应急预案</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kern w:val="0"/>
                <w:szCs w:val="21"/>
              </w:rPr>
            </w:pPr>
            <w:r>
              <w:rPr>
                <w:rFonts w:hint="eastAsia" w:ascii="宋体" w:hAnsi="宋体" w:cs="宋体"/>
                <w:kern w:val="0"/>
                <w:szCs w:val="21"/>
              </w:rPr>
              <w:t>10</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专家打分</w:t>
            </w:r>
          </w:p>
        </w:tc>
        <w:tc>
          <w:tcPr>
            <w:tcW w:w="547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（一）评分内容：</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szCs w:val="21"/>
              </w:rPr>
            </w:pPr>
            <w:r>
              <w:rPr>
                <w:rFonts w:hint="eastAsia" w:ascii="宋体" w:hAnsi="宋体" w:cs="宋体"/>
                <w:szCs w:val="21"/>
              </w:rPr>
              <w:t>提供专业、科学的安全应急预案。</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szCs w:val="21"/>
              </w:rPr>
            </w:pPr>
            <w:r>
              <w:rPr>
                <w:rFonts w:hint="eastAsia" w:ascii="宋体" w:hAnsi="宋体" w:cs="宋体"/>
                <w:szCs w:val="21"/>
              </w:rPr>
              <w:t>（1）安全预案及应急预案全面完善，设计目标清晰明确，充分满足采购人的实际项目需求。</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szCs w:val="21"/>
              </w:rPr>
            </w:pPr>
            <w:r>
              <w:rPr>
                <w:rFonts w:hint="eastAsia" w:ascii="宋体" w:hAnsi="宋体" w:cs="宋体"/>
                <w:szCs w:val="21"/>
              </w:rPr>
              <w:t>（2）安全预案及应急预案规划合理，具有较强的操作性。</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szCs w:val="21"/>
              </w:rPr>
            </w:pPr>
            <w:r>
              <w:rPr>
                <w:rFonts w:hint="eastAsia" w:ascii="宋体" w:hAnsi="宋体" w:cs="宋体"/>
                <w:szCs w:val="21"/>
              </w:rPr>
              <w:t>（3）安全预案及应急预案可详细列出突发问题的解决方案和备选方案。</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（二）评分依据：</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szCs w:val="21"/>
              </w:rPr>
            </w:pPr>
            <w:r>
              <w:rPr>
                <w:rFonts w:hint="eastAsia" w:ascii="宋体" w:hAnsi="宋体" w:cs="宋体"/>
                <w:szCs w:val="21"/>
              </w:rPr>
              <w:t>满足以上3项得10分，满足以上2项得5分，满足以上1项得1分，其他情况不得分。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4</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rPr>
            </w:pPr>
            <w:r>
              <w:rPr>
                <w:rFonts w:hint="eastAsia" w:ascii="宋体" w:hAnsi="宋体"/>
                <w:szCs w:val="21"/>
              </w:rPr>
              <w:t>人员及</w:t>
            </w:r>
          </w:p>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szCs w:val="21"/>
              </w:rPr>
              <w:t>后勤保障</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专家打分</w:t>
            </w:r>
          </w:p>
        </w:tc>
        <w:tc>
          <w:tcPr>
            <w:tcW w:w="547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评分内容及依据：</w:t>
            </w:r>
          </w:p>
          <w:p>
            <w:pPr>
              <w:keepNext w:val="0"/>
              <w:keepLines w:val="0"/>
              <w:pageBreakBefore w:val="0"/>
              <w:widowControl w:val="0"/>
              <w:numPr>
                <w:ilvl w:val="0"/>
                <w:numId w:val="1"/>
              </w:numPr>
              <w:kinsoku/>
              <w:wordWrap/>
              <w:overflowPunct/>
              <w:topLinePunct w:val="0"/>
              <w:bidi w:val="0"/>
              <w:snapToGrid/>
              <w:spacing w:line="240" w:lineRule="auto"/>
              <w:ind w:left="840" w:hanging="840"/>
              <w:jc w:val="left"/>
              <w:textAlignment w:val="auto"/>
              <w:rPr>
                <w:rFonts w:ascii="宋体" w:hAnsi="宋体" w:cs="宋体"/>
              </w:rPr>
            </w:pPr>
            <w:r>
              <w:rPr>
                <w:rFonts w:hint="eastAsia" w:ascii="宋体" w:hAnsi="宋体" w:cs="宋体"/>
                <w:lang w:val="en-US" w:eastAsia="zh-CN"/>
              </w:rPr>
              <w:t>项目负责人</w:t>
            </w:r>
            <w:r>
              <w:rPr>
                <w:rFonts w:hint="eastAsia" w:ascii="宋体" w:hAnsi="宋体" w:cs="宋体"/>
              </w:rPr>
              <w:t>5分</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szCs w:val="21"/>
              </w:rPr>
              <w:t>投标人</w:t>
            </w:r>
            <w:r>
              <w:rPr>
                <w:rFonts w:hint="eastAsia" w:ascii="宋体" w:hAnsi="宋体" w:cs="宋体"/>
                <w:szCs w:val="21"/>
                <w:lang w:val="en-US" w:eastAsia="zh-CN"/>
              </w:rPr>
              <w:t>拟安排的项目负责人需具有青少年素质教育师证，并提供证件查询的截图，以证明证件的有效性。</w:t>
            </w:r>
            <w:r>
              <w:rPr>
                <w:rFonts w:hint="eastAsia" w:ascii="宋体" w:hAnsi="宋体" w:cs="宋体"/>
                <w:b/>
                <w:bCs/>
                <w:szCs w:val="21"/>
                <w:lang w:val="en-US" w:eastAsia="zh-CN"/>
              </w:rPr>
              <w:t>为初级的得1分，为中级的得2分，为高级的得5分</w:t>
            </w:r>
            <w:r>
              <w:rPr>
                <w:rFonts w:hint="eastAsia" w:ascii="宋体" w:hAnsi="宋体" w:cs="宋体"/>
                <w:b/>
                <w:bCs/>
                <w:szCs w:val="21"/>
              </w:rPr>
              <w:t>。</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rPr>
            </w:pPr>
            <w:r>
              <w:rPr>
                <w:rFonts w:hint="eastAsia" w:ascii="宋体" w:hAnsi="宋体" w:cs="宋体"/>
              </w:rPr>
              <w:t>2.交通2分</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rPr>
              <w:t>投标人提供车辆相关营业执照及运输许可证</w:t>
            </w:r>
            <w:r>
              <w:rPr>
                <w:rFonts w:hint="eastAsia" w:ascii="宋体" w:hAnsi="宋体" w:cs="宋体"/>
                <w:color w:val="0000FF"/>
                <w:lang w:eastAsia="zh-CN"/>
              </w:rPr>
              <w:t>，</w:t>
            </w:r>
            <w:r>
              <w:rPr>
                <w:rFonts w:hint="eastAsia" w:ascii="宋体" w:hAnsi="宋体" w:cs="宋体"/>
                <w:color w:val="auto"/>
                <w:lang w:val="en-US" w:eastAsia="zh-CN"/>
              </w:rPr>
              <w:t>并提供用车安排的情况说明</w:t>
            </w:r>
            <w:r>
              <w:rPr>
                <w:rFonts w:hint="eastAsia" w:ascii="宋体" w:hAnsi="宋体" w:cs="宋体"/>
                <w:color w:val="0000FF"/>
                <w:lang w:val="en-US" w:eastAsia="zh-CN"/>
              </w:rPr>
              <w:t>，</w:t>
            </w:r>
            <w:r>
              <w:rPr>
                <w:rFonts w:hint="eastAsia" w:ascii="宋体" w:hAnsi="宋体" w:cs="宋体"/>
              </w:rPr>
              <w:t>未提供不得分，本项最高得2分。</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rPr>
            </w:pPr>
            <w:r>
              <w:rPr>
                <w:rFonts w:hint="eastAsia" w:ascii="宋体" w:hAnsi="宋体" w:cs="宋体"/>
              </w:rPr>
              <w:t>3.保险</w:t>
            </w:r>
            <w:r>
              <w:rPr>
                <w:rFonts w:hint="eastAsia" w:ascii="宋体" w:hAnsi="宋体" w:cs="宋体"/>
                <w:lang w:val="en-US" w:eastAsia="zh-CN"/>
              </w:rPr>
              <w:t>4</w:t>
            </w:r>
            <w:r>
              <w:rPr>
                <w:rFonts w:hint="eastAsia" w:ascii="宋体" w:hAnsi="宋体" w:cs="宋体"/>
              </w:rPr>
              <w:t>分</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宋体" w:hAnsi="宋体" w:cs="宋体"/>
                <w:lang w:val="en-US" w:eastAsia="zh-CN"/>
              </w:rPr>
            </w:pPr>
            <w:r>
              <w:rPr>
                <w:rFonts w:hint="eastAsia" w:ascii="宋体" w:hAnsi="宋体" w:cs="宋体"/>
              </w:rPr>
              <w:t>投标人承诺为参加活动的师生购买保险，</w:t>
            </w:r>
            <w:r>
              <w:rPr>
                <w:rFonts w:hint="eastAsia" w:ascii="宋体" w:hAnsi="宋体" w:cs="宋体"/>
                <w:lang w:val="en-US" w:eastAsia="zh-CN"/>
              </w:rPr>
              <w:t>保险分为活动场地险、实名制旅游险。其中，场地险单份</w:t>
            </w:r>
            <w:r>
              <w:rPr>
                <w:rFonts w:hint="eastAsia" w:ascii="宋体" w:hAnsi="宋体" w:cs="宋体"/>
              </w:rPr>
              <w:t>保额合计</w:t>
            </w:r>
            <w:r>
              <w:rPr>
                <w:rFonts w:hint="eastAsia" w:ascii="宋体" w:hAnsi="宋体" w:cs="宋体"/>
                <w:lang w:val="en-US" w:eastAsia="zh-CN"/>
              </w:rPr>
              <w:t>1</w:t>
            </w:r>
            <w:r>
              <w:rPr>
                <w:rFonts w:hint="eastAsia" w:ascii="宋体" w:hAnsi="宋体" w:cs="宋体"/>
              </w:rPr>
              <w:t>000万或以上，要求</w:t>
            </w:r>
            <w:r>
              <w:rPr>
                <w:rFonts w:hint="eastAsia" w:ascii="宋体" w:hAnsi="宋体" w:cs="宋体"/>
                <w:lang w:val="en-US" w:eastAsia="zh-CN"/>
              </w:rPr>
              <w:t>包含</w:t>
            </w:r>
            <w:r>
              <w:rPr>
                <w:rFonts w:hint="eastAsia" w:ascii="宋体" w:hAnsi="宋体" w:cs="宋体"/>
              </w:rPr>
              <w:t>意外伤害险</w:t>
            </w:r>
            <w:r>
              <w:rPr>
                <w:rFonts w:hint="eastAsia" w:ascii="宋体" w:hAnsi="宋体" w:cs="宋体"/>
                <w:lang w:val="en-US" w:eastAsia="zh-CN"/>
              </w:rPr>
              <w:t>产生的医疗费用、财产损失</w:t>
            </w:r>
            <w:r>
              <w:rPr>
                <w:rFonts w:hint="eastAsia" w:ascii="宋体" w:hAnsi="宋体" w:cs="宋体"/>
              </w:rPr>
              <w:t>，并提供承保相关证明及购买保险承诺函（格式自拟）</w:t>
            </w:r>
            <w:r>
              <w:rPr>
                <w:rFonts w:hint="eastAsia" w:ascii="宋体" w:hAnsi="宋体" w:cs="宋体"/>
                <w:lang w:eastAsia="zh-CN"/>
              </w:rPr>
              <w:t>；</w:t>
            </w:r>
            <w:r>
              <w:rPr>
                <w:rFonts w:hint="eastAsia" w:ascii="宋体" w:hAnsi="宋体" w:cs="宋体"/>
                <w:lang w:val="en-US" w:eastAsia="zh-CN"/>
              </w:rPr>
              <w:t>实名制旅游险按照旅游相关单位要求，提供不低于50万/人的实名制旅游保险。</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lang w:val="en-US" w:eastAsia="zh-CN"/>
              </w:rPr>
              <w:t>承诺活动场地险</w:t>
            </w:r>
            <w:r>
              <w:rPr>
                <w:rFonts w:hint="eastAsia" w:ascii="宋体" w:hAnsi="宋体" w:cs="宋体"/>
              </w:rPr>
              <w:t>额少于</w:t>
            </w:r>
            <w:r>
              <w:rPr>
                <w:rFonts w:hint="eastAsia" w:ascii="宋体" w:hAnsi="宋体" w:cs="宋体"/>
                <w:lang w:val="en-US" w:eastAsia="zh-CN"/>
              </w:rPr>
              <w:t>1</w:t>
            </w:r>
            <w:r>
              <w:rPr>
                <w:rFonts w:hint="eastAsia" w:ascii="宋体" w:hAnsi="宋体" w:cs="宋体"/>
              </w:rPr>
              <w:t>000万</w:t>
            </w:r>
            <w:r>
              <w:rPr>
                <w:rFonts w:hint="eastAsia" w:ascii="宋体" w:hAnsi="宋体" w:cs="宋体"/>
                <w:lang w:eastAsia="zh-CN"/>
              </w:rPr>
              <w:t>、</w:t>
            </w:r>
            <w:r>
              <w:rPr>
                <w:rFonts w:hint="eastAsia" w:ascii="宋体" w:hAnsi="宋体" w:cs="宋体"/>
                <w:lang w:val="en-US" w:eastAsia="zh-CN"/>
              </w:rPr>
              <w:t>未出具保证购买实名制学生旅游险的承诺函的</w:t>
            </w:r>
            <w:r>
              <w:rPr>
                <w:rFonts w:hint="eastAsia" w:ascii="宋体" w:hAnsi="宋体" w:cs="宋体"/>
              </w:rPr>
              <w:t>不得分，本项最高得</w:t>
            </w:r>
            <w:r>
              <w:rPr>
                <w:rFonts w:hint="eastAsia" w:ascii="宋体" w:hAnsi="宋体" w:cs="宋体"/>
                <w:lang w:val="en-US" w:eastAsia="zh-CN"/>
              </w:rPr>
              <w:t>4</w:t>
            </w:r>
            <w:r>
              <w:rPr>
                <w:rFonts w:hint="eastAsia" w:ascii="宋体" w:hAnsi="宋体" w:cs="宋体"/>
              </w:rPr>
              <w:t>分。</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rPr>
            </w:pPr>
            <w:r>
              <w:rPr>
                <w:rFonts w:hint="eastAsia" w:ascii="宋体" w:hAnsi="宋体" w:cs="宋体"/>
              </w:rPr>
              <w:t>4.餐饮</w:t>
            </w:r>
            <w:r>
              <w:rPr>
                <w:rFonts w:hint="eastAsia" w:ascii="宋体" w:hAnsi="宋体" w:cs="宋体"/>
                <w:lang w:val="en-US" w:eastAsia="zh-CN"/>
              </w:rPr>
              <w:t>3</w:t>
            </w:r>
            <w:r>
              <w:rPr>
                <w:rFonts w:hint="eastAsia" w:ascii="宋体" w:hAnsi="宋体" w:cs="宋体"/>
              </w:rPr>
              <w:t>分</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lang w:eastAsia="zh-CN"/>
              </w:rPr>
              <w:t>涉及</w:t>
            </w:r>
            <w:r>
              <w:rPr>
                <w:rFonts w:hint="eastAsia" w:ascii="宋体" w:hAnsi="宋体" w:cs="宋体"/>
              </w:rPr>
              <w:t>活动中用餐（餐厅）、用水相关单位的资质（有效营业执照）、食品卫生许可证。以上内容全部提供得</w:t>
            </w:r>
            <w:r>
              <w:rPr>
                <w:rFonts w:hint="eastAsia" w:ascii="宋体" w:hAnsi="宋体" w:cs="宋体"/>
                <w:lang w:val="en-US" w:eastAsia="zh-CN"/>
              </w:rPr>
              <w:t>3</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否则不得分</w:t>
            </w:r>
            <w:r>
              <w:rPr>
                <w:rFonts w:hint="eastAsia" w:ascii="宋体" w:hAnsi="宋体" w:cs="宋体"/>
              </w:rPr>
              <w:t>。</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rPr>
            </w:pPr>
            <w:r>
              <w:rPr>
                <w:rFonts w:hint="eastAsia" w:ascii="宋体" w:hAnsi="宋体" w:cs="宋体"/>
              </w:rPr>
              <w:t>5.住宿</w:t>
            </w:r>
            <w:r>
              <w:rPr>
                <w:rFonts w:hint="eastAsia" w:ascii="宋体" w:hAnsi="宋体" w:cs="宋体"/>
                <w:lang w:val="en-US" w:eastAsia="zh-CN"/>
              </w:rPr>
              <w:t>6</w:t>
            </w:r>
            <w:r>
              <w:rPr>
                <w:rFonts w:hint="eastAsia" w:ascii="宋体" w:hAnsi="宋体" w:cs="宋体"/>
              </w:rPr>
              <w:t>分</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szCs w:val="21"/>
              </w:rPr>
            </w:pPr>
            <w:r>
              <w:rPr>
                <w:rFonts w:hint="eastAsia" w:ascii="宋体" w:hAnsi="宋体" w:cs="宋体"/>
              </w:rPr>
              <w:t>提供住宿标准</w:t>
            </w:r>
            <w:r>
              <w:rPr>
                <w:rFonts w:hint="eastAsia" w:ascii="宋体" w:hAnsi="宋体" w:cs="宋体"/>
                <w:lang w:val="en-US" w:eastAsia="zh-CN"/>
              </w:rPr>
              <w:t>的</w:t>
            </w:r>
            <w:r>
              <w:rPr>
                <w:rFonts w:hint="eastAsia" w:ascii="宋体" w:hAnsi="宋体" w:cs="宋体"/>
              </w:rPr>
              <w:t>说明，</w:t>
            </w:r>
            <w:r>
              <w:rPr>
                <w:rFonts w:hint="eastAsia" w:ascii="宋体" w:hAnsi="宋体" w:cs="宋体"/>
                <w:lang w:val="en-US" w:eastAsia="zh-CN"/>
              </w:rPr>
              <w:t>提供计划住宿地的营业执照</w:t>
            </w:r>
            <w:r>
              <w:rPr>
                <w:rFonts w:hint="eastAsia" w:ascii="宋体" w:hAnsi="宋体" w:cs="宋体"/>
              </w:rPr>
              <w:t>，</w:t>
            </w:r>
            <w:r>
              <w:rPr>
                <w:rFonts w:hint="eastAsia" w:ascii="宋体" w:hAnsi="宋体" w:cs="宋体"/>
                <w:lang w:val="en-US" w:eastAsia="zh-CN"/>
              </w:rPr>
              <w:t>及3张住宿房间或区域布置</w:t>
            </w:r>
            <w:r>
              <w:rPr>
                <w:rFonts w:hint="eastAsia" w:ascii="宋体" w:hAnsi="宋体" w:cs="宋体"/>
              </w:rPr>
              <w:t>不同场景的现场照片。</w:t>
            </w:r>
            <w:r>
              <w:rPr>
                <w:rFonts w:hint="eastAsia" w:ascii="宋体" w:hAnsi="宋体" w:cs="宋体"/>
                <w:lang w:val="en-US" w:eastAsia="zh-CN"/>
              </w:rPr>
              <w:t>并提供住宿标准承诺函（格式自拟）承诺所有学生住宿标准为同一标准。</w:t>
            </w:r>
            <w:r>
              <w:rPr>
                <w:rFonts w:hint="eastAsia" w:ascii="宋体" w:hAnsi="宋体" w:cs="宋体"/>
              </w:rPr>
              <w:t>未提供承诺函或提供少于</w:t>
            </w:r>
            <w:r>
              <w:rPr>
                <w:rFonts w:hint="eastAsia" w:ascii="宋体" w:hAnsi="宋体" w:cs="宋体"/>
                <w:lang w:val="en-US" w:eastAsia="zh-CN"/>
              </w:rPr>
              <w:t>上述住宿</w:t>
            </w:r>
            <w:r>
              <w:rPr>
                <w:rFonts w:hint="eastAsia" w:ascii="宋体" w:hAnsi="宋体" w:cs="宋体"/>
              </w:rPr>
              <w:t>现场照片的均不得分。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0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szCs w:val="21"/>
              </w:rPr>
            </w:pPr>
            <w:r>
              <w:rPr>
                <w:rFonts w:hint="eastAsia" w:ascii="宋体" w:hAnsi="宋体" w:cs="宋体"/>
                <w:b/>
                <w:szCs w:val="21"/>
              </w:rPr>
              <w:t>三、</w:t>
            </w:r>
            <w:r>
              <w:rPr>
                <w:rFonts w:hint="eastAsia" w:ascii="宋体" w:hAnsi="宋体" w:cs="宋体"/>
                <w:b/>
                <w:szCs w:val="21"/>
                <w:lang w:val="zh-CN"/>
              </w:rPr>
              <w:t>商务部分</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szCs w:val="21"/>
              </w:rPr>
            </w:pPr>
            <w:r>
              <w:rPr>
                <w:rFonts w:hint="eastAsia" w:ascii="宋体" w:hAnsi="宋体" w:cs="宋体"/>
                <w:b/>
                <w:szCs w:val="21"/>
              </w:rPr>
              <w:t>序号</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szCs w:val="21"/>
              </w:rPr>
            </w:pPr>
            <w:r>
              <w:rPr>
                <w:rFonts w:hint="eastAsia" w:ascii="宋体" w:hAnsi="宋体" w:cs="宋体"/>
                <w:b/>
                <w:szCs w:val="21"/>
              </w:rPr>
              <w:t>评分因素</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szCs w:val="21"/>
              </w:rPr>
            </w:pPr>
            <w:r>
              <w:rPr>
                <w:rFonts w:hint="eastAsia" w:ascii="宋体" w:hAnsi="宋体" w:cs="宋体"/>
                <w:b/>
                <w:szCs w:val="21"/>
              </w:rPr>
              <w:t>具体分值</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szCs w:val="21"/>
              </w:rPr>
            </w:pPr>
            <w:r>
              <w:rPr>
                <w:rFonts w:hint="eastAsia" w:ascii="宋体" w:hAnsi="宋体" w:cs="宋体"/>
                <w:b/>
                <w:szCs w:val="21"/>
              </w:rPr>
              <w:t>评标方式</w:t>
            </w:r>
          </w:p>
        </w:tc>
        <w:tc>
          <w:tcPr>
            <w:tcW w:w="5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1</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szCs w:val="21"/>
              </w:rPr>
              <w:t>专业证明</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25</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专家打分</w:t>
            </w:r>
          </w:p>
        </w:tc>
        <w:tc>
          <w:tcPr>
            <w:tcW w:w="5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（一）评分内容：</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rPr>
            </w:pPr>
            <w:r>
              <w:rPr>
                <w:rFonts w:hint="eastAsia" w:ascii="宋体" w:hAnsi="宋体" w:cs="宋体"/>
              </w:rPr>
              <w:t>1.投标人拥有专业的研学指导师队伍，具备“研学教育指导师”资格</w:t>
            </w:r>
            <w:r>
              <w:rPr>
                <w:rFonts w:hint="eastAsia" w:ascii="宋体" w:hAnsi="宋体" w:cs="宋体"/>
                <w:lang w:eastAsia="zh-CN"/>
              </w:rPr>
              <w:t>，</w:t>
            </w:r>
            <w:r>
              <w:rPr>
                <w:rFonts w:hint="eastAsia" w:ascii="宋体" w:hAnsi="宋体" w:cs="宋体"/>
              </w:rPr>
              <w:t>负责学生组织管理、</w:t>
            </w:r>
            <w:r>
              <w:rPr>
                <w:rFonts w:hint="eastAsia" w:ascii="宋体" w:hAnsi="宋体" w:cs="宋体"/>
                <w:lang w:val="en-US" w:eastAsia="zh-CN"/>
              </w:rPr>
              <w:t>专业研学指导</w:t>
            </w:r>
            <w:r>
              <w:rPr>
                <w:rFonts w:hint="eastAsia" w:ascii="宋体" w:hAnsi="宋体" w:cs="宋体"/>
              </w:rPr>
              <w:t>等工作。提供至少10人的“研学教育指导师”证，</w:t>
            </w:r>
            <w:r>
              <w:rPr>
                <w:rFonts w:hint="eastAsia" w:ascii="宋体" w:hAnsi="宋体" w:cs="宋体"/>
                <w:lang w:val="en-US" w:eastAsia="zh-CN"/>
              </w:rPr>
              <w:t>提供1个得2分，</w:t>
            </w:r>
            <w:r>
              <w:rPr>
                <w:rFonts w:hint="eastAsia" w:ascii="宋体" w:hAnsi="宋体" w:cs="宋体"/>
              </w:rPr>
              <w:t>本项最高得</w:t>
            </w:r>
            <w:r>
              <w:rPr>
                <w:rFonts w:hint="eastAsia" w:ascii="宋体" w:hAnsi="宋体" w:cs="宋体"/>
                <w:lang w:val="en-US" w:eastAsia="zh-CN"/>
              </w:rPr>
              <w:t>2</w:t>
            </w:r>
            <w:r>
              <w:rPr>
                <w:rFonts w:hint="eastAsia" w:ascii="宋体" w:hAnsi="宋体" w:cs="宋体"/>
              </w:rPr>
              <w:t>0分。</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kern w:val="0"/>
                <w:szCs w:val="21"/>
              </w:rPr>
            </w:pPr>
            <w:r>
              <w:rPr>
                <w:rFonts w:hint="eastAsia" w:ascii="宋体" w:hAnsi="宋体" w:cs="宋体"/>
                <w:kern w:val="0"/>
                <w:szCs w:val="21"/>
              </w:rPr>
              <w:t>2.曾经（截止投标期5年内）组织过的类似省外研学活动中，收到过学校对投标单位高度肯定并给予感谢信（学校专用信纸并落款并盖公章）的，提供1份，得5分，本项最高得5分。</w:t>
            </w:r>
          </w:p>
          <w:p>
            <w:pPr>
              <w:keepNext w:val="0"/>
              <w:keepLines w:val="0"/>
              <w:pageBreakBefore w:val="0"/>
              <w:widowControl w:val="0"/>
              <w:kinsoku/>
              <w:wordWrap/>
              <w:overflowPunct/>
              <w:topLinePunct w:val="0"/>
              <w:bidi w:val="0"/>
              <w:snapToGrid/>
              <w:spacing w:line="240" w:lineRule="auto"/>
              <w:ind w:firstLine="422" w:firstLineChars="200"/>
              <w:textAlignment w:val="auto"/>
              <w:rPr>
                <w:rFonts w:ascii="宋体" w:hAnsi="宋体" w:cs="宋体"/>
                <w:b/>
                <w:bCs/>
                <w:kern w:val="0"/>
                <w:szCs w:val="21"/>
              </w:rPr>
            </w:pPr>
            <w:r>
              <w:rPr>
                <w:rFonts w:hint="eastAsia" w:ascii="宋体" w:hAnsi="宋体" w:cs="宋体"/>
                <w:b/>
                <w:bCs/>
                <w:kern w:val="0"/>
                <w:szCs w:val="21"/>
              </w:rPr>
              <w:t>（二）评分依据：</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kern w:val="0"/>
                <w:szCs w:val="21"/>
              </w:rPr>
            </w:pPr>
            <w:r>
              <w:rPr>
                <w:rFonts w:hint="eastAsia" w:ascii="宋体" w:hAnsi="宋体" w:cs="宋体"/>
                <w:kern w:val="0"/>
                <w:szCs w:val="21"/>
              </w:rPr>
              <w:t>1.提供相应的证明证书或文件，原件备查。提供的“研学教育指导师”证明需在人力资源和社会保障部主办的“中国国家人事人才培训网”进行在线查询，并提供查询页面截图。</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kern w:val="0"/>
                <w:szCs w:val="21"/>
              </w:rPr>
            </w:pPr>
            <w:r>
              <w:rPr>
                <w:rFonts w:hint="eastAsia" w:ascii="宋体" w:hAnsi="宋体" w:cs="宋体"/>
                <w:kern w:val="0"/>
                <w:szCs w:val="21"/>
              </w:rPr>
              <w:t>2.提供的证明能清楚看到或学校的单位，并清楚陈述感谢事实，原件备查。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2</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有效业绩</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10</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专家打分</w:t>
            </w:r>
          </w:p>
        </w:tc>
        <w:tc>
          <w:tcPr>
            <w:tcW w:w="5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bidi w:val="0"/>
              <w:snapToGrid/>
              <w:spacing w:line="240" w:lineRule="auto"/>
              <w:ind w:left="1201" w:hanging="422"/>
              <w:jc w:val="left"/>
              <w:textAlignment w:val="auto"/>
              <w:rPr>
                <w:rFonts w:ascii="宋体" w:hAnsi="宋体" w:cs="宋体"/>
                <w:b/>
                <w:bCs/>
              </w:rPr>
            </w:pPr>
            <w:r>
              <w:rPr>
                <w:rFonts w:hint="eastAsia" w:ascii="宋体" w:hAnsi="宋体" w:cs="宋体"/>
                <w:b/>
                <w:bCs/>
              </w:rPr>
              <w:t>评分内容：</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rPr>
              <w:t>20</w:t>
            </w:r>
            <w:r>
              <w:rPr>
                <w:rFonts w:hint="eastAsia" w:ascii="宋体" w:hAnsi="宋体" w:cs="宋体"/>
                <w:lang w:val="en-US" w:eastAsia="zh-CN"/>
              </w:rPr>
              <w:t>21</w:t>
            </w:r>
            <w:r>
              <w:rPr>
                <w:rFonts w:hint="eastAsia" w:ascii="宋体" w:hAnsi="宋体" w:cs="宋体"/>
              </w:rPr>
              <w:t>年1月至本项目投标截止日内（以合同签订日期为准），投标人有同类</w:t>
            </w:r>
            <w:r>
              <w:rPr>
                <w:rFonts w:hint="eastAsia" w:ascii="宋体" w:hAnsi="宋体" w:cs="宋体"/>
                <w:lang w:val="en-US" w:eastAsia="zh-CN"/>
              </w:rPr>
              <w:t>社会实践活动</w:t>
            </w:r>
            <w:r>
              <w:rPr>
                <w:rFonts w:hint="eastAsia" w:ascii="宋体" w:hAnsi="宋体" w:cs="宋体"/>
              </w:rPr>
              <w:t>项目业绩的合同复印件，每提供一个项目得2分，最高得10分。同一项目续签合同的</w:t>
            </w:r>
            <w:r>
              <w:rPr>
                <w:rFonts w:hint="eastAsia" w:ascii="宋体" w:hAnsi="宋体" w:cs="宋体"/>
                <w:lang w:val="en-US" w:eastAsia="zh-CN"/>
              </w:rPr>
              <w:t>或一个学校不同年份合同的</w:t>
            </w:r>
            <w:r>
              <w:rPr>
                <w:rFonts w:hint="eastAsia" w:ascii="宋体" w:hAnsi="宋体" w:cs="宋体"/>
              </w:rPr>
              <w:t>不可重复得分。</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（二）评分依据：</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rPr>
              <w:t>1.要求同时提供合同关键信息页（含签订合同双方的单位名称、合同项目名称、项目金额与含签订合同双方的落款盖章、签订日期的关键页）或中标通知书作为得分依据。</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rPr>
              <w:t>2.通过合同关键信息无法判断是否得分的，还须同时提供能证明得分的其它证明资料，如项目报告或合同甲方出具的证明文件等。</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szCs w:val="21"/>
              </w:rPr>
            </w:pPr>
            <w:r>
              <w:rPr>
                <w:rFonts w:hint="eastAsia" w:ascii="宋体" w:hAnsi="宋体" w:cs="宋体"/>
              </w:rPr>
              <w:t>3.以上资料均要求提供复印件。评分中出现无证明资料或专家无法凭所提供资料判断是否得分的情况，一律作不得分处理。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cs="宋体"/>
                <w:szCs w:val="21"/>
              </w:rPr>
            </w:pPr>
            <w:r>
              <w:rPr>
                <w:rFonts w:hint="eastAsia" w:ascii="宋体" w:hAnsi="宋体"/>
                <w:szCs w:val="21"/>
              </w:rPr>
              <w:t>认证情况</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cs="宋体"/>
                <w:szCs w:val="21"/>
              </w:rPr>
            </w:pPr>
            <w:r>
              <w:rPr>
                <w:rFonts w:hint="eastAsia" w:ascii="宋体" w:hAnsi="宋体" w:cs="宋体"/>
                <w:szCs w:val="21"/>
              </w:rPr>
              <w:t>2</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专家评分</w:t>
            </w:r>
          </w:p>
        </w:tc>
        <w:tc>
          <w:tcPr>
            <w:tcW w:w="5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
              </w:numPr>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评分内容：</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rPr>
              <w:t>投标人认证情况</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rPr>
              <w:t>1.投标人获得质量管理体系认证；</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rPr>
              <w:t>2.投标人获得职业健康安全管理体系认证。</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（二）评分依据：</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rPr>
              <w:t>1.要求提供有效的认证证书作为得分依据。</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szCs w:val="20"/>
              </w:rPr>
            </w:pPr>
            <w:r>
              <w:rPr>
                <w:rFonts w:hint="eastAsia" w:ascii="宋体" w:hAnsi="宋体" w:cs="宋体"/>
                <w:szCs w:val="20"/>
              </w:rPr>
              <w:t>2.以上证书均要求提供复印件及国家认监委网站（http://www.cnca.gov.cn/）的认证信息查询截图（截图需显示证书状态为有效）。未按要求提供相关材料或相关材料不清晰导致无法识别的不计得分。每提供1个得1分，本项最高得2分。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cs="宋体"/>
                <w:szCs w:val="21"/>
                <w:lang w:val="zh-CN"/>
              </w:rPr>
            </w:pPr>
            <w:r>
              <w:rPr>
                <w:rFonts w:hint="eastAsia" w:ascii="宋体" w:hAnsi="宋体" w:cs="宋体"/>
                <w:szCs w:val="21"/>
              </w:rPr>
              <w:t>投标人获得荣誉情况</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专家评分</w:t>
            </w:r>
          </w:p>
        </w:tc>
        <w:tc>
          <w:tcPr>
            <w:tcW w:w="54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4"/>
              </w:numPr>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评分内容：</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宋体" w:hAnsi="宋体" w:cs="宋体"/>
              </w:rPr>
            </w:pPr>
            <w:r>
              <w:rPr>
                <w:rFonts w:hint="eastAsia" w:ascii="宋体" w:hAnsi="宋体" w:cs="宋体"/>
              </w:rPr>
              <w:t>获得媒体报道或行业相关荣誉：投标人组织的</w:t>
            </w:r>
            <w:r>
              <w:rPr>
                <w:rFonts w:hint="eastAsia" w:ascii="宋体" w:hAnsi="宋体" w:cs="宋体"/>
                <w:b/>
                <w:bCs/>
                <w:lang w:val="en-US" w:eastAsia="zh-CN"/>
              </w:rPr>
              <w:t>省外</w:t>
            </w:r>
            <w:r>
              <w:rPr>
                <w:rFonts w:hint="eastAsia" w:ascii="宋体" w:hAnsi="宋体" w:cs="宋体"/>
                <w:b/>
                <w:bCs/>
              </w:rPr>
              <w:t>研学活动</w:t>
            </w:r>
            <w:r>
              <w:rPr>
                <w:rFonts w:hint="eastAsia" w:ascii="宋体" w:hAnsi="宋体" w:cs="宋体"/>
              </w:rPr>
              <w:t>，被新闻媒体（非自媒体）报道。</w:t>
            </w:r>
          </w:p>
          <w:p>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bCs/>
              </w:rPr>
            </w:pPr>
            <w:r>
              <w:rPr>
                <w:rFonts w:hint="eastAsia" w:ascii="宋体" w:hAnsi="宋体" w:cs="宋体"/>
                <w:b/>
                <w:bCs/>
              </w:rPr>
              <w:t>（二）评分依据：</w:t>
            </w:r>
          </w:p>
          <w:p>
            <w:pPr>
              <w:keepNext w:val="0"/>
              <w:keepLines w:val="0"/>
              <w:pageBreakBefore w:val="0"/>
              <w:widowControl w:val="0"/>
              <w:kinsoku/>
              <w:wordWrap/>
              <w:overflowPunct/>
              <w:topLinePunct w:val="0"/>
              <w:bidi w:val="0"/>
              <w:snapToGrid/>
              <w:spacing w:line="240" w:lineRule="auto"/>
              <w:ind w:firstLine="420"/>
              <w:textAlignment w:val="auto"/>
              <w:rPr>
                <w:rFonts w:ascii="宋体" w:hAnsi="宋体" w:cs="宋体"/>
                <w:szCs w:val="21"/>
                <w:lang w:val="zh-CN"/>
              </w:rPr>
            </w:pPr>
            <w:r>
              <w:rPr>
                <w:rFonts w:hint="eastAsia" w:ascii="宋体" w:hAnsi="宋体" w:cs="宋体"/>
                <w:szCs w:val="20"/>
              </w:rPr>
              <w:t>以上资料均要求提供复印件（或官方网站截图或新闻媒体报道截图）。评分中出现无证明资料或专家无法凭所提供资料判断是否得分的情况，一律作不得分处理。每提供1个得</w:t>
            </w:r>
            <w:r>
              <w:rPr>
                <w:rFonts w:hint="eastAsia" w:ascii="宋体" w:hAnsi="宋体" w:cs="宋体"/>
                <w:szCs w:val="20"/>
                <w:lang w:val="en-US" w:eastAsia="zh-CN"/>
              </w:rPr>
              <w:t>2</w:t>
            </w:r>
            <w:r>
              <w:rPr>
                <w:rFonts w:hint="eastAsia" w:ascii="宋体" w:hAnsi="宋体" w:cs="宋体"/>
                <w:szCs w:val="20"/>
              </w:rPr>
              <w:t>分，最高</w:t>
            </w:r>
            <w:r>
              <w:rPr>
                <w:rFonts w:hint="eastAsia" w:ascii="宋体" w:hAnsi="宋体" w:cs="宋体"/>
                <w:szCs w:val="20"/>
                <w:lang w:val="en-US" w:eastAsia="zh-CN"/>
              </w:rPr>
              <w:t>8</w:t>
            </w:r>
            <w:r>
              <w:rPr>
                <w:rFonts w:hint="eastAsia" w:ascii="宋体" w:hAnsi="宋体" w:cs="宋体"/>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szCs w:val="21"/>
              </w:rPr>
            </w:pPr>
            <w:r>
              <w:rPr>
                <w:rFonts w:hint="eastAsia" w:ascii="宋体" w:hAnsi="宋体" w:cs="宋体"/>
                <w:szCs w:val="21"/>
              </w:rPr>
              <w:t>诚信评审</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5</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Cs w:val="21"/>
              </w:rPr>
            </w:pPr>
            <w:r>
              <w:rPr>
                <w:rFonts w:hint="eastAsia" w:ascii="宋体" w:hAnsi="宋体" w:cs="宋体"/>
                <w:szCs w:val="21"/>
              </w:rPr>
              <w:t>专家打分</w:t>
            </w:r>
          </w:p>
        </w:tc>
        <w:tc>
          <w:tcPr>
            <w:tcW w:w="547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b/>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9"/>
        <w:keepNext w:val="0"/>
        <w:keepLines w:val="0"/>
        <w:pageBreakBefore w:val="0"/>
        <w:widowControl w:val="0"/>
        <w:kinsoku/>
        <w:wordWrap/>
        <w:overflowPunct/>
        <w:topLinePunct w:val="0"/>
        <w:bidi w:val="0"/>
        <w:snapToGrid/>
        <w:spacing w:line="240" w:lineRule="auto"/>
        <w:textAlignment w:val="auto"/>
      </w:pPr>
    </w:p>
    <w:p>
      <w:pPr>
        <w:pStyle w:val="2"/>
      </w:pPr>
      <w:r>
        <w:rPr>
          <w:rFonts w:hint="eastAsia"/>
        </w:rPr>
        <w:t>第二章  项目需求</w:t>
      </w:r>
    </w:p>
    <w:p>
      <w:pPr>
        <w:pStyle w:val="3"/>
        <w:spacing w:before="156" w:beforeLines="50" w:after="156" w:afterLines="50"/>
        <w:rPr>
          <w:rFonts w:cs="宋体"/>
          <w:b/>
          <w:bCs/>
          <w:sz w:val="28"/>
          <w:szCs w:val="28"/>
        </w:rPr>
      </w:pPr>
      <w:bookmarkStart w:id="0" w:name="_Toc100052364"/>
      <w:bookmarkStart w:id="1" w:name="_Toc73518117"/>
      <w:bookmarkStart w:id="2" w:name="_Toc60560625"/>
      <w:bookmarkStart w:id="3" w:name="_Toc73517639"/>
      <w:bookmarkStart w:id="4" w:name="_Toc73521635"/>
      <w:bookmarkStart w:id="5" w:name="_Toc101074876"/>
      <w:bookmarkStart w:id="6" w:name="_Toc73521547"/>
      <w:bookmarkStart w:id="7" w:name="_Toc60631620"/>
      <w:r>
        <w:rPr>
          <w:rFonts w:hint="eastAsia" w:cs="宋体"/>
          <w:b/>
          <w:bCs/>
          <w:sz w:val="28"/>
          <w:szCs w:val="28"/>
        </w:rPr>
        <w:t>一、项目概况</w:t>
      </w:r>
    </w:p>
    <w:bookmarkEnd w:id="0"/>
    <w:bookmarkEnd w:id="1"/>
    <w:bookmarkEnd w:id="2"/>
    <w:bookmarkEnd w:id="3"/>
    <w:bookmarkEnd w:id="4"/>
    <w:bookmarkEnd w:id="5"/>
    <w:bookmarkEnd w:id="6"/>
    <w:bookmarkEnd w:id="7"/>
    <w:p>
      <w:pPr>
        <w:spacing w:beforeLines="50" w:line="360" w:lineRule="auto"/>
        <w:ind w:firstLine="480" w:firstLineChars="200"/>
        <w:rPr>
          <w:rFonts w:hint="eastAsia" w:ascii="宋体" w:hAnsi="宋体" w:cs="宋体"/>
          <w:sz w:val="24"/>
        </w:rPr>
      </w:pPr>
      <w:r>
        <w:rPr>
          <w:rFonts w:hint="eastAsia" w:ascii="宋体" w:hAnsi="宋体" w:cs="宋体"/>
          <w:sz w:val="24"/>
        </w:rPr>
        <w:t>为了择优选择服务单位承办</w:t>
      </w:r>
      <w:r>
        <w:rPr>
          <w:rFonts w:hint="eastAsia" w:ascii="宋体" w:hAnsi="宋体" w:cs="宋体"/>
          <w:sz w:val="24"/>
          <w:lang w:val="en-US" w:eastAsia="zh-CN"/>
        </w:rPr>
        <w:t>我校</w:t>
      </w:r>
      <w:r>
        <w:rPr>
          <w:rFonts w:hint="eastAsia" w:ascii="宋体" w:hAnsi="宋体" w:cs="宋体"/>
          <w:sz w:val="24"/>
        </w:rPr>
        <w:t>学生</w:t>
      </w:r>
      <w:r>
        <w:rPr>
          <w:rFonts w:hint="eastAsia" w:ascii="宋体" w:hAnsi="宋体" w:cs="宋体"/>
          <w:sz w:val="24"/>
          <w:lang w:eastAsia="zh-CN"/>
        </w:rPr>
        <w:t>研学实践活动</w:t>
      </w:r>
      <w:r>
        <w:rPr>
          <w:rFonts w:hint="eastAsia" w:ascii="宋体" w:hAnsi="宋体" w:cs="宋体"/>
          <w:sz w:val="24"/>
        </w:rPr>
        <w:t>，经研究决定，特面向社会公开招标，欢迎符合条件的各单位积极参与投标。</w:t>
      </w:r>
    </w:p>
    <w:p>
      <w:pPr>
        <w:spacing w:beforeLines="50" w:line="360" w:lineRule="auto"/>
        <w:ind w:firstLine="482" w:firstLineChars="200"/>
        <w:rPr>
          <w:rFonts w:ascii="宋体" w:hAnsi="宋体" w:cs="宋体"/>
          <w:b/>
          <w:sz w:val="24"/>
        </w:rPr>
      </w:pPr>
      <w:r>
        <w:rPr>
          <w:rFonts w:hint="eastAsia" w:ascii="宋体" w:hAnsi="宋体" w:cs="宋体"/>
          <w:b/>
          <w:sz w:val="24"/>
          <w:lang w:val="en-US" w:eastAsia="zh-CN"/>
        </w:rPr>
        <w:t>（一）</w:t>
      </w:r>
      <w:r>
        <w:rPr>
          <w:rFonts w:hint="eastAsia" w:ascii="宋体" w:hAnsi="宋体" w:cs="宋体"/>
          <w:b/>
          <w:sz w:val="24"/>
        </w:rPr>
        <w:t>项目采购标的及限价要求</w:t>
      </w:r>
    </w:p>
    <w:p>
      <w:pPr>
        <w:spacing w:beforeLines="5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1.项目名称：深圳市第一职业技术学校2024年2022级学生湖南研学实践活动</w:t>
      </w:r>
    </w:p>
    <w:p>
      <w:pPr>
        <w:spacing w:beforeLines="50"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2.参加对象：2022</w:t>
      </w:r>
      <w:r>
        <w:rPr>
          <w:rFonts w:hint="eastAsia" w:ascii="宋体" w:hAnsi="宋体" w:eastAsia="宋体" w:cs="宋体"/>
          <w:sz w:val="24"/>
        </w:rPr>
        <w:t>级</w:t>
      </w:r>
      <w:r>
        <w:rPr>
          <w:rFonts w:hint="eastAsia" w:ascii="宋体" w:hAnsi="宋体" w:eastAsia="宋体" w:cs="宋体"/>
          <w:sz w:val="24"/>
          <w:lang w:val="en-US" w:eastAsia="zh-CN"/>
        </w:rPr>
        <w:t>学生</w:t>
      </w:r>
      <w:r>
        <w:rPr>
          <w:rFonts w:hint="eastAsia" w:ascii="宋体" w:hAnsi="宋体" w:eastAsia="宋体" w:cs="宋体"/>
          <w:sz w:val="24"/>
        </w:rPr>
        <w:t>约</w:t>
      </w:r>
      <w:r>
        <w:rPr>
          <w:rFonts w:hint="eastAsia" w:ascii="宋体" w:hAnsi="宋体" w:eastAsia="宋体" w:cs="宋体"/>
          <w:sz w:val="24"/>
          <w:lang w:val="en-US" w:eastAsia="zh-CN"/>
        </w:rPr>
        <w:t>1050</w:t>
      </w:r>
      <w:r>
        <w:rPr>
          <w:rFonts w:hint="eastAsia" w:ascii="宋体" w:hAnsi="宋体" w:eastAsia="宋体" w:cs="宋体"/>
          <w:sz w:val="24"/>
        </w:rPr>
        <w:t>人，教师合计约</w:t>
      </w:r>
      <w:r>
        <w:rPr>
          <w:rFonts w:hint="eastAsia" w:ascii="宋体" w:hAnsi="宋体" w:eastAsia="宋体" w:cs="宋体"/>
          <w:sz w:val="24"/>
          <w:lang w:val="en-US" w:eastAsia="zh-CN"/>
        </w:rPr>
        <w:t>45</w:t>
      </w:r>
      <w:r>
        <w:rPr>
          <w:rFonts w:hint="eastAsia" w:ascii="宋体" w:hAnsi="宋体" w:eastAsia="宋体" w:cs="宋体"/>
          <w:sz w:val="24"/>
        </w:rPr>
        <w:t>人</w:t>
      </w:r>
      <w:r>
        <w:rPr>
          <w:rFonts w:hint="eastAsia" w:ascii="宋体" w:hAnsi="宋体" w:eastAsia="宋体" w:cs="宋体"/>
          <w:sz w:val="24"/>
          <w:lang w:eastAsia="zh-CN"/>
        </w:rPr>
        <w:t>，以实际参与人数为准。</w:t>
      </w:r>
    </w:p>
    <w:p>
      <w:pPr>
        <w:spacing w:beforeLines="50"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3.活动限价：</w:t>
      </w:r>
      <w:r>
        <w:rPr>
          <w:rFonts w:hint="eastAsia" w:ascii="宋体" w:hAnsi="宋体" w:eastAsia="宋体" w:cs="宋体"/>
          <w:sz w:val="24"/>
        </w:rPr>
        <w:t>学生费用最高限价：</w:t>
      </w:r>
      <w:r>
        <w:rPr>
          <w:rFonts w:hint="eastAsia" w:ascii="宋体" w:hAnsi="宋体" w:eastAsia="宋体" w:cs="宋体"/>
          <w:sz w:val="24"/>
          <w:lang w:val="en-US" w:eastAsia="zh-CN"/>
        </w:rPr>
        <w:t>2100</w:t>
      </w:r>
      <w:r>
        <w:rPr>
          <w:rFonts w:hint="eastAsia" w:ascii="宋体" w:hAnsi="宋体" w:eastAsia="宋体" w:cs="宋体"/>
          <w:sz w:val="24"/>
        </w:rPr>
        <w:t>元/人，学生自行承担费用，人数以实际参加人数据实结算</w:t>
      </w:r>
      <w:r>
        <w:rPr>
          <w:rFonts w:hint="eastAsia" w:ascii="宋体" w:hAnsi="宋体" w:eastAsia="宋体" w:cs="宋体"/>
          <w:sz w:val="24"/>
          <w:lang w:eastAsia="zh-CN"/>
        </w:rPr>
        <w:t>；</w:t>
      </w:r>
      <w:r>
        <w:rPr>
          <w:rFonts w:hint="eastAsia" w:ascii="宋体" w:hAnsi="宋体" w:eastAsia="宋体" w:cs="宋体"/>
          <w:sz w:val="24"/>
        </w:rPr>
        <w:t>教师费用最高限价：</w:t>
      </w:r>
      <w:r>
        <w:rPr>
          <w:rFonts w:hint="eastAsia" w:ascii="宋体" w:hAnsi="宋体" w:eastAsia="宋体" w:cs="宋体"/>
          <w:sz w:val="24"/>
          <w:lang w:val="en-US" w:eastAsia="zh-CN"/>
        </w:rPr>
        <w:t>2100</w:t>
      </w:r>
      <w:r>
        <w:rPr>
          <w:rFonts w:hint="eastAsia" w:ascii="宋体" w:hAnsi="宋体" w:eastAsia="宋体" w:cs="宋体"/>
          <w:sz w:val="24"/>
        </w:rPr>
        <w:t>元/人</w:t>
      </w:r>
      <w:r>
        <w:rPr>
          <w:rFonts w:hint="eastAsia" w:ascii="宋体" w:hAnsi="宋体" w:eastAsia="宋体" w:cs="宋体"/>
          <w:sz w:val="24"/>
          <w:lang w:eastAsia="zh-CN"/>
        </w:rPr>
        <w:t>，由</w:t>
      </w:r>
      <w:r>
        <w:rPr>
          <w:rFonts w:hint="eastAsia" w:ascii="宋体" w:hAnsi="宋体" w:eastAsia="宋体" w:cs="宋体"/>
          <w:sz w:val="24"/>
        </w:rPr>
        <w:t>学校承担</w:t>
      </w:r>
      <w:r>
        <w:rPr>
          <w:rFonts w:hint="eastAsia" w:ascii="宋体" w:hAnsi="宋体" w:eastAsia="宋体" w:cs="宋体"/>
          <w:sz w:val="24"/>
          <w:lang w:eastAsia="zh-CN"/>
        </w:rPr>
        <w:t>费用</w:t>
      </w:r>
      <w:r>
        <w:rPr>
          <w:rFonts w:hint="eastAsia" w:ascii="宋体" w:hAnsi="宋体" w:eastAsia="宋体" w:cs="宋体"/>
          <w:sz w:val="24"/>
        </w:rPr>
        <w:t>，以实际参加人数据实结算。</w:t>
      </w:r>
    </w:p>
    <w:p>
      <w:pPr>
        <w:adjustRightInd w:val="0"/>
        <w:spacing w:beforeLines="50" w:line="360" w:lineRule="auto"/>
        <w:ind w:firstLine="482" w:firstLineChars="200"/>
        <w:textAlignment w:val="baseline"/>
        <w:rPr>
          <w:rFonts w:hint="eastAsia" w:ascii="宋体" w:hAnsi="宋体" w:cs="宋体"/>
          <w:b/>
          <w:kern w:val="0"/>
          <w:sz w:val="24"/>
        </w:rPr>
      </w:pPr>
      <w:r>
        <w:rPr>
          <w:rFonts w:hint="eastAsia" w:ascii="宋体" w:hAnsi="宋体" w:cs="宋体"/>
          <w:b/>
          <w:kern w:val="0"/>
          <w:sz w:val="24"/>
        </w:rPr>
        <w:t>（</w:t>
      </w:r>
      <w:r>
        <w:rPr>
          <w:rFonts w:hint="eastAsia" w:ascii="宋体" w:hAnsi="宋体" w:cs="宋体"/>
          <w:b/>
          <w:kern w:val="0"/>
          <w:sz w:val="24"/>
          <w:lang w:val="en-US" w:eastAsia="zh-CN"/>
        </w:rPr>
        <w:t>二</w:t>
      </w:r>
      <w:r>
        <w:rPr>
          <w:rFonts w:hint="eastAsia" w:ascii="宋体" w:hAnsi="宋体" w:cs="宋体"/>
          <w:b/>
          <w:kern w:val="0"/>
          <w:sz w:val="24"/>
        </w:rPr>
        <w:t>）项目内容要求</w:t>
      </w:r>
    </w:p>
    <w:p>
      <w:pPr>
        <w:adjustRightInd w:val="0"/>
        <w:spacing w:beforeLines="50" w:line="360" w:lineRule="auto"/>
        <w:ind w:firstLine="480" w:firstLineChars="200"/>
        <w:textAlignment w:val="baseline"/>
        <w:rPr>
          <w:rFonts w:hint="eastAsia" w:ascii="宋体" w:hAnsi="宋体" w:cs="宋体"/>
          <w:bCs/>
          <w:kern w:val="0"/>
          <w:sz w:val="24"/>
          <w:lang w:val="en-US" w:eastAsia="zh-CN"/>
        </w:rPr>
      </w:pPr>
      <w:r>
        <w:rPr>
          <w:rFonts w:hint="eastAsia" w:ascii="宋体" w:hAnsi="宋体" w:cs="宋体"/>
          <w:bCs/>
          <w:kern w:val="0"/>
          <w:sz w:val="24"/>
          <w:lang w:val="en-US" w:eastAsia="zh-CN"/>
        </w:rPr>
        <w:t>1.预定活动地点：湖南长沙韶山</w:t>
      </w:r>
    </w:p>
    <w:p>
      <w:pPr>
        <w:adjustRightInd w:val="0"/>
        <w:spacing w:beforeLines="50" w:line="360" w:lineRule="auto"/>
        <w:ind w:firstLine="480" w:firstLineChars="200"/>
        <w:textAlignment w:val="baseline"/>
        <w:rPr>
          <w:rFonts w:hint="default" w:ascii="宋体" w:hAnsi="宋体" w:cs="宋体"/>
          <w:bCs/>
          <w:kern w:val="0"/>
          <w:sz w:val="24"/>
          <w:lang w:val="en-US" w:eastAsia="zh-CN"/>
        </w:rPr>
      </w:pPr>
      <w:r>
        <w:rPr>
          <w:rFonts w:hint="eastAsia" w:ascii="宋体" w:hAnsi="宋体" w:cs="宋体"/>
          <w:bCs/>
          <w:kern w:val="0"/>
          <w:sz w:val="24"/>
          <w:lang w:val="en-US" w:eastAsia="zh-CN"/>
        </w:rPr>
        <w:t>2.</w:t>
      </w:r>
      <w:r>
        <w:rPr>
          <w:rFonts w:hint="default" w:ascii="宋体" w:hAnsi="宋体" w:cs="宋体"/>
          <w:bCs/>
          <w:kern w:val="0"/>
          <w:sz w:val="24"/>
          <w:lang w:val="en-US" w:eastAsia="zh-CN"/>
        </w:rPr>
        <w:t>活动主题：学生湖南研学实践活动；</w:t>
      </w:r>
    </w:p>
    <w:p>
      <w:pPr>
        <w:adjustRightInd w:val="0"/>
        <w:spacing w:beforeLines="50" w:line="360" w:lineRule="auto"/>
        <w:ind w:firstLine="480" w:firstLineChars="200"/>
        <w:textAlignment w:val="baseline"/>
        <w:rPr>
          <w:rFonts w:hint="default" w:ascii="宋体" w:hAnsi="宋体" w:cs="宋体"/>
          <w:bCs/>
          <w:kern w:val="0"/>
          <w:sz w:val="24"/>
          <w:lang w:val="en-US" w:eastAsia="zh-CN"/>
        </w:rPr>
      </w:pPr>
      <w:r>
        <w:rPr>
          <w:rFonts w:hint="eastAsia" w:ascii="宋体" w:hAnsi="宋体" w:cs="宋体"/>
          <w:bCs/>
          <w:kern w:val="0"/>
          <w:sz w:val="24"/>
          <w:lang w:val="en-US" w:eastAsia="zh-CN"/>
        </w:rPr>
        <w:t>3.</w:t>
      </w:r>
      <w:r>
        <w:rPr>
          <w:rFonts w:hint="default" w:ascii="宋体" w:hAnsi="宋体" w:cs="宋体"/>
          <w:bCs/>
          <w:kern w:val="0"/>
          <w:sz w:val="24"/>
          <w:lang w:val="en-US" w:eastAsia="zh-CN"/>
        </w:rPr>
        <w:t>活动时间：202</w:t>
      </w:r>
      <w:r>
        <w:rPr>
          <w:rFonts w:hint="eastAsia" w:ascii="宋体" w:hAnsi="宋体" w:cs="宋体"/>
          <w:bCs/>
          <w:kern w:val="0"/>
          <w:sz w:val="24"/>
          <w:lang w:val="en-US" w:eastAsia="zh-CN"/>
        </w:rPr>
        <w:t>4</w:t>
      </w:r>
      <w:r>
        <w:rPr>
          <w:rFonts w:hint="default" w:ascii="宋体" w:hAnsi="宋体" w:cs="宋体"/>
          <w:bCs/>
          <w:kern w:val="0"/>
          <w:sz w:val="24"/>
          <w:lang w:val="en-US" w:eastAsia="zh-CN"/>
        </w:rPr>
        <w:t>年</w:t>
      </w:r>
      <w:r>
        <w:rPr>
          <w:rFonts w:hint="eastAsia" w:ascii="宋体" w:hAnsi="宋体" w:cs="宋体"/>
          <w:b w:val="0"/>
          <w:bCs/>
          <w:color w:val="0000FF"/>
          <w:sz w:val="24"/>
          <w:lang w:val="en-US" w:eastAsia="zh-CN"/>
        </w:rPr>
        <w:t>5</w:t>
      </w:r>
      <w:r>
        <w:rPr>
          <w:rFonts w:hint="default" w:ascii="宋体" w:hAnsi="宋体" w:cs="宋体"/>
          <w:bCs/>
          <w:kern w:val="0"/>
          <w:sz w:val="24"/>
          <w:lang w:val="en-US" w:eastAsia="zh-CN"/>
        </w:rPr>
        <w:t>月</w:t>
      </w:r>
      <w:r>
        <w:rPr>
          <w:rFonts w:hint="eastAsia" w:ascii="宋体" w:hAnsi="宋体" w:cs="宋体"/>
          <w:bCs/>
          <w:kern w:val="0"/>
          <w:sz w:val="24"/>
          <w:lang w:val="en-US" w:eastAsia="zh-CN"/>
        </w:rPr>
        <w:t>至</w:t>
      </w:r>
      <w:r>
        <w:rPr>
          <w:rFonts w:hint="eastAsia" w:ascii="宋体" w:hAnsi="宋体" w:cs="宋体"/>
          <w:b w:val="0"/>
          <w:bCs/>
          <w:color w:val="0000FF"/>
          <w:sz w:val="24"/>
          <w:lang w:val="en-US" w:eastAsia="zh-CN"/>
        </w:rPr>
        <w:t>6</w:t>
      </w:r>
      <w:r>
        <w:rPr>
          <w:rFonts w:hint="default" w:ascii="宋体" w:hAnsi="宋体" w:cs="宋体"/>
          <w:bCs/>
          <w:kern w:val="0"/>
          <w:sz w:val="24"/>
          <w:lang w:val="en-US" w:eastAsia="zh-CN"/>
        </w:rPr>
        <w:t>月，活动为期</w:t>
      </w:r>
      <w:r>
        <w:rPr>
          <w:rFonts w:hint="eastAsia" w:ascii="宋体" w:hAnsi="宋体" w:cs="宋体"/>
          <w:b w:val="0"/>
          <w:bCs/>
          <w:color w:val="0000FF"/>
          <w:sz w:val="24"/>
          <w:lang w:val="en-US" w:eastAsia="zh-CN"/>
        </w:rPr>
        <w:t>5</w:t>
      </w:r>
      <w:r>
        <w:rPr>
          <w:rFonts w:hint="default" w:ascii="宋体" w:hAnsi="宋体" w:cs="宋体"/>
          <w:bCs/>
          <w:kern w:val="0"/>
          <w:sz w:val="24"/>
          <w:lang w:val="en-US" w:eastAsia="zh-CN"/>
        </w:rPr>
        <w:t>天(具体实施时间视天气、学校工作安排等情况协商确定)。</w:t>
      </w:r>
    </w:p>
    <w:p>
      <w:pPr>
        <w:adjustRightInd w:val="0"/>
        <w:snapToGrid w:val="0"/>
        <w:spacing w:beforeLines="50" w:line="360" w:lineRule="auto"/>
        <w:ind w:firstLine="487" w:firstLineChars="202"/>
        <w:rPr>
          <w:rFonts w:hint="eastAsia" w:ascii="宋体" w:hAnsi="宋体" w:cs="宋体"/>
          <w:b/>
          <w:bCs w:val="0"/>
          <w:sz w:val="24"/>
          <w:lang w:val="en-US" w:eastAsia="zh-CN"/>
        </w:rPr>
      </w:pPr>
      <w:r>
        <w:rPr>
          <w:rFonts w:hint="eastAsia" w:ascii="宋体" w:hAnsi="宋体" w:cs="宋体"/>
          <w:b/>
          <w:bCs w:val="0"/>
          <w:sz w:val="24"/>
          <w:lang w:val="en-US" w:eastAsia="zh-CN"/>
        </w:rPr>
        <w:t>4.交通安排需求</w:t>
      </w:r>
    </w:p>
    <w:p>
      <w:pPr>
        <w:adjustRightInd w:val="0"/>
        <w:snapToGrid w:val="0"/>
        <w:spacing w:beforeLines="50" w:line="360" w:lineRule="auto"/>
        <w:ind w:firstLine="484" w:firstLineChars="202"/>
        <w:rPr>
          <w:rFonts w:hint="eastAsia" w:ascii="宋体" w:hAnsi="宋体" w:cs="宋体"/>
          <w:i w:val="0"/>
          <w:iCs w:val="0"/>
          <w:caps w:val="0"/>
          <w:color w:val="000000"/>
          <w:spacing w:val="0"/>
          <w:kern w:val="0"/>
          <w:sz w:val="24"/>
          <w:szCs w:val="24"/>
          <w:shd w:val="clear" w:fill="FFFFFF"/>
          <w:lang w:val="en-US" w:eastAsia="zh-CN" w:bidi="ar"/>
        </w:rPr>
      </w:pPr>
      <w:r>
        <w:rPr>
          <w:rFonts w:hint="eastAsia" w:ascii="宋体" w:hAnsi="宋体" w:cs="宋体"/>
          <w:i w:val="0"/>
          <w:iCs w:val="0"/>
          <w:caps w:val="0"/>
          <w:color w:val="000000"/>
          <w:spacing w:val="0"/>
          <w:kern w:val="0"/>
          <w:sz w:val="24"/>
          <w:szCs w:val="24"/>
          <w:shd w:val="clear" w:fill="FFFFFF"/>
          <w:lang w:val="en-US" w:eastAsia="zh-CN" w:bidi="ar"/>
        </w:rPr>
        <w:t>（1）深圳——湖南往返</w:t>
      </w:r>
      <w:r>
        <w:rPr>
          <w:rFonts w:hint="eastAsia" w:ascii="宋体" w:hAnsi="宋体" w:cs="宋体"/>
          <w:i w:val="0"/>
          <w:iCs w:val="0"/>
          <w:caps w:val="0"/>
          <w:color w:val="0000FF"/>
          <w:spacing w:val="0"/>
          <w:kern w:val="0"/>
          <w:sz w:val="24"/>
          <w:szCs w:val="24"/>
          <w:shd w:val="clear" w:fill="FFFFFF"/>
          <w:lang w:val="en-US" w:eastAsia="zh-CN" w:bidi="ar"/>
        </w:rPr>
        <w:t>卧铺</w:t>
      </w:r>
      <w:r>
        <w:rPr>
          <w:rFonts w:hint="eastAsia" w:ascii="宋体" w:hAnsi="宋体" w:cs="宋体"/>
          <w:i w:val="0"/>
          <w:iCs w:val="0"/>
          <w:caps w:val="0"/>
          <w:color w:val="000000"/>
          <w:spacing w:val="0"/>
          <w:kern w:val="0"/>
          <w:sz w:val="24"/>
          <w:szCs w:val="24"/>
          <w:shd w:val="clear" w:fill="FFFFFF"/>
          <w:lang w:val="en-US" w:eastAsia="zh-CN" w:bidi="ar"/>
        </w:rPr>
        <w:t>专列；</w:t>
      </w:r>
    </w:p>
    <w:p>
      <w:pPr>
        <w:adjustRightInd w:val="0"/>
        <w:snapToGrid w:val="0"/>
        <w:spacing w:beforeLines="50" w:line="360" w:lineRule="auto"/>
        <w:ind w:firstLine="484" w:firstLineChars="202"/>
        <w:rPr>
          <w:rFonts w:hint="eastAsia" w:ascii="宋体" w:hAnsi="宋体" w:cs="宋体"/>
          <w:i w:val="0"/>
          <w:iCs w:val="0"/>
          <w:caps w:val="0"/>
          <w:color w:val="000000"/>
          <w:spacing w:val="0"/>
          <w:kern w:val="0"/>
          <w:sz w:val="24"/>
          <w:szCs w:val="24"/>
          <w:shd w:val="clear" w:fill="FFFFFF"/>
          <w:lang w:val="en-US" w:eastAsia="zh-CN" w:bidi="ar"/>
        </w:rPr>
      </w:pPr>
      <w:r>
        <w:rPr>
          <w:rFonts w:hint="eastAsia" w:ascii="宋体" w:hAnsi="宋体" w:cs="宋体"/>
          <w:i w:val="0"/>
          <w:iCs w:val="0"/>
          <w:caps w:val="0"/>
          <w:color w:val="000000"/>
          <w:spacing w:val="0"/>
          <w:kern w:val="0"/>
          <w:sz w:val="24"/>
          <w:szCs w:val="24"/>
          <w:shd w:val="clear" w:fill="FFFFFF"/>
          <w:lang w:val="en-US" w:eastAsia="zh-CN" w:bidi="ar"/>
        </w:rPr>
        <w:t>（2）出发、返回空调大巴接送（学校-火车站）；</w:t>
      </w:r>
    </w:p>
    <w:p>
      <w:pPr>
        <w:adjustRightInd w:val="0"/>
        <w:snapToGrid w:val="0"/>
        <w:spacing w:beforeLines="50" w:line="360" w:lineRule="auto"/>
        <w:ind w:firstLine="484" w:firstLineChars="202"/>
        <w:rPr>
          <w:rFonts w:hint="eastAsia" w:ascii="宋体" w:hAnsi="宋体" w:cs="宋体"/>
          <w:i w:val="0"/>
          <w:iCs w:val="0"/>
          <w:caps w:val="0"/>
          <w:color w:val="000000"/>
          <w:spacing w:val="0"/>
          <w:kern w:val="0"/>
          <w:sz w:val="24"/>
          <w:szCs w:val="24"/>
          <w:shd w:val="clear" w:fill="FFFFFF"/>
          <w:lang w:val="en-US" w:eastAsia="zh-CN" w:bidi="ar"/>
        </w:rPr>
      </w:pPr>
      <w:r>
        <w:rPr>
          <w:rFonts w:hint="eastAsia" w:ascii="宋体" w:hAnsi="宋体" w:cs="宋体"/>
          <w:i w:val="0"/>
          <w:iCs w:val="0"/>
          <w:caps w:val="0"/>
          <w:color w:val="000000"/>
          <w:spacing w:val="0"/>
          <w:kern w:val="0"/>
          <w:sz w:val="24"/>
          <w:szCs w:val="24"/>
          <w:shd w:val="clear" w:fill="FFFFFF"/>
          <w:lang w:val="en-US" w:eastAsia="zh-CN" w:bidi="ar"/>
        </w:rPr>
        <w:t>（3）到达、返回空调大巴接送（驻地-火车站）；</w:t>
      </w:r>
    </w:p>
    <w:p>
      <w:pPr>
        <w:adjustRightInd w:val="0"/>
        <w:snapToGrid w:val="0"/>
        <w:spacing w:beforeLines="50" w:line="360" w:lineRule="auto"/>
        <w:ind w:firstLine="484" w:firstLineChars="202"/>
        <w:rPr>
          <w:rFonts w:hint="eastAsia" w:ascii="宋体" w:hAnsi="宋体" w:cs="宋体"/>
          <w:i w:val="0"/>
          <w:iCs w:val="0"/>
          <w:caps w:val="0"/>
          <w:color w:val="000000"/>
          <w:spacing w:val="0"/>
          <w:kern w:val="0"/>
          <w:sz w:val="24"/>
          <w:szCs w:val="24"/>
          <w:shd w:val="clear" w:fill="FFFFFF"/>
          <w:lang w:val="en-US" w:eastAsia="zh-CN" w:bidi="ar"/>
        </w:rPr>
      </w:pPr>
      <w:r>
        <w:rPr>
          <w:rFonts w:hint="eastAsia" w:ascii="宋体" w:hAnsi="宋体" w:cs="宋体"/>
          <w:i w:val="0"/>
          <w:iCs w:val="0"/>
          <w:caps w:val="0"/>
          <w:color w:val="000000"/>
          <w:spacing w:val="0"/>
          <w:kern w:val="0"/>
          <w:sz w:val="24"/>
          <w:szCs w:val="24"/>
          <w:shd w:val="clear" w:fill="FFFFFF"/>
          <w:lang w:val="en-US" w:eastAsia="zh-CN" w:bidi="ar"/>
        </w:rPr>
        <w:t>（4）驻地、活动地点之间空调大巴接送。</w:t>
      </w:r>
    </w:p>
    <w:p>
      <w:pPr>
        <w:adjustRightInd w:val="0"/>
        <w:snapToGrid w:val="0"/>
        <w:spacing w:beforeLines="50" w:line="360" w:lineRule="auto"/>
        <w:ind w:firstLine="487" w:firstLineChars="202"/>
        <w:rPr>
          <w:rFonts w:hint="eastAsia" w:ascii="宋体" w:hAnsi="宋体" w:cs="宋体"/>
          <w:b/>
          <w:bCs w:val="0"/>
          <w:sz w:val="24"/>
          <w:lang w:val="en-US" w:eastAsia="zh-CN"/>
        </w:rPr>
      </w:pPr>
      <w:r>
        <w:rPr>
          <w:rFonts w:hint="eastAsia" w:ascii="宋体" w:hAnsi="宋体" w:cs="宋体"/>
          <w:b/>
          <w:bCs w:val="0"/>
          <w:sz w:val="24"/>
          <w:lang w:val="en-US" w:eastAsia="zh-CN"/>
        </w:rPr>
        <w:t>5.活动内容要求（包括但不限于以下内容）</w:t>
      </w:r>
    </w:p>
    <w:p>
      <w:pPr>
        <w:adjustRightInd w:val="0"/>
        <w:snapToGrid w:val="0"/>
        <w:spacing w:beforeLines="50" w:line="360" w:lineRule="auto"/>
        <w:ind w:firstLine="484" w:firstLineChars="202"/>
        <w:rPr>
          <w:rFonts w:hint="eastAsia" w:ascii="宋体" w:hAnsi="宋体" w:eastAsia="宋体" w:cs="宋体"/>
          <w:bCs/>
          <w:sz w:val="24"/>
        </w:rPr>
      </w:pPr>
      <w:r>
        <w:rPr>
          <w:rFonts w:hint="eastAsia" w:ascii="宋体" w:hAnsi="宋体" w:eastAsia="宋体" w:cs="宋体"/>
          <w:bCs/>
          <w:sz w:val="24"/>
          <w:lang w:eastAsia="zh-CN"/>
        </w:rPr>
        <w:t>（1）</w:t>
      </w:r>
      <w:r>
        <w:rPr>
          <w:rFonts w:hint="eastAsia" w:ascii="宋体" w:hAnsi="宋体" w:eastAsia="宋体" w:cs="宋体"/>
          <w:bCs/>
          <w:sz w:val="24"/>
        </w:rPr>
        <w:t>毛泽东纪念馆、毛泽东故居、毛泽东铜像广场举行缅怀伟人仪式</w:t>
      </w:r>
      <w:r>
        <w:rPr>
          <w:rFonts w:hint="eastAsia" w:ascii="宋体" w:hAnsi="宋体" w:eastAsia="宋体" w:cs="宋体"/>
          <w:bCs/>
          <w:sz w:val="24"/>
          <w:lang w:eastAsia="zh-CN"/>
        </w:rPr>
        <w:t>、</w:t>
      </w:r>
      <w:r>
        <w:rPr>
          <w:rFonts w:hint="eastAsia" w:ascii="宋体" w:hAnsi="宋体" w:eastAsia="宋体" w:cs="宋体"/>
          <w:bCs/>
          <w:sz w:val="24"/>
        </w:rPr>
        <w:t>隆平水稻博物馆</w:t>
      </w:r>
      <w:r>
        <w:rPr>
          <w:rFonts w:hint="eastAsia" w:ascii="宋体" w:hAnsi="宋体" w:eastAsia="宋体" w:cs="宋体"/>
          <w:bCs/>
          <w:sz w:val="24"/>
          <w:lang w:eastAsia="zh-CN"/>
        </w:rPr>
        <w:t>、</w:t>
      </w:r>
      <w:r>
        <w:rPr>
          <w:rFonts w:hint="eastAsia" w:ascii="宋体" w:hAnsi="宋体" w:eastAsia="宋体" w:cs="宋体"/>
          <w:bCs/>
          <w:sz w:val="24"/>
        </w:rPr>
        <w:t>湖南省博物馆、橘子洲、岳麓书院、爱晚亭</w:t>
      </w:r>
      <w:r>
        <w:rPr>
          <w:rFonts w:hint="eastAsia" w:ascii="宋体" w:hAnsi="宋体" w:eastAsia="宋体" w:cs="宋体"/>
          <w:bCs/>
          <w:sz w:val="24"/>
          <w:lang w:eastAsia="zh-CN"/>
        </w:rPr>
        <w:t>、</w:t>
      </w:r>
      <w:r>
        <w:rPr>
          <w:rFonts w:hint="eastAsia" w:ascii="宋体" w:hAnsi="宋体" w:eastAsia="宋体" w:cs="宋体"/>
          <w:bCs/>
          <w:sz w:val="24"/>
        </w:rPr>
        <w:t xml:space="preserve">农耕体验 </w:t>
      </w:r>
      <w:r>
        <w:rPr>
          <w:rFonts w:hint="eastAsia" w:ascii="宋体" w:hAnsi="宋体" w:eastAsia="宋体" w:cs="宋体"/>
          <w:bCs/>
          <w:sz w:val="24"/>
          <w:lang w:eastAsia="zh-CN"/>
        </w:rPr>
        <w:t>、大型演出或晚会。</w:t>
      </w:r>
    </w:p>
    <w:p>
      <w:pPr>
        <w:adjustRightInd w:val="0"/>
        <w:snapToGrid w:val="0"/>
        <w:spacing w:beforeLines="50" w:line="360" w:lineRule="auto"/>
        <w:ind w:firstLine="484" w:firstLineChars="202"/>
        <w:rPr>
          <w:rFonts w:hint="eastAsia" w:ascii="宋体" w:hAnsi="宋体" w:cs="宋体"/>
          <w:bCs/>
          <w:sz w:val="24"/>
          <w:lang w:eastAsia="zh-CN"/>
        </w:rPr>
      </w:pPr>
      <w:r>
        <w:rPr>
          <w:rFonts w:hint="eastAsia" w:ascii="宋体" w:hAnsi="宋体" w:cs="宋体"/>
          <w:bCs/>
          <w:sz w:val="24"/>
          <w:lang w:eastAsia="zh-CN"/>
        </w:rPr>
        <w:t>（2）</w:t>
      </w:r>
      <w:r>
        <w:rPr>
          <w:rFonts w:hint="eastAsia" w:ascii="宋体" w:hAnsi="宋体" w:cs="宋体"/>
          <w:bCs/>
          <w:sz w:val="24"/>
        </w:rPr>
        <w:t>可以根据公司自身优势，增加相应的研学内容</w:t>
      </w:r>
      <w:r>
        <w:rPr>
          <w:rFonts w:hint="eastAsia" w:ascii="宋体" w:hAnsi="宋体" w:cs="宋体"/>
          <w:bCs/>
          <w:sz w:val="24"/>
          <w:lang w:eastAsia="zh-CN"/>
        </w:rPr>
        <w:t>。</w:t>
      </w:r>
    </w:p>
    <w:p>
      <w:pPr>
        <w:adjustRightInd w:val="0"/>
        <w:snapToGrid w:val="0"/>
        <w:spacing w:beforeLines="50" w:line="360" w:lineRule="auto"/>
        <w:ind w:firstLine="487" w:firstLineChars="202"/>
        <w:rPr>
          <w:rFonts w:hint="eastAsia" w:ascii="宋体" w:hAnsi="宋体" w:cs="宋体"/>
          <w:b/>
          <w:bCs w:val="0"/>
          <w:sz w:val="24"/>
          <w:lang w:val="en-US" w:eastAsia="zh-CN"/>
        </w:rPr>
      </w:pPr>
      <w:r>
        <w:rPr>
          <w:rFonts w:hint="eastAsia" w:ascii="宋体" w:hAnsi="宋体" w:cs="宋体"/>
          <w:b/>
          <w:bCs w:val="0"/>
          <w:sz w:val="24"/>
          <w:lang w:val="en-US" w:eastAsia="zh-CN"/>
        </w:rPr>
        <w:t>6.住宿要求：当地四星标准</w:t>
      </w:r>
    </w:p>
    <w:p>
      <w:pPr>
        <w:adjustRightInd w:val="0"/>
        <w:snapToGrid w:val="0"/>
        <w:spacing w:beforeLines="50" w:line="360" w:lineRule="auto"/>
        <w:ind w:firstLine="487" w:firstLineChars="202"/>
        <w:rPr>
          <w:rFonts w:hint="eastAsia" w:ascii="宋体" w:hAnsi="宋体" w:cs="宋体"/>
          <w:sz w:val="24"/>
        </w:rPr>
      </w:pPr>
      <w:r>
        <w:rPr>
          <w:rFonts w:hint="eastAsia" w:ascii="宋体" w:hAnsi="宋体" w:cs="宋体"/>
          <w:b/>
          <w:bCs w:val="0"/>
          <w:sz w:val="24"/>
          <w:lang w:val="en-US" w:eastAsia="zh-CN"/>
        </w:rPr>
        <w:t>7.用餐要求：9菜（至少5荤4素）1汤</w:t>
      </w:r>
    </w:p>
    <w:p>
      <w:pPr>
        <w:pStyle w:val="3"/>
        <w:spacing w:before="156" w:beforeLines="50" w:after="156" w:afterLines="50"/>
        <w:rPr>
          <w:rFonts w:hint="eastAsia" w:ascii="宋体" w:hAnsi="宋体" w:eastAsia="宋体" w:cs="宋体"/>
          <w:b/>
          <w:bCs/>
          <w:sz w:val="28"/>
          <w:szCs w:val="28"/>
          <w:lang w:eastAsia="zh-CN"/>
        </w:rPr>
      </w:pPr>
      <w:r>
        <w:rPr>
          <w:rFonts w:hint="eastAsia" w:cs="宋体"/>
          <w:b/>
          <w:bCs/>
          <w:sz w:val="28"/>
          <w:szCs w:val="28"/>
          <w:lang w:eastAsia="zh-CN"/>
        </w:rPr>
        <w:t>二</w:t>
      </w:r>
      <w:r>
        <w:rPr>
          <w:rFonts w:hint="eastAsia" w:ascii="宋体" w:hAnsi="宋体" w:eastAsia="宋体" w:cs="宋体"/>
          <w:b/>
          <w:bCs/>
          <w:sz w:val="28"/>
          <w:szCs w:val="28"/>
          <w:lang w:eastAsia="zh-CN"/>
        </w:rPr>
        <w:t>、具体</w:t>
      </w:r>
      <w:r>
        <w:rPr>
          <w:rFonts w:hint="eastAsia" w:cs="宋体"/>
          <w:b/>
          <w:bCs/>
          <w:sz w:val="28"/>
          <w:szCs w:val="28"/>
          <w:lang w:eastAsia="zh-CN"/>
        </w:rPr>
        <w:t>服务</w:t>
      </w:r>
      <w:r>
        <w:rPr>
          <w:rFonts w:hint="eastAsia" w:ascii="宋体" w:hAnsi="宋体" w:eastAsia="宋体" w:cs="宋体"/>
          <w:b/>
          <w:bCs/>
          <w:sz w:val="28"/>
          <w:szCs w:val="28"/>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sz w:val="24"/>
        </w:rPr>
      </w:pPr>
      <w:r>
        <w:rPr>
          <w:rFonts w:hint="eastAsia" w:ascii="宋体" w:hAnsi="宋体" w:cs="宋体"/>
          <w:b/>
          <w:sz w:val="24"/>
        </w:rPr>
        <w:t>（一）技术要求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针对本次招标项目策划出完整的活动方案（对活动主题、意义、内容、行程作出详细说明），且要体现出教育意义。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提供专业、科学的安全应急预案。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有组织</w:t>
      </w:r>
      <w:r>
        <w:rPr>
          <w:rFonts w:hint="eastAsia" w:ascii="宋体" w:hAnsi="宋体" w:cs="宋体"/>
          <w:sz w:val="24"/>
          <w:lang w:val="en-US" w:eastAsia="zh-CN"/>
        </w:rPr>
        <w:t>5</w:t>
      </w:r>
      <w:r>
        <w:rPr>
          <w:rFonts w:hint="eastAsia" w:ascii="宋体" w:hAnsi="宋体" w:cs="宋体"/>
          <w:sz w:val="24"/>
        </w:rPr>
        <w:t>00人以上学生开展省外研学的组织、接待经验。投标人需考虑学生饮食</w:t>
      </w:r>
      <w:r>
        <w:rPr>
          <w:rFonts w:hint="eastAsia" w:ascii="宋体" w:hAnsi="宋体" w:cs="宋体"/>
          <w:sz w:val="24"/>
          <w:lang w:val="en-US" w:eastAsia="zh-CN"/>
        </w:rPr>
        <w:t>住宿</w:t>
      </w:r>
      <w:r>
        <w:rPr>
          <w:rFonts w:hint="eastAsia" w:ascii="宋体" w:hAnsi="宋体" w:cs="宋体"/>
          <w:sz w:val="24"/>
        </w:rPr>
        <w:t>等方面的接待量及合理安排，提供承诺函并加盖公章（格式自拟）。</w:t>
      </w:r>
    </w:p>
    <w:p>
      <w:pPr>
        <w:keepNext w:val="0"/>
        <w:keepLines w:val="0"/>
        <w:pageBreakBefore w:val="0"/>
        <w:widowControl w:val="0"/>
        <w:numPr>
          <w:ilvl w:val="0"/>
          <w:numId w:val="5"/>
        </w:numPr>
        <w:tabs>
          <w:tab w:val="left" w:pos="420"/>
          <w:tab w:val="left" w:pos="5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
          <w:bCs/>
          <w:sz w:val="24"/>
        </w:rPr>
      </w:pPr>
      <w:r>
        <w:rPr>
          <w:rFonts w:hint="eastAsia" w:ascii="宋体" w:hAnsi="宋体" w:cs="宋体"/>
          <w:bCs/>
          <w:sz w:val="24"/>
        </w:rPr>
        <w:t>完善的后勤保障服务、应急医疗服务：</w:t>
      </w:r>
      <w:r>
        <w:rPr>
          <w:rFonts w:hint="eastAsia" w:ascii="宋体" w:hAnsi="宋体" w:cs="宋体"/>
          <w:sz w:val="24"/>
        </w:rPr>
        <w:t>具备专业的安全督导团队，在活动当日到活动场地进行安全巡视并现场掌控和调度整个活动流程。投标人拥有专业的研学导师队伍</w:t>
      </w:r>
      <w:r>
        <w:rPr>
          <w:rFonts w:hint="eastAsia" w:ascii="宋体" w:hAnsi="宋体" w:cs="宋体"/>
          <w:sz w:val="24"/>
          <w:lang w:eastAsia="zh-CN"/>
        </w:rPr>
        <w:t>，</w:t>
      </w:r>
      <w:r>
        <w:rPr>
          <w:rFonts w:hint="eastAsia" w:ascii="宋体" w:hAnsi="宋体" w:cs="宋体"/>
          <w:sz w:val="24"/>
        </w:rPr>
        <w:t>负责学生组织管理、</w:t>
      </w:r>
      <w:r>
        <w:rPr>
          <w:rFonts w:hint="eastAsia" w:ascii="宋体" w:hAnsi="宋体" w:cs="宋体"/>
          <w:sz w:val="24"/>
          <w:lang w:val="en-US" w:eastAsia="zh-CN"/>
        </w:rPr>
        <w:t>研学指导</w:t>
      </w:r>
      <w:r>
        <w:rPr>
          <w:rFonts w:hint="eastAsia" w:ascii="宋体" w:hAnsi="宋体" w:cs="宋体"/>
          <w:sz w:val="24"/>
        </w:rPr>
        <w:t>等工作</w:t>
      </w:r>
      <w:r>
        <w:rPr>
          <w:rFonts w:hint="eastAsia" w:ascii="宋体" w:hAnsi="宋体" w:cs="宋体"/>
          <w:sz w:val="24"/>
          <w:lang w:eastAsia="zh-CN"/>
        </w:rPr>
        <w:t>。</w:t>
      </w:r>
    </w:p>
    <w:p>
      <w:pPr>
        <w:keepNext w:val="0"/>
        <w:keepLines w:val="0"/>
        <w:pageBreakBefore w:val="0"/>
        <w:widowControl w:val="0"/>
        <w:numPr>
          <w:ilvl w:val="0"/>
          <w:numId w:val="5"/>
        </w:numPr>
        <w:tabs>
          <w:tab w:val="left" w:pos="420"/>
          <w:tab w:val="left" w:pos="5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
          <w:bCs/>
          <w:sz w:val="24"/>
        </w:rPr>
      </w:pPr>
      <w:r>
        <w:rPr>
          <w:rFonts w:hint="eastAsia" w:ascii="宋体" w:hAnsi="宋体" w:cs="宋体"/>
          <w:sz w:val="24"/>
        </w:rPr>
        <w:t>用餐（餐厅）、用水相关单位的营业执照、食品卫生许可证等，并保证食物卫生。</w:t>
      </w:r>
    </w:p>
    <w:p>
      <w:pPr>
        <w:keepNext w:val="0"/>
        <w:keepLines w:val="0"/>
        <w:pageBreakBefore w:val="0"/>
        <w:widowControl w:val="0"/>
        <w:numPr>
          <w:ilvl w:val="0"/>
          <w:numId w:val="5"/>
        </w:numPr>
        <w:tabs>
          <w:tab w:val="left" w:pos="420"/>
          <w:tab w:val="left" w:pos="5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lang w:val="en-US" w:eastAsia="zh-CN"/>
        </w:rPr>
        <w:t>为确保研学过程中学生的住宿安全及住宿标准的统一，住宿保证每位学生均为同级别的住宿标准</w:t>
      </w:r>
      <w:r>
        <w:rPr>
          <w:rFonts w:hint="eastAsia" w:ascii="宋体" w:hAnsi="宋体" w:cs="宋体"/>
          <w:sz w:val="24"/>
        </w:rPr>
        <w:t>。</w:t>
      </w:r>
    </w:p>
    <w:p>
      <w:pPr>
        <w:keepNext w:val="0"/>
        <w:keepLines w:val="0"/>
        <w:pageBreakBefore w:val="0"/>
        <w:widowControl w:val="0"/>
        <w:numPr>
          <w:ilvl w:val="0"/>
          <w:numId w:val="5"/>
        </w:numPr>
        <w:tabs>
          <w:tab w:val="left" w:pos="420"/>
          <w:tab w:val="left" w:pos="5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sz w:val="24"/>
        </w:rPr>
      </w:pPr>
      <w:r>
        <w:rPr>
          <w:rFonts w:hint="eastAsia" w:ascii="宋体" w:hAnsi="宋体" w:cs="宋体"/>
          <w:bCs/>
          <w:sz w:val="24"/>
        </w:rPr>
        <w:t>完善的保险机制。</w:t>
      </w:r>
    </w:p>
    <w:p>
      <w:pPr>
        <w:bidi w:val="0"/>
        <w:rPr>
          <w:rFonts w:hint="eastAsia"/>
        </w:rPr>
      </w:pPr>
    </w:p>
    <w:p>
      <w:pPr>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82" w:firstLineChars="200"/>
        <w:textAlignment w:val="auto"/>
        <w:rPr>
          <w:rFonts w:ascii="宋体" w:hAnsi="宋体" w:cs="宋体"/>
          <w:b/>
          <w:sz w:val="24"/>
        </w:rPr>
      </w:pPr>
      <w:r>
        <w:rPr>
          <w:rFonts w:hint="eastAsia" w:ascii="宋体" w:hAnsi="宋体" w:cs="宋体"/>
          <w:b/>
          <w:sz w:val="24"/>
        </w:rPr>
        <w:t>（二）商务要求：</w:t>
      </w:r>
    </w:p>
    <w:p>
      <w:pPr>
        <w:keepNext w:val="0"/>
        <w:keepLines w:val="0"/>
        <w:pageBreakBefore w:val="0"/>
        <w:widowControl w:val="0"/>
        <w:numPr>
          <w:ilvl w:val="0"/>
          <w:numId w:val="6"/>
        </w:numPr>
        <w:tabs>
          <w:tab w:val="left" w:pos="5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Cs/>
          <w:sz w:val="24"/>
        </w:rPr>
      </w:pPr>
      <w:r>
        <w:rPr>
          <w:rFonts w:hint="eastAsia" w:ascii="宋体" w:hAnsi="宋体" w:cs="宋体"/>
          <w:bCs/>
          <w:sz w:val="24"/>
        </w:rPr>
        <w:t>服务期限：★自合同签订之日起120日。</w:t>
      </w:r>
    </w:p>
    <w:p>
      <w:pPr>
        <w:keepNext w:val="0"/>
        <w:keepLines w:val="0"/>
        <w:pageBreakBefore w:val="0"/>
        <w:widowControl w:val="0"/>
        <w:numPr>
          <w:ilvl w:val="0"/>
          <w:numId w:val="6"/>
        </w:numPr>
        <w:tabs>
          <w:tab w:val="left" w:pos="540"/>
        </w:tabs>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color w:val="FF0000"/>
          <w:sz w:val="24"/>
        </w:rPr>
      </w:pPr>
      <w:r>
        <w:rPr>
          <w:rFonts w:hint="eastAsia" w:ascii="宋体" w:hAnsi="宋体" w:cs="宋体"/>
          <w:b/>
          <w:color w:val="FF0000"/>
          <w:sz w:val="24"/>
        </w:rPr>
        <w:t>*报价要求：学生费用最高限价：</w:t>
      </w:r>
      <w:r>
        <w:rPr>
          <w:rFonts w:hint="eastAsia" w:ascii="宋体" w:hAnsi="宋体" w:cs="宋体"/>
          <w:b/>
          <w:color w:val="FF0000"/>
          <w:sz w:val="24"/>
          <w:lang w:val="en-US" w:eastAsia="zh-CN"/>
        </w:rPr>
        <w:t>2100</w:t>
      </w:r>
      <w:r>
        <w:rPr>
          <w:rFonts w:hint="eastAsia" w:ascii="宋体" w:hAnsi="宋体" w:cs="宋体"/>
          <w:b/>
          <w:color w:val="FF0000"/>
          <w:sz w:val="24"/>
        </w:rPr>
        <w:t>元/人，教师费用最高限价：</w:t>
      </w:r>
      <w:r>
        <w:rPr>
          <w:rFonts w:hint="eastAsia" w:ascii="宋体" w:hAnsi="宋体" w:cs="宋体"/>
          <w:b/>
          <w:color w:val="FF0000"/>
          <w:sz w:val="24"/>
          <w:lang w:val="en-US" w:eastAsia="zh-CN"/>
        </w:rPr>
        <w:t>2100</w:t>
      </w:r>
      <w:r>
        <w:rPr>
          <w:rFonts w:hint="eastAsia" w:ascii="宋体" w:hAnsi="宋体" w:cs="宋体"/>
          <w:b/>
          <w:color w:val="FF0000"/>
          <w:sz w:val="24"/>
        </w:rPr>
        <w:t>元/人。</w:t>
      </w:r>
    </w:p>
    <w:p>
      <w:pPr>
        <w:keepNext w:val="0"/>
        <w:keepLines w:val="0"/>
        <w:pageBreakBefore w:val="0"/>
        <w:widowControl w:val="0"/>
        <w:numPr>
          <w:ilvl w:val="0"/>
          <w:numId w:val="6"/>
        </w:numPr>
        <w:tabs>
          <w:tab w:val="left" w:pos="5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Cs/>
          <w:sz w:val="24"/>
        </w:rPr>
      </w:pPr>
      <w:r>
        <w:rPr>
          <w:rFonts w:hint="eastAsia" w:ascii="宋体" w:hAnsi="宋体" w:cs="宋体"/>
          <w:bCs/>
          <w:sz w:val="24"/>
        </w:rPr>
        <w:t>因本项目服务对象为学生，并且班级人数较多，必须提供开展类似省外研学活动的合作合同，合同原件备查，以证明具有相关组织经验。</w:t>
      </w:r>
    </w:p>
    <w:p>
      <w:pPr>
        <w:keepNext w:val="0"/>
        <w:keepLines w:val="0"/>
        <w:pageBreakBefore w:val="0"/>
        <w:widowControl w:val="0"/>
        <w:numPr>
          <w:ilvl w:val="0"/>
          <w:numId w:val="6"/>
        </w:numPr>
        <w:tabs>
          <w:tab w:val="left" w:pos="5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Cs/>
          <w:sz w:val="24"/>
        </w:rPr>
      </w:pPr>
      <w:r>
        <w:rPr>
          <w:rFonts w:hint="eastAsia" w:ascii="宋体" w:hAnsi="宋体" w:cs="宋体"/>
          <w:bCs/>
          <w:sz w:val="24"/>
        </w:rPr>
        <w:t>本项目服务费采用包干制，应包括服务成本（交通、食宿、保险等）、法定税费和企业的利润。由投标人根据招标文件所提供的资料自行测算投标报价；一经中标，投标报价作为中标人与采购人</w:t>
      </w:r>
      <w:r>
        <w:rPr>
          <w:rFonts w:hint="eastAsia" w:ascii="宋体" w:hAnsi="宋体" w:cs="宋体"/>
          <w:bCs/>
          <w:sz w:val="24"/>
          <w:lang w:eastAsia="zh-CN"/>
        </w:rPr>
        <w:t>签订的合同</w:t>
      </w:r>
      <w:r>
        <w:rPr>
          <w:rFonts w:hint="eastAsia" w:ascii="宋体" w:hAnsi="宋体" w:cs="宋体"/>
          <w:bCs/>
          <w:sz w:val="24"/>
        </w:rPr>
        <w:t>单价金额，合同期限内</w:t>
      </w:r>
      <w:r>
        <w:rPr>
          <w:rFonts w:hint="eastAsia" w:ascii="宋体" w:hAnsi="宋体" w:cs="宋体"/>
          <w:bCs/>
          <w:sz w:val="24"/>
          <w:lang w:eastAsia="zh-CN"/>
        </w:rPr>
        <w:t>不作</w:t>
      </w:r>
      <w:r>
        <w:rPr>
          <w:rFonts w:hint="eastAsia" w:ascii="宋体" w:hAnsi="宋体" w:cs="宋体"/>
          <w:bCs/>
          <w:sz w:val="24"/>
        </w:rPr>
        <w:t>调整。</w:t>
      </w:r>
    </w:p>
    <w:p>
      <w:pPr>
        <w:keepNext w:val="0"/>
        <w:keepLines w:val="0"/>
        <w:pageBreakBefore w:val="0"/>
        <w:widowControl w:val="0"/>
        <w:numPr>
          <w:ilvl w:val="0"/>
          <w:numId w:val="6"/>
        </w:numPr>
        <w:tabs>
          <w:tab w:val="left" w:pos="5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Cs/>
          <w:sz w:val="24"/>
        </w:rPr>
      </w:pPr>
      <w:r>
        <w:rPr>
          <w:rFonts w:hint="eastAsia" w:ascii="宋体" w:hAnsi="宋体" w:cs="宋体"/>
          <w:bCs/>
          <w:sz w:val="24"/>
        </w:rPr>
        <w:t>结算时按实际人数进行结算，中标单价不变。投标人应根据本企业的成本自行决定报价，但不得以低于其企业成本的报价投标，投标报价不能超过单价限价，否则按无效投标处理。</w:t>
      </w:r>
    </w:p>
    <w:p>
      <w:pPr>
        <w:keepNext w:val="0"/>
        <w:keepLines w:val="0"/>
        <w:pageBreakBefore w:val="0"/>
        <w:widowControl w:val="0"/>
        <w:numPr>
          <w:ilvl w:val="0"/>
          <w:numId w:val="6"/>
        </w:numPr>
        <w:tabs>
          <w:tab w:val="left" w:pos="5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落实安全保障措施，切实保障活动期间师生交通、活动、食品等安全；按有关规定为全体师生购买本次活动相关保险；出现安全问题应及时应对、精准处置、及时解决，以保证师生安全为第一要务。发生安全问题，属于中标方责任的，中标方应承担相应的法律及赔偿责任。</w:t>
      </w:r>
    </w:p>
    <w:p>
      <w:pPr>
        <w:keepNext w:val="0"/>
        <w:keepLines w:val="0"/>
        <w:pageBreakBefore w:val="0"/>
        <w:widowControl w:val="0"/>
        <w:numPr>
          <w:ilvl w:val="0"/>
          <w:numId w:val="6"/>
        </w:numPr>
        <w:tabs>
          <w:tab w:val="left" w:pos="5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付款方式：</w:t>
      </w:r>
    </w:p>
    <w:p>
      <w:pPr>
        <w:keepNext w:val="0"/>
        <w:keepLines w:val="0"/>
        <w:pageBreakBefore w:val="0"/>
        <w:widowControl w:val="0"/>
        <w:numPr>
          <w:ilvl w:val="0"/>
          <w:numId w:val="6"/>
        </w:numPr>
        <w:tabs>
          <w:tab w:val="left" w:pos="5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Cs/>
          <w:sz w:val="24"/>
        </w:rPr>
      </w:pPr>
      <w:r>
        <w:rPr>
          <w:rFonts w:hint="eastAsia" w:ascii="宋体" w:hAnsi="宋体" w:eastAsia="宋体" w:cs="宋体"/>
          <w:bCs/>
          <w:sz w:val="24"/>
        </w:rPr>
        <w:t>（1）学生自行承担部分在合同</w:t>
      </w:r>
      <w:r>
        <w:rPr>
          <w:rFonts w:hint="eastAsia" w:ascii="宋体" w:hAnsi="宋体" w:cs="宋体"/>
          <w:sz w:val="24"/>
        </w:rPr>
        <w:t>签订后，</w:t>
      </w:r>
      <w:r>
        <w:rPr>
          <w:rFonts w:hint="eastAsia" w:ascii="宋体" w:hAnsi="宋体" w:cs="宋体"/>
          <w:sz w:val="24"/>
          <w:lang w:val="en-US" w:eastAsia="zh-CN"/>
        </w:rPr>
        <w:t>15个工作日</w:t>
      </w:r>
      <w:r>
        <w:rPr>
          <w:rFonts w:hint="eastAsia" w:ascii="宋体" w:hAnsi="宋体" w:cs="宋体"/>
          <w:sz w:val="24"/>
        </w:rPr>
        <w:t>内一次性付清全款</w:t>
      </w:r>
      <w:r>
        <w:rPr>
          <w:rFonts w:hint="eastAsia" w:ascii="宋体" w:hAnsi="宋体" w:cs="宋体"/>
          <w:bCs/>
          <w:sz w:val="24"/>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sz w:val="24"/>
        </w:rPr>
        <w:t>（2）教师活动经费</w:t>
      </w:r>
      <w:r>
        <w:rPr>
          <w:rFonts w:hint="eastAsia" w:ascii="宋体" w:hAnsi="宋体" w:cs="宋体"/>
          <w:sz w:val="24"/>
          <w:lang w:val="en-US" w:eastAsia="zh-CN"/>
        </w:rPr>
        <w:t>由</w:t>
      </w:r>
      <w:r>
        <w:rPr>
          <w:rFonts w:hint="eastAsia" w:ascii="宋体" w:hAnsi="宋体" w:cs="宋体"/>
          <w:bCs/>
          <w:sz w:val="24"/>
        </w:rPr>
        <w:t>学校承担，在项目完工无安全责任事故履约评价“满意”，10个工作日内一次性付清全款。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履约担保金：无。</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sz w:val="24"/>
        </w:rPr>
      </w:pPr>
      <w:r>
        <w:rPr>
          <w:rFonts w:hint="eastAsia" w:ascii="宋体" w:hAnsi="宋体" w:cs="宋体"/>
          <w:sz w:val="24"/>
        </w:rPr>
        <w:t>违约责任：按合同要求。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Cs/>
          <w:sz w:val="24"/>
        </w:rPr>
      </w:pPr>
      <w:r>
        <w:rPr>
          <w:rFonts w:hint="eastAsia" w:ascii="宋体" w:hAnsi="宋体" w:cs="宋体"/>
          <w:sz w:val="24"/>
        </w:rPr>
        <w:t>警示条款：招标方有权对投标供应商就本项目招标文件要求提供的相关证明材料（原件）进行审查。供应商提供虚假资料被查实的，则可能面临被取消本项目中标资格、列入不良行为记录名单且三年内禁止参与本单位采购活动的风险。</w:t>
      </w:r>
    </w:p>
    <w:p>
      <w:pPr>
        <w:widowControl/>
        <w:shd w:val="clear" w:color="auto" w:fill="FFFFFF"/>
        <w:jc w:val="left"/>
        <w:rPr>
          <w:color w:val="auto"/>
          <w:highlight w:val="none"/>
        </w:rPr>
      </w:pPr>
      <w:r>
        <w:rPr>
          <w:rStyle w:val="16"/>
          <w:rFonts w:hint="eastAsia" w:ascii="宋体" w:hAnsi="宋体"/>
          <w:color w:val="auto"/>
          <w:sz w:val="32"/>
          <w:szCs w:val="32"/>
          <w:highlight w:val="none"/>
          <w:shd w:val="clear" w:color="auto" w:fill="FFFFFF"/>
          <w:lang w:val="en-US" w:eastAsia="zh-CN"/>
        </w:rPr>
        <w:t xml:space="preserve">        </w:t>
      </w:r>
      <w:r>
        <w:rPr>
          <w:rStyle w:val="16"/>
          <w:rFonts w:hint="eastAsia" w:ascii="微软雅黑" w:hAnsi="微软雅黑" w:eastAsia="微软雅黑" w:cs="微软雅黑"/>
          <w:color w:val="auto"/>
          <w:kern w:val="0"/>
          <w:sz w:val="22"/>
          <w:szCs w:val="22"/>
          <w:highlight w:val="none"/>
          <w:shd w:val="clear" w:color="auto" w:fill="FFFFFF"/>
        </w:rPr>
        <w:t> </w:t>
      </w:r>
      <w:bookmarkStart w:id="8" w:name="bt附件"/>
      <w:bookmarkEnd w:id="8"/>
      <w:bookmarkStart w:id="9" w:name="bt投标书"/>
      <w:bookmarkEnd w:id="9"/>
    </w:p>
    <w:p>
      <w:pPr>
        <w:pStyle w:val="2"/>
      </w:pPr>
      <w:r>
        <w:rPr>
          <w:rFonts w:hint="eastAsia"/>
        </w:rPr>
        <w:t>第三章  投标文件格式</w:t>
      </w:r>
    </w:p>
    <w:p>
      <w:pPr>
        <w:rPr>
          <w:rStyle w:val="21"/>
          <w:rFonts w:ascii="宋体" w:hAnsi="宋体" w:eastAsia="宋体" w:cs="宋体"/>
          <w:sz w:val="28"/>
          <w:szCs w:val="28"/>
        </w:rPr>
      </w:pPr>
      <w:r>
        <w:rPr>
          <w:rStyle w:val="21"/>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、方案策划</w:t>
      </w:r>
    </w:p>
    <w:p>
      <w:pPr>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、安全保障方案</w:t>
      </w:r>
    </w:p>
    <w:p>
      <w:pPr>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、后勤保障方案</w:t>
      </w:r>
    </w:p>
    <w:p>
      <w:pPr>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、人员配置方案及团队规模</w:t>
      </w:r>
    </w:p>
    <w:p>
      <w:pPr>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、成功案例</w:t>
      </w:r>
    </w:p>
    <w:p>
      <w:pPr>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、服务满意度</w:t>
      </w:r>
    </w:p>
    <w:p>
      <w:pPr>
        <w:rPr>
          <w:rFonts w:hint="eastAsia" w:ascii="宋体" w:hAnsi="宋体" w:eastAsia="宋体" w:cs="宋体"/>
          <w:sz w:val="24"/>
          <w:lang w:eastAsia="zh-CN"/>
        </w:rPr>
      </w:pPr>
      <w:r>
        <w:rPr>
          <w:rFonts w:hint="eastAsia" w:ascii="宋体" w:hAnsi="宋体" w:cs="宋体"/>
          <w:sz w:val="24"/>
          <w:lang w:val="en-US" w:eastAsia="zh-CN"/>
        </w:rPr>
        <w:t>13</w:t>
      </w:r>
      <w:r>
        <w:rPr>
          <w:rFonts w:hint="eastAsia" w:ascii="宋体" w:hAnsi="宋体" w:cs="宋体"/>
          <w:sz w:val="24"/>
        </w:rPr>
        <w:t>、</w:t>
      </w:r>
      <w:r>
        <w:rPr>
          <w:rFonts w:hint="eastAsia" w:ascii="宋体" w:hAnsi="宋体" w:cs="宋体"/>
          <w:sz w:val="24"/>
          <w:lang w:eastAsia="zh-CN"/>
        </w:rPr>
        <w:t>诚信承诺函</w:t>
      </w:r>
    </w:p>
    <w:p>
      <w:pPr>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、采购文件要求的其他内容及投标人认为需要加以说明的其他内容</w:t>
      </w:r>
    </w:p>
    <w:p>
      <w:pPr>
        <w:pStyle w:val="2"/>
      </w:pPr>
    </w:p>
    <w:p/>
    <w:p>
      <w:pPr>
        <w:pStyle w:val="2"/>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hint="eastAsia"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rPr>
              <w:t>投标报价</w:t>
            </w:r>
            <w:r>
              <w:rPr>
                <w:rFonts w:hint="eastAsia" w:ascii="宋体" w:hAnsi="宋体" w:cs="宋体"/>
                <w:snapToGrid w:val="0"/>
                <w:color w:val="000000"/>
                <w:kern w:val="0"/>
                <w:szCs w:val="22"/>
                <w:lang w:eastAsia="zh-CN"/>
              </w:rPr>
              <w:t>（</w:t>
            </w:r>
            <w:r>
              <w:rPr>
                <w:rFonts w:hint="eastAsia" w:ascii="宋体" w:hAnsi="宋体" w:cs="宋体"/>
                <w:snapToGrid w:val="0"/>
                <w:color w:val="000000"/>
                <w:kern w:val="0"/>
                <w:szCs w:val="22"/>
                <w:lang w:val="en-US" w:eastAsia="zh-CN"/>
              </w:rPr>
              <w:t>XX元/人</w:t>
            </w:r>
            <w:bookmarkStart w:id="10" w:name="_GoBack"/>
            <w:bookmarkEnd w:id="10"/>
            <w:r>
              <w:rPr>
                <w:rFonts w:hint="eastAsia" w:ascii="宋体" w:hAnsi="宋体" w:cs="宋体"/>
                <w:snapToGrid w:val="0"/>
                <w:color w:val="000000"/>
                <w:kern w:val="0"/>
                <w:szCs w:val="22"/>
                <w:lang w:eastAsia="zh-CN"/>
              </w:rPr>
              <w:t>）</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9"/>
      </w:pPr>
    </w:p>
    <w:p>
      <w:pPr>
        <w:pStyle w:val="4"/>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一、评标指引表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7"/>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4"/>
        <w:tblW w:w="95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57"/>
        <w:gridCol w:w="2592"/>
        <w:gridCol w:w="3522"/>
        <w:gridCol w:w="22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20" w:hRule="atLeast"/>
          <w:jc w:val="center"/>
        </w:trPr>
        <w:tc>
          <w:tcPr>
            <w:tcW w:w="125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序号</w:t>
            </w:r>
          </w:p>
        </w:tc>
        <w:tc>
          <w:tcPr>
            <w:tcW w:w="2592"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0000FF"/>
                <w:kern w:val="0"/>
                <w:sz w:val="22"/>
                <w:szCs w:val="22"/>
                <w:highlight w:val="none"/>
              </w:rPr>
              <w:t>项目名称</w:t>
            </w:r>
          </w:p>
        </w:tc>
        <w:tc>
          <w:tcPr>
            <w:tcW w:w="3522"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0000FF"/>
                <w:kern w:val="0"/>
                <w:sz w:val="22"/>
                <w:szCs w:val="22"/>
                <w:highlight w:val="none"/>
              </w:rPr>
              <w:t>投标</w:t>
            </w:r>
            <w:r>
              <w:rPr>
                <w:rFonts w:hint="eastAsia" w:ascii="宋体" w:hAnsi="宋体"/>
                <w:color w:val="0000FF"/>
                <w:kern w:val="0"/>
                <w:sz w:val="22"/>
                <w:szCs w:val="22"/>
                <w:highlight w:val="none"/>
                <w:lang w:eastAsia="zh-CN"/>
              </w:rPr>
              <w:t>折扣率</w:t>
            </w:r>
          </w:p>
        </w:tc>
        <w:tc>
          <w:tcPr>
            <w:tcW w:w="2227"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财政预算限额（元）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592" w:type="dxa"/>
            <w:tcBorders>
              <w:top w:val="nil"/>
              <w:left w:val="nil"/>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3522" w:type="dxa"/>
            <w:tcBorders>
              <w:top w:val="nil"/>
              <w:left w:val="nil"/>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227" w:type="dxa"/>
            <w:tcBorders>
              <w:top w:val="nil"/>
              <w:left w:val="nil"/>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c>
          <w:tcPr>
            <w:tcW w:w="259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c>
          <w:tcPr>
            <w:tcW w:w="352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c>
          <w:tcPr>
            <w:tcW w:w="222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r>
    </w:tbl>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lang w:val="en-US" w:eastAsia="zh-CN"/>
        </w:rPr>
        <w:t>4</w:t>
      </w:r>
      <w:r>
        <w:rPr>
          <w:rFonts w:hint="eastAsia" w:ascii="宋体" w:hAnsi="宋体" w:cs="宋体"/>
          <w:kern w:val="0"/>
          <w:sz w:val="22"/>
          <w:szCs w:val="22"/>
          <w:shd w:val="clear" w:color="auto" w:fill="FFFFFF"/>
        </w:rPr>
        <w:t>.投标总价和项目报价表中单个采购预算条目报价均不得超过对应的财政预算限额，否则将导致废标。</w:t>
      </w:r>
    </w:p>
    <w:p>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lang w:val="en-US" w:eastAsia="zh-CN"/>
        </w:rPr>
        <w:t>5</w:t>
      </w:r>
      <w:r>
        <w:rPr>
          <w:rFonts w:hint="eastAsia" w:ascii="宋体" w:hAnsi="宋体" w:cs="宋体"/>
          <w:kern w:val="0"/>
          <w:sz w:val="22"/>
          <w:szCs w:val="22"/>
          <w:shd w:val="clear" w:color="auto" w:fill="FFFFFF"/>
        </w:rPr>
        <w:t>.开标一览表的投标总价必须与项目报价表的投标总价一致。</w:t>
      </w:r>
    </w:p>
    <w:p>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lang w:val="en-US" w:eastAsia="zh-CN"/>
        </w:rPr>
        <w:t>6</w:t>
      </w:r>
      <w:r>
        <w:rPr>
          <w:rFonts w:hint="eastAsia" w:ascii="宋体" w:hAnsi="宋体" w:cs="宋体"/>
          <w:kern w:val="0"/>
          <w:sz w:val="22"/>
          <w:szCs w:val="22"/>
          <w:shd w:val="clear" w:color="auto" w:fill="FFFFFF"/>
        </w:rPr>
        <w:t>.“原产地”是指该产品的实际生产加工地，而非品牌总公司所在地。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rPr>
          <w:rFonts w:ascii="宋体" w:hAnsi="宋体" w:cs="宋体"/>
          <w:sz w:val="24"/>
        </w:rPr>
      </w:pPr>
    </w:p>
    <w:p>
      <w:pPr>
        <w:spacing w:line="360" w:lineRule="exact"/>
        <w:jc w:val="center"/>
        <w:outlineLvl w:val="2"/>
        <w:rPr>
          <w:rFonts w:hint="eastAsia" w:ascii="宋体" w:hAnsi="宋体" w:cs="宋体"/>
          <w:b/>
          <w:bCs/>
          <w:sz w:val="32"/>
          <w:szCs w:val="32"/>
        </w:rPr>
      </w:pPr>
      <w:r>
        <w:rPr>
          <w:rFonts w:hint="eastAsia" w:ascii="宋体" w:hAnsi="宋体" w:cs="宋体"/>
          <w:b/>
          <w:bCs/>
          <w:sz w:val="32"/>
          <w:szCs w:val="32"/>
        </w:rPr>
        <w:t>七、方案策划（格式自拟）</w:t>
      </w:r>
    </w:p>
    <w:p>
      <w:pPr>
        <w:adjustRightInd w:val="0"/>
        <w:snapToGrid w:val="0"/>
        <w:spacing w:line="360" w:lineRule="exact"/>
        <w:jc w:val="center"/>
        <w:rPr>
          <w:rFonts w:hint="eastAsia" w:ascii="宋体" w:hAnsi="宋体" w:cs="宋体"/>
          <w:b/>
          <w:bCs/>
          <w:sz w:val="32"/>
          <w:szCs w:val="32"/>
        </w:rPr>
      </w:pPr>
    </w:p>
    <w:p>
      <w:pPr>
        <w:adjustRightInd w:val="0"/>
        <w:snapToGrid w:val="0"/>
        <w:spacing w:line="360" w:lineRule="exact"/>
        <w:jc w:val="center"/>
        <w:rPr>
          <w:rFonts w:hint="eastAsia" w:ascii="宋体" w:hAnsi="宋体" w:cs="宋体"/>
          <w:b/>
          <w:bCs/>
          <w:sz w:val="32"/>
          <w:szCs w:val="32"/>
        </w:rPr>
      </w:pPr>
    </w:p>
    <w:p>
      <w:pPr>
        <w:adjustRightInd w:val="0"/>
        <w:snapToGrid w:val="0"/>
        <w:spacing w:line="360" w:lineRule="exact"/>
        <w:jc w:val="center"/>
        <w:rPr>
          <w:rFonts w:hint="eastAsia" w:ascii="宋体" w:hAnsi="宋体" w:cs="宋体"/>
          <w:b/>
          <w:bCs/>
          <w:sz w:val="32"/>
          <w:szCs w:val="32"/>
        </w:rPr>
      </w:pPr>
    </w:p>
    <w:p>
      <w:pPr>
        <w:adjustRightInd w:val="0"/>
        <w:snapToGrid w:val="0"/>
        <w:spacing w:line="360" w:lineRule="exact"/>
        <w:jc w:val="center"/>
        <w:rPr>
          <w:rFonts w:hint="eastAsia" w:ascii="宋体" w:hAnsi="宋体" w:cs="宋体"/>
          <w:b/>
          <w:bCs/>
          <w:sz w:val="32"/>
          <w:szCs w:val="32"/>
        </w:rPr>
      </w:pPr>
      <w:r>
        <w:rPr>
          <w:rFonts w:hint="eastAsia" w:ascii="宋体" w:hAnsi="宋体" w:cs="宋体"/>
          <w:b/>
          <w:bCs/>
          <w:sz w:val="32"/>
          <w:szCs w:val="32"/>
        </w:rPr>
        <w:t>八、安全保障措施（格式自拟）</w:t>
      </w:r>
    </w:p>
    <w:p>
      <w:pPr>
        <w:adjustRightInd w:val="0"/>
        <w:snapToGrid w:val="0"/>
        <w:spacing w:line="360" w:lineRule="exact"/>
        <w:jc w:val="center"/>
        <w:rPr>
          <w:rFonts w:hint="eastAsia" w:ascii="宋体" w:hAnsi="宋体" w:cs="宋体"/>
          <w:b/>
          <w:bCs/>
          <w:sz w:val="32"/>
          <w:szCs w:val="32"/>
        </w:rPr>
      </w:pPr>
    </w:p>
    <w:p>
      <w:pPr>
        <w:rPr>
          <w:rFonts w:hint="eastAsia"/>
        </w:rPr>
      </w:pPr>
    </w:p>
    <w:p>
      <w:pPr>
        <w:adjustRightInd w:val="0"/>
        <w:snapToGrid w:val="0"/>
        <w:spacing w:line="360" w:lineRule="exact"/>
        <w:jc w:val="center"/>
        <w:rPr>
          <w:rFonts w:hint="eastAsia" w:ascii="宋体" w:hAnsi="宋体" w:cs="宋体"/>
          <w:b/>
          <w:bCs/>
          <w:sz w:val="32"/>
          <w:szCs w:val="32"/>
        </w:rPr>
      </w:pPr>
      <w:r>
        <w:rPr>
          <w:rFonts w:hint="eastAsia" w:ascii="宋体" w:hAnsi="宋体" w:cs="宋体"/>
          <w:b/>
          <w:bCs/>
          <w:sz w:val="32"/>
          <w:szCs w:val="32"/>
        </w:rPr>
        <w:t>九、后勤保障措施（格式自拟）</w:t>
      </w:r>
    </w:p>
    <w:p>
      <w:pPr>
        <w:pStyle w:val="2"/>
        <w:rPr>
          <w:rFonts w:hint="eastAsia"/>
        </w:rPr>
      </w:pPr>
    </w:p>
    <w:p>
      <w:pPr>
        <w:adjustRightInd w:val="0"/>
        <w:snapToGrid w:val="0"/>
        <w:spacing w:line="360" w:lineRule="exact"/>
        <w:jc w:val="center"/>
        <w:rPr>
          <w:rFonts w:hint="eastAsia" w:ascii="宋体" w:hAnsi="宋体" w:eastAsia="宋体" w:cs="宋体"/>
          <w:b/>
          <w:bCs/>
          <w:sz w:val="32"/>
          <w:szCs w:val="32"/>
          <w:lang w:eastAsia="zh-CN"/>
        </w:rPr>
      </w:pPr>
      <w:r>
        <w:rPr>
          <w:rFonts w:hint="eastAsia" w:ascii="宋体" w:hAnsi="宋体" w:cs="宋体"/>
          <w:b/>
          <w:bCs/>
          <w:sz w:val="32"/>
          <w:szCs w:val="32"/>
        </w:rPr>
        <w:t>十、人员配备</w:t>
      </w:r>
      <w:r>
        <w:rPr>
          <w:rFonts w:hint="eastAsia" w:ascii="宋体" w:hAnsi="宋体" w:cs="宋体"/>
          <w:b/>
          <w:bCs/>
          <w:sz w:val="32"/>
          <w:szCs w:val="32"/>
          <w:lang w:eastAsia="zh-CN"/>
        </w:rPr>
        <w:t>及团队规模</w:t>
      </w:r>
    </w:p>
    <w:p>
      <w:pPr>
        <w:adjustRightInd w:val="0"/>
        <w:snapToGrid w:val="0"/>
        <w:spacing w:line="360" w:lineRule="exact"/>
        <w:jc w:val="center"/>
        <w:rPr>
          <w:rFonts w:hint="eastAsia" w:ascii="宋体" w:hAnsi="宋体" w:cs="宋体"/>
          <w:b/>
          <w:bCs/>
          <w:sz w:val="32"/>
          <w:szCs w:val="32"/>
        </w:rPr>
      </w:pPr>
    </w:p>
    <w:p>
      <w:pPr>
        <w:adjustRightInd w:val="0"/>
        <w:snapToGrid w:val="0"/>
        <w:spacing w:line="360" w:lineRule="exact"/>
        <w:jc w:val="center"/>
        <w:rPr>
          <w:rFonts w:hint="eastAsia" w:ascii="宋体" w:hAnsi="宋体" w:cs="宋体"/>
          <w:b/>
          <w:bCs/>
          <w:sz w:val="32"/>
          <w:szCs w:val="32"/>
        </w:rPr>
      </w:pPr>
    </w:p>
    <w:p>
      <w:pPr>
        <w:adjustRightInd w:val="0"/>
        <w:snapToGrid w:val="0"/>
        <w:spacing w:line="360" w:lineRule="exact"/>
        <w:jc w:val="center"/>
        <w:rPr>
          <w:rFonts w:hint="eastAsia" w:ascii="宋体" w:hAnsi="宋体" w:cs="宋体"/>
          <w:b/>
          <w:bCs/>
          <w:sz w:val="32"/>
          <w:szCs w:val="32"/>
        </w:rPr>
      </w:pPr>
      <w:r>
        <w:rPr>
          <w:rFonts w:hint="eastAsia" w:ascii="宋体" w:hAnsi="宋体" w:cs="宋体"/>
          <w:b/>
          <w:bCs/>
          <w:sz w:val="32"/>
          <w:szCs w:val="32"/>
        </w:rPr>
        <w:t>十一、成功案例</w:t>
      </w:r>
    </w:p>
    <w:p>
      <w:pPr>
        <w:adjustRightInd w:val="0"/>
        <w:snapToGrid w:val="0"/>
        <w:spacing w:line="360" w:lineRule="exact"/>
        <w:jc w:val="center"/>
        <w:rPr>
          <w:rFonts w:hint="eastAsia" w:ascii="宋体" w:hAnsi="宋体" w:cs="宋体"/>
          <w:bCs/>
          <w:sz w:val="22"/>
        </w:rPr>
      </w:pPr>
      <w:r>
        <w:rPr>
          <w:rFonts w:hint="eastAsia" w:ascii="宋体" w:hAnsi="宋体" w:cs="宋体"/>
          <w:bCs/>
          <w:sz w:val="22"/>
        </w:rPr>
        <w:t xml:space="preserve">投标人名称：                               项目编号：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117"/>
        <w:gridCol w:w="1559"/>
        <w:gridCol w:w="1984"/>
        <w:gridCol w:w="17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pPr>
              <w:adjustRightInd w:val="0"/>
              <w:snapToGrid w:val="0"/>
              <w:spacing w:line="360" w:lineRule="exact"/>
              <w:jc w:val="center"/>
              <w:rPr>
                <w:rFonts w:hint="eastAsia" w:ascii="宋体" w:hAnsi="宋体" w:cs="宋体"/>
                <w:bCs/>
                <w:sz w:val="22"/>
              </w:rPr>
            </w:pPr>
            <w:r>
              <w:rPr>
                <w:rFonts w:hint="eastAsia" w:ascii="宋体" w:hAnsi="宋体" w:cs="宋体"/>
                <w:bCs/>
                <w:sz w:val="22"/>
              </w:rPr>
              <w:t>序号</w:t>
            </w:r>
          </w:p>
        </w:tc>
        <w:tc>
          <w:tcPr>
            <w:tcW w:w="1117" w:type="dxa"/>
            <w:noWrap w:val="0"/>
            <w:vAlign w:val="top"/>
          </w:tcPr>
          <w:p>
            <w:pPr>
              <w:adjustRightInd w:val="0"/>
              <w:snapToGrid w:val="0"/>
              <w:spacing w:line="360" w:lineRule="exact"/>
              <w:jc w:val="center"/>
              <w:rPr>
                <w:rFonts w:hint="eastAsia" w:ascii="宋体" w:hAnsi="宋体" w:cs="宋体"/>
                <w:bCs/>
                <w:sz w:val="22"/>
              </w:rPr>
            </w:pPr>
          </w:p>
        </w:tc>
        <w:tc>
          <w:tcPr>
            <w:tcW w:w="1559" w:type="dxa"/>
            <w:noWrap w:val="0"/>
            <w:vAlign w:val="top"/>
          </w:tcPr>
          <w:p>
            <w:pPr>
              <w:adjustRightInd w:val="0"/>
              <w:snapToGrid w:val="0"/>
              <w:spacing w:line="360" w:lineRule="exact"/>
              <w:jc w:val="center"/>
              <w:rPr>
                <w:rFonts w:hint="eastAsia" w:ascii="宋体" w:hAnsi="宋体" w:cs="宋体"/>
                <w:bCs/>
                <w:sz w:val="22"/>
              </w:rPr>
            </w:pPr>
          </w:p>
        </w:tc>
        <w:tc>
          <w:tcPr>
            <w:tcW w:w="1984" w:type="dxa"/>
            <w:noWrap w:val="0"/>
            <w:vAlign w:val="top"/>
          </w:tcPr>
          <w:p>
            <w:pPr>
              <w:adjustRightInd w:val="0"/>
              <w:snapToGrid w:val="0"/>
              <w:spacing w:line="360" w:lineRule="exact"/>
              <w:jc w:val="center"/>
              <w:rPr>
                <w:rFonts w:hint="eastAsia" w:ascii="宋体" w:hAnsi="宋体" w:cs="宋体"/>
                <w:bCs/>
                <w:sz w:val="22"/>
              </w:rPr>
            </w:pPr>
          </w:p>
        </w:tc>
        <w:tc>
          <w:tcPr>
            <w:tcW w:w="1701" w:type="dxa"/>
            <w:noWrap w:val="0"/>
            <w:vAlign w:val="center"/>
          </w:tcPr>
          <w:p>
            <w:pPr>
              <w:adjustRightInd w:val="0"/>
              <w:snapToGrid w:val="0"/>
              <w:spacing w:line="360" w:lineRule="exact"/>
              <w:jc w:val="center"/>
              <w:rPr>
                <w:rFonts w:hint="eastAsia" w:ascii="宋体" w:hAnsi="宋体" w:cs="宋体"/>
                <w:bCs/>
                <w:sz w:val="22"/>
              </w:rPr>
            </w:pPr>
          </w:p>
        </w:tc>
        <w:tc>
          <w:tcPr>
            <w:tcW w:w="850" w:type="dxa"/>
            <w:noWrap w:val="0"/>
            <w:vAlign w:val="center"/>
          </w:tcPr>
          <w:p>
            <w:pPr>
              <w:adjustRightInd w:val="0"/>
              <w:snapToGrid w:val="0"/>
              <w:spacing w:line="360" w:lineRule="exact"/>
              <w:jc w:val="center"/>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pPr>
              <w:adjustRightInd w:val="0"/>
              <w:snapToGrid w:val="0"/>
              <w:spacing w:line="360" w:lineRule="exact"/>
              <w:jc w:val="center"/>
              <w:rPr>
                <w:rFonts w:hint="eastAsia" w:ascii="宋体" w:hAnsi="宋体" w:cs="宋体"/>
                <w:bCs/>
                <w:sz w:val="22"/>
              </w:rPr>
            </w:pPr>
            <w:r>
              <w:rPr>
                <w:rFonts w:hint="eastAsia" w:ascii="宋体" w:hAnsi="宋体" w:cs="宋体"/>
                <w:bCs/>
                <w:sz w:val="22"/>
              </w:rPr>
              <w:t>1</w:t>
            </w:r>
          </w:p>
        </w:tc>
        <w:tc>
          <w:tcPr>
            <w:tcW w:w="1117" w:type="dxa"/>
            <w:noWrap w:val="0"/>
            <w:vAlign w:val="top"/>
          </w:tcPr>
          <w:p>
            <w:pPr>
              <w:adjustRightInd w:val="0"/>
              <w:snapToGrid w:val="0"/>
              <w:spacing w:line="360" w:lineRule="exact"/>
              <w:jc w:val="center"/>
              <w:rPr>
                <w:rFonts w:hint="eastAsia" w:ascii="宋体" w:hAnsi="宋体" w:cs="宋体"/>
                <w:bCs/>
                <w:sz w:val="22"/>
              </w:rPr>
            </w:pPr>
          </w:p>
        </w:tc>
        <w:tc>
          <w:tcPr>
            <w:tcW w:w="1559" w:type="dxa"/>
            <w:noWrap w:val="0"/>
            <w:vAlign w:val="center"/>
          </w:tcPr>
          <w:p>
            <w:pPr>
              <w:adjustRightInd w:val="0"/>
              <w:snapToGrid w:val="0"/>
              <w:spacing w:line="360" w:lineRule="exact"/>
              <w:jc w:val="center"/>
              <w:rPr>
                <w:rFonts w:hint="eastAsia" w:ascii="宋体" w:hAnsi="宋体" w:cs="宋体"/>
                <w:bCs/>
                <w:sz w:val="22"/>
              </w:rPr>
            </w:pPr>
          </w:p>
        </w:tc>
        <w:tc>
          <w:tcPr>
            <w:tcW w:w="1984" w:type="dxa"/>
            <w:noWrap w:val="0"/>
            <w:vAlign w:val="center"/>
          </w:tcPr>
          <w:p>
            <w:pPr>
              <w:adjustRightInd w:val="0"/>
              <w:snapToGrid w:val="0"/>
              <w:spacing w:line="360" w:lineRule="exact"/>
              <w:jc w:val="center"/>
              <w:rPr>
                <w:rFonts w:hint="eastAsia" w:ascii="宋体" w:hAnsi="宋体" w:cs="宋体"/>
                <w:bCs/>
                <w:sz w:val="22"/>
              </w:rPr>
            </w:pPr>
          </w:p>
        </w:tc>
        <w:tc>
          <w:tcPr>
            <w:tcW w:w="1701" w:type="dxa"/>
            <w:noWrap w:val="0"/>
            <w:vAlign w:val="center"/>
          </w:tcPr>
          <w:p>
            <w:pPr>
              <w:adjustRightInd w:val="0"/>
              <w:snapToGrid w:val="0"/>
              <w:spacing w:line="360" w:lineRule="exact"/>
              <w:jc w:val="center"/>
              <w:rPr>
                <w:rFonts w:hint="eastAsia" w:ascii="宋体" w:hAnsi="宋体" w:cs="宋体"/>
                <w:bCs/>
                <w:sz w:val="22"/>
              </w:rPr>
            </w:pPr>
          </w:p>
        </w:tc>
        <w:tc>
          <w:tcPr>
            <w:tcW w:w="850" w:type="dxa"/>
            <w:noWrap w:val="0"/>
            <w:vAlign w:val="center"/>
          </w:tcPr>
          <w:p>
            <w:pPr>
              <w:adjustRightInd w:val="0"/>
              <w:snapToGrid w:val="0"/>
              <w:spacing w:line="360" w:lineRule="exact"/>
              <w:jc w:val="center"/>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pPr>
              <w:adjustRightInd w:val="0"/>
              <w:snapToGrid w:val="0"/>
              <w:spacing w:line="360" w:lineRule="exact"/>
              <w:jc w:val="center"/>
              <w:rPr>
                <w:rFonts w:hint="eastAsia" w:ascii="宋体" w:hAnsi="宋体" w:cs="宋体"/>
                <w:bCs/>
                <w:sz w:val="22"/>
              </w:rPr>
            </w:pPr>
          </w:p>
        </w:tc>
        <w:tc>
          <w:tcPr>
            <w:tcW w:w="1117" w:type="dxa"/>
            <w:noWrap w:val="0"/>
            <w:vAlign w:val="top"/>
          </w:tcPr>
          <w:p>
            <w:pPr>
              <w:adjustRightInd w:val="0"/>
              <w:snapToGrid w:val="0"/>
              <w:spacing w:line="360" w:lineRule="exact"/>
              <w:jc w:val="center"/>
              <w:rPr>
                <w:rFonts w:hint="eastAsia" w:ascii="宋体" w:hAnsi="宋体" w:cs="宋体"/>
                <w:bCs/>
                <w:sz w:val="22"/>
              </w:rPr>
            </w:pPr>
          </w:p>
        </w:tc>
        <w:tc>
          <w:tcPr>
            <w:tcW w:w="1559" w:type="dxa"/>
            <w:noWrap w:val="0"/>
            <w:vAlign w:val="center"/>
          </w:tcPr>
          <w:p>
            <w:pPr>
              <w:adjustRightInd w:val="0"/>
              <w:snapToGrid w:val="0"/>
              <w:spacing w:line="360" w:lineRule="exact"/>
              <w:jc w:val="center"/>
              <w:rPr>
                <w:rFonts w:hint="eastAsia" w:ascii="宋体" w:hAnsi="宋体" w:cs="宋体"/>
                <w:bCs/>
                <w:sz w:val="22"/>
              </w:rPr>
            </w:pPr>
          </w:p>
        </w:tc>
        <w:tc>
          <w:tcPr>
            <w:tcW w:w="1984" w:type="dxa"/>
            <w:noWrap w:val="0"/>
            <w:vAlign w:val="center"/>
          </w:tcPr>
          <w:p>
            <w:pPr>
              <w:adjustRightInd w:val="0"/>
              <w:snapToGrid w:val="0"/>
              <w:spacing w:line="360" w:lineRule="exact"/>
              <w:jc w:val="center"/>
              <w:rPr>
                <w:rFonts w:hint="eastAsia" w:ascii="宋体" w:hAnsi="宋体" w:cs="宋体"/>
                <w:bCs/>
                <w:sz w:val="22"/>
              </w:rPr>
            </w:pPr>
          </w:p>
        </w:tc>
        <w:tc>
          <w:tcPr>
            <w:tcW w:w="1701" w:type="dxa"/>
            <w:noWrap w:val="0"/>
            <w:vAlign w:val="center"/>
          </w:tcPr>
          <w:p>
            <w:pPr>
              <w:adjustRightInd w:val="0"/>
              <w:snapToGrid w:val="0"/>
              <w:spacing w:line="360" w:lineRule="exact"/>
              <w:jc w:val="center"/>
              <w:rPr>
                <w:rFonts w:hint="eastAsia" w:ascii="宋体" w:hAnsi="宋体" w:cs="宋体"/>
                <w:bCs/>
                <w:sz w:val="22"/>
              </w:rPr>
            </w:pPr>
          </w:p>
        </w:tc>
        <w:tc>
          <w:tcPr>
            <w:tcW w:w="850" w:type="dxa"/>
            <w:noWrap w:val="0"/>
            <w:vAlign w:val="center"/>
          </w:tcPr>
          <w:p>
            <w:pPr>
              <w:adjustRightInd w:val="0"/>
              <w:snapToGrid w:val="0"/>
              <w:spacing w:line="360" w:lineRule="exact"/>
              <w:jc w:val="center"/>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pPr>
              <w:adjustRightInd w:val="0"/>
              <w:snapToGrid w:val="0"/>
              <w:spacing w:line="360" w:lineRule="exact"/>
              <w:jc w:val="center"/>
              <w:rPr>
                <w:rFonts w:hint="eastAsia" w:ascii="宋体" w:hAnsi="宋体" w:cs="宋体"/>
                <w:bCs/>
                <w:sz w:val="22"/>
              </w:rPr>
            </w:pPr>
          </w:p>
        </w:tc>
        <w:tc>
          <w:tcPr>
            <w:tcW w:w="1117" w:type="dxa"/>
            <w:noWrap w:val="0"/>
            <w:vAlign w:val="top"/>
          </w:tcPr>
          <w:p>
            <w:pPr>
              <w:adjustRightInd w:val="0"/>
              <w:snapToGrid w:val="0"/>
              <w:spacing w:line="360" w:lineRule="exact"/>
              <w:jc w:val="center"/>
              <w:rPr>
                <w:rFonts w:hint="eastAsia" w:ascii="宋体" w:hAnsi="宋体" w:cs="宋体"/>
                <w:bCs/>
                <w:sz w:val="22"/>
              </w:rPr>
            </w:pPr>
          </w:p>
        </w:tc>
        <w:tc>
          <w:tcPr>
            <w:tcW w:w="1559" w:type="dxa"/>
            <w:noWrap w:val="0"/>
            <w:vAlign w:val="center"/>
          </w:tcPr>
          <w:p>
            <w:pPr>
              <w:adjustRightInd w:val="0"/>
              <w:snapToGrid w:val="0"/>
              <w:spacing w:line="360" w:lineRule="exact"/>
              <w:jc w:val="center"/>
              <w:rPr>
                <w:rFonts w:hint="eastAsia" w:ascii="宋体" w:hAnsi="宋体" w:cs="宋体"/>
                <w:bCs/>
                <w:sz w:val="22"/>
              </w:rPr>
            </w:pPr>
          </w:p>
        </w:tc>
        <w:tc>
          <w:tcPr>
            <w:tcW w:w="1984" w:type="dxa"/>
            <w:noWrap w:val="0"/>
            <w:vAlign w:val="center"/>
          </w:tcPr>
          <w:p>
            <w:pPr>
              <w:adjustRightInd w:val="0"/>
              <w:snapToGrid w:val="0"/>
              <w:spacing w:line="360" w:lineRule="exact"/>
              <w:jc w:val="center"/>
              <w:rPr>
                <w:rFonts w:hint="eastAsia" w:ascii="宋体" w:hAnsi="宋体" w:cs="宋体"/>
                <w:bCs/>
                <w:sz w:val="22"/>
              </w:rPr>
            </w:pPr>
          </w:p>
        </w:tc>
        <w:tc>
          <w:tcPr>
            <w:tcW w:w="1701" w:type="dxa"/>
            <w:noWrap w:val="0"/>
            <w:vAlign w:val="center"/>
          </w:tcPr>
          <w:p>
            <w:pPr>
              <w:adjustRightInd w:val="0"/>
              <w:snapToGrid w:val="0"/>
              <w:spacing w:line="360" w:lineRule="exact"/>
              <w:jc w:val="center"/>
              <w:rPr>
                <w:rFonts w:hint="eastAsia" w:ascii="宋体" w:hAnsi="宋体" w:cs="宋体"/>
                <w:bCs/>
                <w:sz w:val="22"/>
              </w:rPr>
            </w:pPr>
          </w:p>
        </w:tc>
        <w:tc>
          <w:tcPr>
            <w:tcW w:w="850" w:type="dxa"/>
            <w:noWrap w:val="0"/>
            <w:vAlign w:val="center"/>
          </w:tcPr>
          <w:p>
            <w:pPr>
              <w:adjustRightInd w:val="0"/>
              <w:snapToGrid w:val="0"/>
              <w:spacing w:line="360" w:lineRule="exact"/>
              <w:jc w:val="center"/>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pPr>
              <w:adjustRightInd w:val="0"/>
              <w:snapToGrid w:val="0"/>
              <w:spacing w:line="360" w:lineRule="exact"/>
              <w:jc w:val="center"/>
              <w:rPr>
                <w:rFonts w:hint="eastAsia" w:ascii="宋体" w:hAnsi="宋体" w:cs="宋体"/>
                <w:bCs/>
                <w:sz w:val="22"/>
              </w:rPr>
            </w:pPr>
          </w:p>
        </w:tc>
        <w:tc>
          <w:tcPr>
            <w:tcW w:w="1117" w:type="dxa"/>
            <w:noWrap w:val="0"/>
            <w:vAlign w:val="top"/>
          </w:tcPr>
          <w:p>
            <w:pPr>
              <w:adjustRightInd w:val="0"/>
              <w:snapToGrid w:val="0"/>
              <w:spacing w:line="360" w:lineRule="exact"/>
              <w:jc w:val="center"/>
              <w:rPr>
                <w:rFonts w:hint="eastAsia" w:ascii="宋体" w:hAnsi="宋体" w:cs="宋体"/>
                <w:bCs/>
                <w:sz w:val="22"/>
              </w:rPr>
            </w:pPr>
          </w:p>
        </w:tc>
        <w:tc>
          <w:tcPr>
            <w:tcW w:w="1559" w:type="dxa"/>
            <w:noWrap w:val="0"/>
            <w:vAlign w:val="center"/>
          </w:tcPr>
          <w:p>
            <w:pPr>
              <w:adjustRightInd w:val="0"/>
              <w:snapToGrid w:val="0"/>
              <w:spacing w:line="360" w:lineRule="exact"/>
              <w:jc w:val="center"/>
              <w:rPr>
                <w:rFonts w:hint="eastAsia" w:ascii="宋体" w:hAnsi="宋体" w:cs="宋体"/>
                <w:bCs/>
                <w:sz w:val="22"/>
              </w:rPr>
            </w:pPr>
          </w:p>
        </w:tc>
        <w:tc>
          <w:tcPr>
            <w:tcW w:w="1984" w:type="dxa"/>
            <w:noWrap w:val="0"/>
            <w:vAlign w:val="center"/>
          </w:tcPr>
          <w:p>
            <w:pPr>
              <w:adjustRightInd w:val="0"/>
              <w:snapToGrid w:val="0"/>
              <w:spacing w:line="360" w:lineRule="exact"/>
              <w:jc w:val="center"/>
              <w:rPr>
                <w:rFonts w:hint="eastAsia" w:ascii="宋体" w:hAnsi="宋体" w:cs="宋体"/>
                <w:bCs/>
                <w:sz w:val="22"/>
              </w:rPr>
            </w:pPr>
          </w:p>
        </w:tc>
        <w:tc>
          <w:tcPr>
            <w:tcW w:w="1701" w:type="dxa"/>
            <w:noWrap w:val="0"/>
            <w:vAlign w:val="center"/>
          </w:tcPr>
          <w:p>
            <w:pPr>
              <w:adjustRightInd w:val="0"/>
              <w:snapToGrid w:val="0"/>
              <w:spacing w:line="360" w:lineRule="exact"/>
              <w:jc w:val="center"/>
              <w:rPr>
                <w:rFonts w:hint="eastAsia" w:ascii="宋体" w:hAnsi="宋体" w:cs="宋体"/>
                <w:bCs/>
                <w:sz w:val="22"/>
              </w:rPr>
            </w:pPr>
          </w:p>
        </w:tc>
        <w:tc>
          <w:tcPr>
            <w:tcW w:w="850" w:type="dxa"/>
            <w:noWrap w:val="0"/>
            <w:vAlign w:val="center"/>
          </w:tcPr>
          <w:p>
            <w:pPr>
              <w:adjustRightInd w:val="0"/>
              <w:snapToGrid w:val="0"/>
              <w:spacing w:line="360" w:lineRule="exact"/>
              <w:jc w:val="center"/>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pPr>
              <w:adjustRightInd w:val="0"/>
              <w:snapToGrid w:val="0"/>
              <w:spacing w:line="360" w:lineRule="exact"/>
              <w:jc w:val="center"/>
              <w:rPr>
                <w:rFonts w:hint="eastAsia" w:ascii="宋体" w:hAnsi="宋体" w:cs="宋体"/>
                <w:bCs/>
                <w:sz w:val="22"/>
              </w:rPr>
            </w:pPr>
          </w:p>
        </w:tc>
        <w:tc>
          <w:tcPr>
            <w:tcW w:w="1117" w:type="dxa"/>
            <w:noWrap w:val="0"/>
            <w:vAlign w:val="top"/>
          </w:tcPr>
          <w:p>
            <w:pPr>
              <w:adjustRightInd w:val="0"/>
              <w:snapToGrid w:val="0"/>
              <w:spacing w:line="360" w:lineRule="exact"/>
              <w:jc w:val="center"/>
              <w:rPr>
                <w:rFonts w:hint="eastAsia" w:ascii="宋体" w:hAnsi="宋体" w:cs="宋体"/>
                <w:bCs/>
                <w:sz w:val="22"/>
              </w:rPr>
            </w:pPr>
          </w:p>
        </w:tc>
        <w:tc>
          <w:tcPr>
            <w:tcW w:w="1559" w:type="dxa"/>
            <w:noWrap w:val="0"/>
            <w:vAlign w:val="center"/>
          </w:tcPr>
          <w:p>
            <w:pPr>
              <w:adjustRightInd w:val="0"/>
              <w:snapToGrid w:val="0"/>
              <w:spacing w:line="360" w:lineRule="exact"/>
              <w:jc w:val="center"/>
              <w:rPr>
                <w:rFonts w:hint="eastAsia" w:ascii="宋体" w:hAnsi="宋体" w:cs="宋体"/>
                <w:bCs/>
                <w:sz w:val="22"/>
              </w:rPr>
            </w:pPr>
          </w:p>
        </w:tc>
        <w:tc>
          <w:tcPr>
            <w:tcW w:w="1984" w:type="dxa"/>
            <w:noWrap w:val="0"/>
            <w:vAlign w:val="center"/>
          </w:tcPr>
          <w:p>
            <w:pPr>
              <w:adjustRightInd w:val="0"/>
              <w:snapToGrid w:val="0"/>
              <w:spacing w:line="360" w:lineRule="exact"/>
              <w:jc w:val="center"/>
              <w:rPr>
                <w:rFonts w:hint="eastAsia" w:ascii="宋体" w:hAnsi="宋体" w:cs="宋体"/>
                <w:bCs/>
                <w:sz w:val="22"/>
              </w:rPr>
            </w:pPr>
          </w:p>
        </w:tc>
        <w:tc>
          <w:tcPr>
            <w:tcW w:w="1701" w:type="dxa"/>
            <w:noWrap w:val="0"/>
            <w:vAlign w:val="center"/>
          </w:tcPr>
          <w:p>
            <w:pPr>
              <w:adjustRightInd w:val="0"/>
              <w:snapToGrid w:val="0"/>
              <w:spacing w:line="360" w:lineRule="exact"/>
              <w:jc w:val="center"/>
              <w:rPr>
                <w:rFonts w:hint="eastAsia" w:ascii="宋体" w:hAnsi="宋体" w:cs="宋体"/>
                <w:bCs/>
                <w:sz w:val="22"/>
              </w:rPr>
            </w:pPr>
          </w:p>
        </w:tc>
        <w:tc>
          <w:tcPr>
            <w:tcW w:w="850" w:type="dxa"/>
            <w:noWrap w:val="0"/>
            <w:vAlign w:val="center"/>
          </w:tcPr>
          <w:p>
            <w:pPr>
              <w:adjustRightInd w:val="0"/>
              <w:snapToGrid w:val="0"/>
              <w:spacing w:line="360" w:lineRule="exact"/>
              <w:jc w:val="center"/>
              <w:rPr>
                <w:rFonts w:hint="eastAsia" w:ascii="宋体" w:hAnsi="宋体" w:cs="宋体"/>
                <w:bCs/>
                <w:sz w:val="22"/>
              </w:rPr>
            </w:pPr>
          </w:p>
        </w:tc>
      </w:tr>
    </w:tbl>
    <w:p>
      <w:pPr>
        <w:adjustRightInd w:val="0"/>
        <w:snapToGrid w:val="0"/>
        <w:spacing w:line="360" w:lineRule="exact"/>
        <w:rPr>
          <w:rFonts w:hint="eastAsia" w:ascii="宋体" w:hAnsi="宋体" w:cs="宋体"/>
          <w:bCs/>
          <w:sz w:val="22"/>
        </w:rPr>
      </w:pPr>
      <w:r>
        <w:rPr>
          <w:rFonts w:hint="eastAsia" w:ascii="宋体" w:hAnsi="宋体" w:cs="宋体"/>
          <w:bCs/>
          <w:sz w:val="22"/>
        </w:rPr>
        <w:t>附件（证明材料）</w:t>
      </w:r>
    </w:p>
    <w:p>
      <w:pPr>
        <w:adjustRightInd w:val="0"/>
        <w:snapToGrid w:val="0"/>
        <w:spacing w:line="360" w:lineRule="exact"/>
        <w:jc w:val="center"/>
        <w:rPr>
          <w:rFonts w:hint="eastAsia" w:ascii="宋体" w:hAnsi="宋体" w:cs="宋体"/>
          <w:bCs/>
          <w:szCs w:val="21"/>
        </w:rPr>
      </w:pPr>
      <w:r>
        <w:rPr>
          <w:rFonts w:hint="eastAsia" w:ascii="宋体" w:hAnsi="宋体" w:cs="宋体"/>
          <w:b/>
          <w:bCs/>
          <w:sz w:val="32"/>
          <w:szCs w:val="32"/>
        </w:rPr>
        <w:t>十二、服务满意度</w:t>
      </w:r>
    </w:p>
    <w:p>
      <w:pPr>
        <w:adjustRightInd w:val="0"/>
        <w:snapToGrid w:val="0"/>
        <w:spacing w:line="360" w:lineRule="exact"/>
        <w:rPr>
          <w:rFonts w:hint="eastAsia" w:ascii="宋体" w:hAnsi="宋体" w:cs="宋体"/>
          <w:bCs/>
          <w:sz w:val="22"/>
        </w:rPr>
      </w:pPr>
      <w:r>
        <w:rPr>
          <w:rFonts w:hint="eastAsia" w:ascii="宋体" w:hAnsi="宋体" w:cs="宋体"/>
          <w:bCs/>
          <w:sz w:val="22"/>
        </w:rPr>
        <w:t xml:space="preserve">投标人名称：                                   项目编号：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07"/>
        <w:gridCol w:w="2127"/>
        <w:gridCol w:w="240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adjustRightInd w:val="0"/>
              <w:snapToGrid w:val="0"/>
              <w:spacing w:line="360" w:lineRule="exact"/>
              <w:jc w:val="center"/>
              <w:rPr>
                <w:rFonts w:hint="eastAsia" w:ascii="宋体" w:hAnsi="宋体" w:cs="宋体"/>
                <w:bCs/>
                <w:sz w:val="22"/>
              </w:rPr>
            </w:pPr>
            <w:r>
              <w:rPr>
                <w:rFonts w:hint="eastAsia" w:ascii="宋体" w:hAnsi="宋体" w:cs="宋体"/>
                <w:bCs/>
                <w:sz w:val="22"/>
              </w:rPr>
              <w:t>序号</w:t>
            </w:r>
          </w:p>
        </w:tc>
        <w:tc>
          <w:tcPr>
            <w:tcW w:w="1107" w:type="dxa"/>
            <w:noWrap w:val="0"/>
            <w:vAlign w:val="top"/>
          </w:tcPr>
          <w:p>
            <w:pPr>
              <w:adjustRightInd w:val="0"/>
              <w:snapToGrid w:val="0"/>
              <w:spacing w:line="360" w:lineRule="exact"/>
              <w:jc w:val="center"/>
              <w:rPr>
                <w:rFonts w:hint="eastAsia" w:ascii="宋体" w:hAnsi="宋体" w:cs="宋体"/>
                <w:bCs/>
                <w:sz w:val="22"/>
              </w:rPr>
            </w:pPr>
          </w:p>
        </w:tc>
        <w:tc>
          <w:tcPr>
            <w:tcW w:w="2127" w:type="dxa"/>
            <w:noWrap w:val="0"/>
            <w:vAlign w:val="center"/>
          </w:tcPr>
          <w:p>
            <w:pPr>
              <w:adjustRightInd w:val="0"/>
              <w:snapToGrid w:val="0"/>
              <w:spacing w:line="360" w:lineRule="exact"/>
              <w:jc w:val="center"/>
              <w:rPr>
                <w:rFonts w:hint="eastAsia" w:ascii="宋体" w:hAnsi="宋体" w:cs="宋体"/>
                <w:bCs/>
                <w:sz w:val="22"/>
              </w:rPr>
            </w:pPr>
          </w:p>
        </w:tc>
        <w:tc>
          <w:tcPr>
            <w:tcW w:w="2409" w:type="dxa"/>
            <w:noWrap w:val="0"/>
            <w:vAlign w:val="center"/>
          </w:tcPr>
          <w:p>
            <w:pPr>
              <w:adjustRightInd w:val="0"/>
              <w:snapToGrid w:val="0"/>
              <w:spacing w:line="360" w:lineRule="exact"/>
              <w:jc w:val="center"/>
              <w:rPr>
                <w:rFonts w:hint="eastAsia" w:ascii="宋体" w:hAnsi="宋体" w:cs="宋体"/>
                <w:bCs/>
                <w:sz w:val="22"/>
              </w:rPr>
            </w:pPr>
          </w:p>
        </w:tc>
        <w:tc>
          <w:tcPr>
            <w:tcW w:w="1560" w:type="dxa"/>
            <w:noWrap w:val="0"/>
            <w:vAlign w:val="top"/>
          </w:tcPr>
          <w:p>
            <w:pPr>
              <w:adjustRightInd w:val="0"/>
              <w:snapToGrid w:val="0"/>
              <w:spacing w:line="360" w:lineRule="exact"/>
              <w:jc w:val="center"/>
              <w:rPr>
                <w:rFonts w:hint="eastAsia" w:ascii="宋体" w:hAnsi="宋体" w:cs="宋体"/>
                <w:bCs/>
                <w:sz w:val="22"/>
              </w:rPr>
            </w:pPr>
          </w:p>
        </w:tc>
        <w:tc>
          <w:tcPr>
            <w:tcW w:w="850" w:type="dxa"/>
            <w:noWrap w:val="0"/>
            <w:vAlign w:val="top"/>
          </w:tcPr>
          <w:p>
            <w:pPr>
              <w:adjustRightInd w:val="0"/>
              <w:snapToGrid w:val="0"/>
              <w:spacing w:line="360" w:lineRule="exact"/>
              <w:jc w:val="center"/>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1</w:t>
            </w:r>
          </w:p>
        </w:tc>
        <w:tc>
          <w:tcPr>
            <w:tcW w:w="1107" w:type="dxa"/>
            <w:noWrap w:val="0"/>
            <w:vAlign w:val="center"/>
          </w:tcPr>
          <w:p>
            <w:pPr>
              <w:adjustRightInd w:val="0"/>
              <w:snapToGrid w:val="0"/>
              <w:spacing w:line="360" w:lineRule="exact"/>
              <w:rPr>
                <w:rFonts w:hint="eastAsia" w:ascii="宋体" w:hAnsi="宋体" w:cs="宋体"/>
                <w:kern w:val="0"/>
                <w:sz w:val="22"/>
              </w:rPr>
            </w:pPr>
          </w:p>
        </w:tc>
        <w:tc>
          <w:tcPr>
            <w:tcW w:w="2127" w:type="dxa"/>
            <w:noWrap w:val="0"/>
            <w:vAlign w:val="top"/>
          </w:tcPr>
          <w:p>
            <w:pPr>
              <w:adjustRightInd w:val="0"/>
              <w:snapToGrid w:val="0"/>
              <w:spacing w:line="360" w:lineRule="exact"/>
              <w:rPr>
                <w:rFonts w:hint="eastAsia" w:ascii="宋体" w:hAnsi="宋体" w:cs="宋体"/>
                <w:kern w:val="0"/>
                <w:sz w:val="22"/>
              </w:rPr>
            </w:pPr>
          </w:p>
        </w:tc>
        <w:tc>
          <w:tcPr>
            <w:tcW w:w="2409" w:type="dxa"/>
            <w:noWrap w:val="0"/>
            <w:vAlign w:val="top"/>
          </w:tcPr>
          <w:p>
            <w:pPr>
              <w:adjustRightInd w:val="0"/>
              <w:snapToGrid w:val="0"/>
              <w:spacing w:line="360" w:lineRule="exact"/>
              <w:rPr>
                <w:rFonts w:hint="eastAsia" w:ascii="宋体" w:hAnsi="宋体" w:cs="宋体"/>
                <w:kern w:val="0"/>
                <w:sz w:val="22"/>
              </w:rPr>
            </w:pPr>
          </w:p>
        </w:tc>
        <w:tc>
          <w:tcPr>
            <w:tcW w:w="1560" w:type="dxa"/>
            <w:noWrap w:val="0"/>
            <w:vAlign w:val="top"/>
          </w:tcPr>
          <w:p>
            <w:pPr>
              <w:adjustRightInd w:val="0"/>
              <w:snapToGrid w:val="0"/>
              <w:spacing w:line="360" w:lineRule="exact"/>
              <w:rPr>
                <w:rFonts w:hint="eastAsia" w:ascii="宋体" w:hAnsi="宋体" w:cs="宋体"/>
                <w:kern w:val="0"/>
                <w:sz w:val="22"/>
              </w:rPr>
            </w:pPr>
          </w:p>
        </w:tc>
        <w:tc>
          <w:tcPr>
            <w:tcW w:w="850" w:type="dxa"/>
            <w:noWrap w:val="0"/>
            <w:vAlign w:val="top"/>
          </w:tcPr>
          <w:p>
            <w:pPr>
              <w:adjustRightInd w:val="0"/>
              <w:snapToGrid w:val="0"/>
              <w:spacing w:line="360" w:lineRule="exact"/>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w:t>
            </w:r>
          </w:p>
        </w:tc>
        <w:tc>
          <w:tcPr>
            <w:tcW w:w="1107" w:type="dxa"/>
            <w:noWrap w:val="0"/>
            <w:vAlign w:val="center"/>
          </w:tcPr>
          <w:p>
            <w:pPr>
              <w:adjustRightInd w:val="0"/>
              <w:snapToGrid w:val="0"/>
              <w:spacing w:line="360" w:lineRule="exact"/>
              <w:rPr>
                <w:rFonts w:hint="eastAsia" w:ascii="宋体" w:hAnsi="宋体" w:cs="宋体"/>
                <w:kern w:val="0"/>
                <w:sz w:val="22"/>
              </w:rPr>
            </w:pPr>
          </w:p>
        </w:tc>
        <w:tc>
          <w:tcPr>
            <w:tcW w:w="2127" w:type="dxa"/>
            <w:noWrap w:val="0"/>
            <w:vAlign w:val="top"/>
          </w:tcPr>
          <w:p>
            <w:pPr>
              <w:adjustRightInd w:val="0"/>
              <w:snapToGrid w:val="0"/>
              <w:spacing w:line="360" w:lineRule="exact"/>
              <w:rPr>
                <w:rFonts w:hint="eastAsia" w:ascii="宋体" w:hAnsi="宋体" w:cs="宋体"/>
                <w:kern w:val="0"/>
                <w:sz w:val="22"/>
              </w:rPr>
            </w:pPr>
          </w:p>
        </w:tc>
        <w:tc>
          <w:tcPr>
            <w:tcW w:w="2409" w:type="dxa"/>
            <w:noWrap w:val="0"/>
            <w:vAlign w:val="top"/>
          </w:tcPr>
          <w:p>
            <w:pPr>
              <w:adjustRightInd w:val="0"/>
              <w:snapToGrid w:val="0"/>
              <w:spacing w:line="360" w:lineRule="exact"/>
              <w:rPr>
                <w:rFonts w:hint="eastAsia" w:ascii="宋体" w:hAnsi="宋体" w:cs="宋体"/>
                <w:kern w:val="0"/>
                <w:sz w:val="22"/>
              </w:rPr>
            </w:pPr>
          </w:p>
        </w:tc>
        <w:tc>
          <w:tcPr>
            <w:tcW w:w="1560" w:type="dxa"/>
            <w:noWrap w:val="0"/>
            <w:vAlign w:val="top"/>
          </w:tcPr>
          <w:p>
            <w:pPr>
              <w:adjustRightInd w:val="0"/>
              <w:snapToGrid w:val="0"/>
              <w:spacing w:line="360" w:lineRule="exact"/>
              <w:rPr>
                <w:rFonts w:hint="eastAsia" w:ascii="宋体" w:hAnsi="宋体" w:cs="宋体"/>
                <w:kern w:val="0"/>
                <w:sz w:val="22"/>
              </w:rPr>
            </w:pPr>
          </w:p>
        </w:tc>
        <w:tc>
          <w:tcPr>
            <w:tcW w:w="850" w:type="dxa"/>
            <w:noWrap w:val="0"/>
            <w:vAlign w:val="top"/>
          </w:tcPr>
          <w:p>
            <w:pPr>
              <w:adjustRightInd w:val="0"/>
              <w:snapToGrid w:val="0"/>
              <w:spacing w:line="360" w:lineRule="exact"/>
              <w:rPr>
                <w:rFonts w:hint="eastAsia" w:ascii="宋体" w:hAnsi="宋体" w:cs="宋体"/>
                <w:kern w:val="0"/>
                <w:sz w:val="22"/>
              </w:rPr>
            </w:pPr>
          </w:p>
        </w:tc>
      </w:tr>
    </w:tbl>
    <w:p>
      <w:pPr>
        <w:adjustRightInd w:val="0"/>
        <w:snapToGrid w:val="0"/>
        <w:spacing w:line="360" w:lineRule="exact"/>
        <w:rPr>
          <w:rFonts w:hint="eastAsia" w:ascii="宋体" w:hAnsi="宋体" w:cs="宋体"/>
          <w:bCs/>
          <w:sz w:val="22"/>
        </w:rPr>
      </w:pPr>
    </w:p>
    <w:p>
      <w:pPr>
        <w:jc w:val="center"/>
        <w:rPr>
          <w:rFonts w:hint="eastAsia" w:ascii="宋体" w:hAnsi="宋体" w:cs="宋体"/>
          <w:b/>
          <w:bCs/>
          <w:sz w:val="32"/>
          <w:szCs w:val="32"/>
        </w:rPr>
      </w:pPr>
    </w:p>
    <w:p>
      <w:pPr>
        <w:jc w:val="center"/>
        <w:rPr>
          <w:rFonts w:hint="eastAsia" w:ascii="宋体" w:hAnsi="宋体" w:cs="宋体"/>
          <w:b/>
          <w:bCs/>
          <w:sz w:val="32"/>
          <w:szCs w:val="32"/>
        </w:rPr>
      </w:pPr>
      <w:r>
        <w:rPr>
          <w:rFonts w:hint="eastAsia" w:ascii="宋体" w:hAnsi="宋体" w:cs="宋体"/>
          <w:b/>
          <w:bCs/>
          <w:sz w:val="32"/>
          <w:szCs w:val="32"/>
        </w:rPr>
        <w:t>十三、诚信承诺函</w:t>
      </w:r>
    </w:p>
    <w:p>
      <w:pPr>
        <w:rPr>
          <w:rFonts w:hint="eastAsia" w:ascii="宋体" w:hAnsi="宋体" w:cs="宋体"/>
          <w:sz w:val="24"/>
        </w:rPr>
      </w:pPr>
    </w:p>
    <w:p>
      <w:pPr>
        <w:spacing w:line="360" w:lineRule="exact"/>
        <w:rPr>
          <w:rFonts w:hint="eastAsia" w:ascii="宋体" w:hAnsi="宋体" w:cs="宋体"/>
          <w:bCs/>
          <w:sz w:val="22"/>
        </w:rPr>
      </w:pPr>
      <w:r>
        <w:rPr>
          <w:rFonts w:hint="eastAsia" w:ascii="宋体" w:hAnsi="宋体" w:cs="宋体"/>
          <w:bCs/>
          <w:sz w:val="22"/>
        </w:rPr>
        <w:t>致：深圳市第一职业技术学校</w:t>
      </w:r>
    </w:p>
    <w:p>
      <w:pPr>
        <w:spacing w:line="360" w:lineRule="exact"/>
        <w:ind w:firstLine="440" w:firstLineChars="200"/>
        <w:rPr>
          <w:rFonts w:hint="eastAsia" w:ascii="宋体" w:hAnsi="宋体" w:cs="宋体"/>
          <w:bCs/>
          <w:sz w:val="22"/>
        </w:rPr>
      </w:pPr>
    </w:p>
    <w:p>
      <w:pPr>
        <w:spacing w:line="360" w:lineRule="exact"/>
        <w:ind w:firstLine="440" w:firstLineChars="200"/>
        <w:rPr>
          <w:rFonts w:hint="eastAsia" w:ascii="宋体" w:hAnsi="宋体" w:cs="宋体"/>
          <w:bCs/>
          <w:sz w:val="22"/>
        </w:rPr>
      </w:pPr>
      <w:r>
        <w:rPr>
          <w:rFonts w:hint="eastAsia" w:ascii="宋体" w:hAnsi="宋体" w:cs="宋体"/>
          <w:bCs/>
          <w:sz w:val="22"/>
        </w:rPr>
        <w:t>我公司承诺，在政府采购中无下列行为：</w:t>
      </w:r>
    </w:p>
    <w:p>
      <w:pPr>
        <w:spacing w:line="360" w:lineRule="exact"/>
        <w:ind w:firstLine="440" w:firstLineChars="200"/>
        <w:rPr>
          <w:rFonts w:hint="eastAsia" w:ascii="宋体" w:hAnsi="宋体" w:cs="宋体"/>
          <w:bCs/>
          <w:sz w:val="22"/>
        </w:rPr>
      </w:pPr>
      <w:r>
        <w:rPr>
          <w:rFonts w:hint="eastAsia" w:ascii="宋体" w:hAnsi="宋体" w:cs="宋体"/>
          <w:bCs/>
          <w:sz w:val="22"/>
        </w:rPr>
        <w:t>（一）被纪检监察部门立案调查，违法违规事实成立的；</w:t>
      </w:r>
    </w:p>
    <w:p>
      <w:pPr>
        <w:spacing w:line="360" w:lineRule="exact"/>
        <w:ind w:firstLine="440" w:firstLineChars="200"/>
        <w:rPr>
          <w:rFonts w:hint="eastAsia" w:ascii="宋体" w:hAnsi="宋体" w:cs="宋体"/>
          <w:bCs/>
          <w:sz w:val="22"/>
        </w:rPr>
      </w:pPr>
      <w:r>
        <w:rPr>
          <w:rFonts w:hint="eastAsia" w:ascii="宋体" w:hAnsi="宋体" w:cs="宋体"/>
          <w:bCs/>
          <w:sz w:val="22"/>
        </w:rPr>
        <w:t>（二）未按规定签订、履行采购合同，造成严重后果的；</w:t>
      </w:r>
    </w:p>
    <w:p>
      <w:pPr>
        <w:spacing w:line="360" w:lineRule="exact"/>
        <w:ind w:firstLine="440" w:firstLineChars="200"/>
        <w:rPr>
          <w:rFonts w:hint="eastAsia" w:ascii="宋体" w:hAnsi="宋体" w:cs="宋体"/>
          <w:bCs/>
          <w:sz w:val="22"/>
        </w:rPr>
      </w:pPr>
      <w:r>
        <w:rPr>
          <w:rFonts w:hint="eastAsia" w:ascii="宋体" w:hAnsi="宋体" w:cs="宋体"/>
          <w:bCs/>
          <w:sz w:val="22"/>
        </w:rPr>
        <w:t>（三）隐瞒真实情况，提供虚假资料的；</w:t>
      </w:r>
    </w:p>
    <w:p>
      <w:pPr>
        <w:spacing w:line="360" w:lineRule="exact"/>
        <w:ind w:firstLine="440" w:firstLineChars="200"/>
        <w:rPr>
          <w:rFonts w:hint="eastAsia" w:ascii="宋体" w:hAnsi="宋体" w:cs="宋体"/>
          <w:bCs/>
          <w:sz w:val="22"/>
        </w:rPr>
      </w:pPr>
      <w:r>
        <w:rPr>
          <w:rFonts w:hint="eastAsia" w:ascii="宋体" w:hAnsi="宋体" w:cs="宋体"/>
          <w:bCs/>
          <w:sz w:val="22"/>
        </w:rPr>
        <w:t>（四）以非法手段排斥其他供应商参与竞争的；</w:t>
      </w:r>
    </w:p>
    <w:p>
      <w:pPr>
        <w:spacing w:line="360" w:lineRule="exact"/>
        <w:ind w:firstLine="440" w:firstLineChars="200"/>
        <w:rPr>
          <w:rFonts w:hint="eastAsia" w:ascii="宋体" w:hAnsi="宋体" w:cs="宋体"/>
          <w:bCs/>
          <w:sz w:val="22"/>
        </w:rPr>
      </w:pPr>
      <w:r>
        <w:rPr>
          <w:rFonts w:hint="eastAsia" w:ascii="宋体" w:hAnsi="宋体" w:cs="宋体"/>
          <w:bCs/>
          <w:sz w:val="22"/>
        </w:rPr>
        <w:t>（五）与其他采购参加人串通投标的；</w:t>
      </w:r>
    </w:p>
    <w:p>
      <w:pPr>
        <w:spacing w:line="360" w:lineRule="exact"/>
        <w:ind w:firstLine="440" w:firstLineChars="200"/>
        <w:rPr>
          <w:rFonts w:hint="eastAsia" w:ascii="宋体" w:hAnsi="宋体" w:cs="宋体"/>
          <w:bCs/>
          <w:sz w:val="22"/>
        </w:rPr>
      </w:pPr>
      <w:r>
        <w:rPr>
          <w:rFonts w:hint="eastAsia" w:ascii="宋体" w:hAnsi="宋体" w:cs="宋体"/>
          <w:bCs/>
          <w:sz w:val="22"/>
        </w:rPr>
        <w:t>（六）在采购活动中应当回避而未回避的；</w:t>
      </w:r>
    </w:p>
    <w:p>
      <w:pPr>
        <w:spacing w:line="360" w:lineRule="exact"/>
        <w:ind w:firstLine="440" w:firstLineChars="200"/>
        <w:rPr>
          <w:rFonts w:hint="eastAsia" w:ascii="宋体" w:hAnsi="宋体" w:cs="宋体"/>
          <w:bCs/>
          <w:sz w:val="22"/>
        </w:rPr>
      </w:pPr>
      <w:r>
        <w:rPr>
          <w:rFonts w:hint="eastAsia" w:ascii="宋体" w:hAnsi="宋体" w:cs="宋体"/>
          <w:bCs/>
          <w:sz w:val="22"/>
        </w:rPr>
        <w:t>（七）恶意投诉的；</w:t>
      </w:r>
    </w:p>
    <w:p>
      <w:pPr>
        <w:spacing w:line="360" w:lineRule="exact"/>
        <w:ind w:firstLine="440" w:firstLineChars="200"/>
        <w:rPr>
          <w:rFonts w:hint="eastAsia" w:ascii="宋体" w:hAnsi="宋体" w:cs="宋体"/>
          <w:bCs/>
          <w:sz w:val="22"/>
        </w:rPr>
      </w:pPr>
      <w:r>
        <w:rPr>
          <w:rFonts w:hint="eastAsia" w:ascii="宋体" w:hAnsi="宋体" w:cs="宋体"/>
          <w:bCs/>
          <w:sz w:val="22"/>
        </w:rPr>
        <w:t>（八）向采购项目相关人行贿或者提供其他不当利益的；</w:t>
      </w:r>
    </w:p>
    <w:p>
      <w:pPr>
        <w:spacing w:line="360" w:lineRule="exact"/>
        <w:ind w:firstLine="440" w:firstLineChars="200"/>
        <w:rPr>
          <w:rFonts w:hint="eastAsia" w:ascii="宋体" w:hAnsi="宋体" w:cs="宋体"/>
          <w:bCs/>
          <w:sz w:val="22"/>
        </w:rPr>
      </w:pPr>
      <w:r>
        <w:rPr>
          <w:rFonts w:hint="eastAsia" w:ascii="宋体" w:hAnsi="宋体" w:cs="宋体"/>
          <w:bCs/>
          <w:sz w:val="22"/>
        </w:rPr>
        <w:t>（九）阻碍、抗拒主管部门监督检查的；</w:t>
      </w:r>
    </w:p>
    <w:p>
      <w:pPr>
        <w:spacing w:line="360" w:lineRule="exact"/>
        <w:ind w:firstLine="440" w:firstLineChars="200"/>
        <w:rPr>
          <w:rFonts w:hint="eastAsia" w:ascii="宋体" w:hAnsi="宋体" w:cs="宋体"/>
          <w:bCs/>
          <w:sz w:val="22"/>
        </w:rPr>
      </w:pPr>
      <w:r>
        <w:rPr>
          <w:rFonts w:hint="eastAsia" w:ascii="宋体" w:hAnsi="宋体" w:cs="宋体"/>
          <w:bCs/>
          <w:sz w:val="22"/>
        </w:rPr>
        <w:t>（十）履约检查不及格或评价为差的；</w:t>
      </w:r>
    </w:p>
    <w:p>
      <w:pPr>
        <w:spacing w:line="360" w:lineRule="exact"/>
        <w:ind w:firstLine="440" w:firstLineChars="200"/>
        <w:rPr>
          <w:rFonts w:hint="eastAsia" w:ascii="宋体" w:hAnsi="宋体" w:cs="宋体"/>
          <w:bCs/>
          <w:sz w:val="22"/>
        </w:rPr>
      </w:pPr>
      <w:r>
        <w:rPr>
          <w:rFonts w:hint="eastAsia" w:ascii="宋体" w:hAnsi="宋体" w:cs="宋体"/>
          <w:bCs/>
          <w:sz w:val="22"/>
        </w:rPr>
        <w:t xml:space="preserve">（十一）参与本项目投标前三年内，在经营活动中没有重大违法记录； </w:t>
      </w:r>
    </w:p>
    <w:p>
      <w:pPr>
        <w:spacing w:line="360" w:lineRule="exact"/>
        <w:ind w:firstLine="440" w:firstLineChars="200"/>
        <w:rPr>
          <w:rFonts w:hint="eastAsia" w:ascii="宋体" w:hAnsi="宋体" w:cs="宋体"/>
          <w:bCs/>
          <w:sz w:val="22"/>
        </w:rPr>
      </w:pPr>
      <w:r>
        <w:rPr>
          <w:rFonts w:hint="eastAsia" w:ascii="宋体" w:hAnsi="宋体" w:cs="宋体"/>
          <w:bCs/>
          <w:sz w:val="22"/>
        </w:rPr>
        <w:t>（十二）参与本项目政府采购活动时不存在处于被有关部门禁止参与政府采购活动且在有效期内的情况；</w:t>
      </w:r>
    </w:p>
    <w:p>
      <w:pPr>
        <w:spacing w:line="360" w:lineRule="exact"/>
        <w:ind w:firstLine="440" w:firstLineChars="200"/>
        <w:rPr>
          <w:rFonts w:hint="eastAsia" w:ascii="宋体" w:hAnsi="宋体" w:cs="宋体"/>
          <w:bCs/>
          <w:sz w:val="22"/>
        </w:rPr>
      </w:pPr>
      <w:r>
        <w:rPr>
          <w:rFonts w:hint="eastAsia" w:ascii="宋体" w:hAnsi="宋体" w:cs="宋体"/>
          <w:bCs/>
          <w:sz w:val="22"/>
        </w:rPr>
        <w:t xml:space="preserve">（十三）主管部门认为的其他情形。                                 </w:t>
      </w:r>
    </w:p>
    <w:p>
      <w:pPr>
        <w:spacing w:line="360" w:lineRule="exact"/>
        <w:ind w:firstLine="440" w:firstLineChars="200"/>
        <w:rPr>
          <w:rFonts w:hint="eastAsia" w:ascii="宋体" w:hAnsi="宋体" w:cs="宋体"/>
          <w:bCs/>
          <w:sz w:val="22"/>
        </w:rPr>
      </w:pPr>
      <w:r>
        <w:rPr>
          <w:rFonts w:hint="eastAsia" w:ascii="宋体" w:hAnsi="宋体" w:cs="宋体"/>
          <w:bCs/>
          <w:sz w:val="22"/>
        </w:rPr>
        <w:t xml:space="preserve">                                               公司名称（加盖单位公章）：</w:t>
      </w:r>
    </w:p>
    <w:p>
      <w:pPr>
        <w:spacing w:line="360" w:lineRule="exact"/>
        <w:ind w:firstLine="440" w:firstLineChars="200"/>
        <w:rPr>
          <w:rFonts w:hint="eastAsia" w:ascii="宋体" w:hAnsi="宋体" w:cs="宋体"/>
          <w:bCs/>
          <w:sz w:val="22"/>
        </w:rPr>
      </w:pPr>
      <w:r>
        <w:rPr>
          <w:rFonts w:hint="eastAsia" w:ascii="宋体" w:hAnsi="宋体" w:cs="宋体"/>
          <w:bCs/>
          <w:sz w:val="22"/>
        </w:rPr>
        <w:t xml:space="preserve">                                                      年     月     日</w:t>
      </w:r>
    </w:p>
    <w:p>
      <w:pPr>
        <w:spacing w:line="360" w:lineRule="exact"/>
        <w:rPr>
          <w:rFonts w:hint="eastAsia" w:ascii="宋体" w:hAnsi="宋体" w:cs="宋体"/>
        </w:rPr>
      </w:pPr>
    </w:p>
    <w:p>
      <w:pPr>
        <w:spacing w:line="360" w:lineRule="exact"/>
        <w:jc w:val="center"/>
        <w:rPr>
          <w:rFonts w:hint="eastAsia" w:ascii="宋体" w:hAnsi="宋体" w:cs="宋体"/>
          <w:b/>
          <w:bCs/>
          <w:sz w:val="32"/>
          <w:szCs w:val="32"/>
        </w:rPr>
      </w:pPr>
    </w:p>
    <w:p>
      <w:pPr>
        <w:spacing w:line="360" w:lineRule="exact"/>
        <w:jc w:val="center"/>
        <w:rPr>
          <w:rFonts w:hint="eastAsia" w:ascii="宋体" w:hAnsi="宋体" w:cs="宋体"/>
        </w:rPr>
      </w:pPr>
      <w:r>
        <w:rPr>
          <w:rFonts w:hint="eastAsia" w:ascii="宋体" w:hAnsi="宋体" w:cs="宋体"/>
          <w:b/>
          <w:bCs/>
          <w:sz w:val="32"/>
          <w:szCs w:val="32"/>
        </w:rPr>
        <w:t>十四、采购文件要求的其他内容</w:t>
      </w:r>
    </w:p>
    <w:p>
      <w:pPr>
        <w:jc w:val="center"/>
        <w:rPr>
          <w:rFonts w:hint="eastAsia" w:cs="宋体"/>
          <w:szCs w:val="21"/>
        </w:rPr>
      </w:pPr>
      <w:r>
        <w:rPr>
          <w:rFonts w:hint="eastAsia" w:ascii="宋体" w:hAnsi="宋体" w:cs="宋体"/>
          <w:b/>
          <w:bCs/>
          <w:sz w:val="32"/>
          <w:szCs w:val="32"/>
        </w:rPr>
        <w:t>及投标人认为需要加以说明的其他内容</w:t>
      </w:r>
    </w:p>
    <w:p>
      <w:pPr>
        <w:rPr>
          <w:rFonts w:hint="eastAsia" w:ascii="宋体" w:hAnsi="宋体" w:cs="宋体"/>
        </w:rPr>
      </w:pPr>
    </w:p>
    <w:p>
      <w:pPr>
        <w:pStyle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961FF"/>
    <w:multiLevelType w:val="singleLevel"/>
    <w:tmpl w:val="877961FF"/>
    <w:lvl w:ilvl="0" w:tentative="0">
      <w:start w:val="1"/>
      <w:numFmt w:val="chineseCounting"/>
      <w:suff w:val="nothing"/>
      <w:lvlText w:val="（%1）"/>
      <w:lvlJc w:val="left"/>
      <w:pPr>
        <w:ind w:left="779"/>
      </w:pPr>
      <w:rPr>
        <w:rFonts w:hint="eastAsia"/>
      </w:rPr>
    </w:lvl>
  </w:abstractNum>
  <w:abstractNum w:abstractNumId="1">
    <w:nsid w:val="BE092BD3"/>
    <w:multiLevelType w:val="singleLevel"/>
    <w:tmpl w:val="BE092BD3"/>
    <w:lvl w:ilvl="0" w:tentative="0">
      <w:start w:val="1"/>
      <w:numFmt w:val="chineseCounting"/>
      <w:suff w:val="nothing"/>
      <w:lvlText w:val="（%1）"/>
      <w:lvlJc w:val="left"/>
      <w:rPr>
        <w:rFonts w:hint="eastAsia"/>
      </w:rPr>
    </w:lvl>
  </w:abstractNum>
  <w:abstractNum w:abstractNumId="2">
    <w:nsid w:val="F6D19597"/>
    <w:multiLevelType w:val="singleLevel"/>
    <w:tmpl w:val="F6D19597"/>
    <w:lvl w:ilvl="0" w:tentative="0">
      <w:start w:val="1"/>
      <w:numFmt w:val="chineseCounting"/>
      <w:suff w:val="nothing"/>
      <w:lvlText w:val="（%1）"/>
      <w:lvlJc w:val="left"/>
      <w:rPr>
        <w:rFonts w:hint="eastAsia"/>
      </w:rPr>
    </w:lvl>
  </w:abstractNum>
  <w:abstractNum w:abstractNumId="3">
    <w:nsid w:val="29F8D7BB"/>
    <w:multiLevelType w:val="singleLevel"/>
    <w:tmpl w:val="29F8D7BB"/>
    <w:lvl w:ilvl="0" w:tentative="0">
      <w:start w:val="1"/>
      <w:numFmt w:val="decimal"/>
      <w:suff w:val="nothing"/>
      <w:lvlText w:val="%1．"/>
      <w:lvlJc w:val="left"/>
      <w:pPr>
        <w:ind w:left="0" w:firstLine="400"/>
      </w:pPr>
      <w:rPr>
        <w:rFonts w:hint="default"/>
        <w:b w:val="0"/>
        <w:bCs w:val="0"/>
      </w:rPr>
    </w:lvl>
  </w:abstractNum>
  <w:abstractNum w:abstractNumId="4">
    <w:nsid w:val="3C85A461"/>
    <w:multiLevelType w:val="singleLevel"/>
    <w:tmpl w:val="3C85A461"/>
    <w:lvl w:ilvl="0" w:tentative="0">
      <w:start w:val="1"/>
      <w:numFmt w:val="decimal"/>
      <w:suff w:val="nothing"/>
      <w:lvlText w:val="%1、"/>
      <w:lvlJc w:val="left"/>
    </w:lvl>
  </w:abstractNum>
  <w:abstractNum w:abstractNumId="5">
    <w:nsid w:val="6F491F54"/>
    <w:multiLevelType w:val="singleLevel"/>
    <w:tmpl w:val="6F491F54"/>
    <w:lvl w:ilvl="0" w:tentative="0">
      <w:start w:val="1"/>
      <w:numFmt w:val="decimal"/>
      <w:suff w:val="nothing"/>
      <w:lvlText w:val="%1．"/>
      <w:lvlJc w:val="left"/>
      <w:pPr>
        <w:ind w:left="0" w:firstLine="400"/>
      </w:pPr>
      <w:rPr>
        <w:rFonts w:hint="default"/>
      </w:rPr>
    </w:lvl>
  </w:abstractNum>
  <w:abstractNum w:abstractNumId="6">
    <w:nsid w:val="79F1BCB4"/>
    <w:multiLevelType w:val="singleLevel"/>
    <w:tmpl w:val="79F1BCB4"/>
    <w:lvl w:ilvl="0" w:tentative="0">
      <w:start w:val="1"/>
      <w:numFmt w:val="decimal"/>
      <w:lvlText w:val="%1."/>
      <w:lvlJc w:val="left"/>
      <w:pPr>
        <w:tabs>
          <w:tab w:val="left" w:pos="312"/>
        </w:tabs>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4B56B4A"/>
    <w:rsid w:val="13256AEC"/>
    <w:rsid w:val="180D3237"/>
    <w:rsid w:val="26B82091"/>
    <w:rsid w:val="3C602787"/>
    <w:rsid w:val="411F02FE"/>
    <w:rsid w:val="4B465BD2"/>
    <w:rsid w:val="4E273257"/>
    <w:rsid w:val="52B37A56"/>
    <w:rsid w:val="565A0366"/>
    <w:rsid w:val="59E33C70"/>
    <w:rsid w:val="61DE42E5"/>
    <w:rsid w:val="62E8739E"/>
    <w:rsid w:val="6BBD7F7B"/>
    <w:rsid w:val="6EE92007"/>
    <w:rsid w:val="75791564"/>
    <w:rsid w:val="772174F0"/>
    <w:rsid w:val="7BBC0596"/>
    <w:rsid w:val="7E4E66BF"/>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340" w:after="330" w:line="360" w:lineRule="auto"/>
      <w:jc w:val="center"/>
      <w:outlineLvl w:val="0"/>
    </w:pPr>
    <w:rPr>
      <w:kern w:val="44"/>
      <w:sz w:val="32"/>
      <w:szCs w:val="36"/>
    </w:rPr>
  </w:style>
  <w:style w:type="paragraph" w:styleId="3">
    <w:name w:val="heading 2"/>
    <w:basedOn w:val="4"/>
    <w:next w:val="5"/>
    <w:autoRedefine/>
    <w:qFormat/>
    <w:uiPriority w:val="0"/>
    <w:pPr>
      <w:adjustRightInd w:val="0"/>
      <w:jc w:val="center"/>
      <w:textAlignment w:val="baseline"/>
      <w:outlineLvl w:val="1"/>
    </w:pPr>
    <w:rPr>
      <w:kern w:val="0"/>
      <w:szCs w:val="20"/>
    </w:rPr>
  </w:style>
  <w:style w:type="paragraph" w:styleId="4">
    <w:name w:val="heading 3"/>
    <w:basedOn w:val="1"/>
    <w:next w:val="1"/>
    <w:autoRedefine/>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line="360" w:lineRule="auto"/>
    </w:pPr>
    <w:rPr>
      <w:b/>
      <w:bCs/>
      <w:sz w:val="24"/>
    </w:rPr>
  </w:style>
  <w:style w:type="paragraph" w:styleId="8">
    <w:name w:val="Body Text Indent"/>
    <w:basedOn w:val="1"/>
    <w:next w:val="9"/>
    <w:qFormat/>
    <w:uiPriority w:val="0"/>
    <w:pPr>
      <w:spacing w:line="360" w:lineRule="auto"/>
      <w:ind w:firstLine="420" w:firstLineChars="200"/>
    </w:pPr>
  </w:style>
  <w:style w:type="paragraph" w:styleId="9">
    <w:name w:val="Body Text First Indent 2"/>
    <w:basedOn w:val="8"/>
    <w:autoRedefine/>
    <w:unhideWhenUsed/>
    <w:qFormat/>
    <w:uiPriority w:val="99"/>
    <w:pPr>
      <w:spacing w:after="120"/>
      <w:ind w:left="420" w:leftChars="200"/>
    </w:pPr>
    <w:rPr>
      <w:rFonts w:ascii="Calibri" w:hAnsi="Calibri"/>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autoRedefine/>
    <w:qFormat/>
    <w:uiPriority w:val="0"/>
    <w:rPr>
      <w:sz w:val="24"/>
    </w:rPr>
  </w:style>
  <w:style w:type="paragraph" w:styleId="13">
    <w:name w:val="Body Text First Indent"/>
    <w:basedOn w:val="7"/>
    <w:autoRedefine/>
    <w:qFormat/>
    <w:uiPriority w:val="0"/>
    <w:pPr>
      <w:ind w:firstLine="420" w:firstLineChars="100"/>
    </w:pPr>
  </w:style>
  <w:style w:type="character" w:styleId="16">
    <w:name w:val="Strong"/>
    <w:basedOn w:val="15"/>
    <w:autoRedefine/>
    <w:qFormat/>
    <w:uiPriority w:val="22"/>
    <w:rPr>
      <w:b/>
      <w:bCs/>
    </w:rPr>
  </w:style>
  <w:style w:type="character" w:styleId="17">
    <w:name w:val="FollowedHyperlink"/>
    <w:basedOn w:val="15"/>
    <w:autoRedefine/>
    <w:qFormat/>
    <w:uiPriority w:val="0"/>
    <w:rPr>
      <w:color w:val="954F72" w:themeColor="followedHyperlink"/>
      <w:u w:val="single"/>
      <w14:textFill>
        <w14:solidFill>
          <w14:schemeClr w14:val="folHlink"/>
        </w14:solidFill>
      </w14:textFill>
    </w:rPr>
  </w:style>
  <w:style w:type="character" w:styleId="18">
    <w:name w:val="Hyperlink"/>
    <w:autoRedefine/>
    <w:unhideWhenUsed/>
    <w:qFormat/>
    <w:uiPriority w:val="99"/>
    <w:rPr>
      <w:color w:val="0000FF"/>
      <w:u w:val="single"/>
    </w:rPr>
  </w:style>
  <w:style w:type="character" w:styleId="19">
    <w:name w:val="annotation reference"/>
    <w:autoRedefine/>
    <w:unhideWhenUsed/>
    <w:qFormat/>
    <w:uiPriority w:val="0"/>
    <w:rPr>
      <w:sz w:val="21"/>
      <w:szCs w:val="21"/>
    </w:rPr>
  </w:style>
  <w:style w:type="paragraph" w:customStyle="1" w:styleId="20">
    <w:name w:val="表格文字"/>
    <w:basedOn w:val="1"/>
    <w:autoRedefine/>
    <w:qFormat/>
    <w:uiPriority w:val="99"/>
    <w:pPr>
      <w:spacing w:before="25" w:after="25"/>
    </w:pPr>
    <w:rPr>
      <w:spacing w:val="10"/>
      <w:sz w:val="24"/>
    </w:rPr>
  </w:style>
  <w:style w:type="character" w:customStyle="1" w:styleId="21">
    <w:name w:val="标题 3 Char"/>
    <w:autoRedefine/>
    <w:qFormat/>
    <w:uiPriority w:val="0"/>
    <w:rPr>
      <w:rFonts w:ascii="黑体" w:eastAsia="黑体"/>
      <w:bCs/>
      <w:sz w:val="30"/>
    </w:rPr>
  </w:style>
  <w:style w:type="character" w:customStyle="1" w:styleId="22">
    <w:name w:val="Unresolved Mention"/>
    <w:basedOn w:val="15"/>
    <w:semiHidden/>
    <w:unhideWhenUsed/>
    <w:qFormat/>
    <w:uiPriority w:val="99"/>
    <w:rPr>
      <w:color w:val="605E5C"/>
      <w:shd w:val="clear" w:color="auto" w:fill="E1DFDD"/>
    </w:rPr>
  </w:style>
  <w:style w:type="paragraph" w:customStyle="1" w:styleId="23">
    <w:name w:val="列出段落1"/>
    <w:basedOn w:val="1"/>
    <w:autoRedefine/>
    <w:qFormat/>
    <w:uiPriority w:val="34"/>
    <w:pPr>
      <w:ind w:firstLine="420" w:firstLineChars="200"/>
    </w:p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1584</Words>
  <Characters>9029</Characters>
  <Lines>75</Lines>
  <Paragraphs>21</Paragraphs>
  <TotalTime>5</TotalTime>
  <ScaleCrop>false</ScaleCrop>
  <LinksUpToDate>false</LinksUpToDate>
  <CharactersWithSpaces>10592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2023-10-13T03:02:00Z</cp:lastPrinted>
  <dcterms:modified xsi:type="dcterms:W3CDTF">2024-05-13T09:08:46Z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FD6E686AA8F54FA38A5CBE3EAA1F9D5D_13</vt:lpwstr>
  </property>
</Properties>
</file>