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2024年度消防设备设施</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维保服务采购项目</w:t>
      </w:r>
      <w:r>
        <w:rPr>
          <w:rFonts w:ascii="华文中宋" w:hAnsi="华文中宋" w:eastAsia="华文中宋"/>
          <w:b/>
          <w:bCs/>
          <w:sz w:val="50"/>
          <w:szCs w:val="44"/>
        </w:rPr>
        <w:t xml:space="preserve"> </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二四年四月</w:t>
      </w:r>
      <w:r>
        <w:rPr>
          <w:rFonts w:hint="eastAsia" w:ascii="宋体" w:hAnsi="宋体" w:cs="宋体"/>
          <w:sz w:val="32"/>
          <w:szCs w:val="32"/>
        </w:rPr>
        <w:br w:type="page"/>
      </w:r>
    </w:p>
    <w:p>
      <w:pPr>
        <w:pStyle w:val="2"/>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w:t>
      </w:r>
      <w:bookmarkStart w:id="0" w:name="_Hlk160026798"/>
      <w:r>
        <w:rPr>
          <w:rFonts w:hint="eastAsia" w:ascii="宋体" w:hAnsi="宋体" w:cs="宋体"/>
          <w:szCs w:val="21"/>
        </w:rPr>
        <w:t>消防设备设施维保服务</w:t>
      </w:r>
      <w:bookmarkEnd w:id="0"/>
      <w:r>
        <w:rPr>
          <w:rFonts w:hint="eastAsia" w:ascii="宋体" w:hAnsi="宋体" w:cs="宋体"/>
          <w:szCs w:val="21"/>
        </w:rPr>
        <w:t xml:space="preserve">采购项目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服务类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3"/>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3"/>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3"/>
        <w:jc w:val="both"/>
        <w:rPr>
          <w:rFonts w:cs="宋体"/>
        </w:rPr>
      </w:pPr>
      <w:r>
        <w:rPr>
          <w:rFonts w:hint="eastAsia" w:cs="宋体"/>
        </w:rPr>
        <w:t>评标方法</w:t>
      </w:r>
    </w:p>
    <w:tbl>
      <w:tblPr>
        <w:tblStyle w:val="17"/>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5"/>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5"/>
              <w:widowControl/>
              <w:spacing w:line="324" w:lineRule="auto"/>
              <w:ind w:left="420"/>
              <w:rPr>
                <w:sz w:val="21"/>
                <w:szCs w:val="21"/>
              </w:rPr>
            </w:pPr>
            <w:r>
              <w:rPr>
                <w:sz w:val="21"/>
                <w:szCs w:val="21"/>
              </w:rPr>
              <w:t>投标报价得分=(评标基准价／投标报价)×100</w:t>
            </w:r>
          </w:p>
          <w:p>
            <w:pPr>
              <w:pStyle w:val="15"/>
              <w:widowControl/>
              <w:spacing w:line="324" w:lineRule="auto"/>
              <w:ind w:left="420"/>
              <w:rPr>
                <w:sz w:val="21"/>
                <w:szCs w:val="21"/>
              </w:rPr>
            </w:pPr>
            <w:r>
              <w:rPr>
                <w:sz w:val="21"/>
                <w:szCs w:val="21"/>
              </w:rPr>
              <w:t xml:space="preserve">评标总得分＝F1×A1＋F2×A2＋……＋Fn×An </w:t>
            </w:r>
          </w:p>
          <w:p>
            <w:pPr>
              <w:pStyle w:val="15"/>
              <w:widowControl/>
              <w:spacing w:line="324" w:lineRule="auto"/>
              <w:ind w:left="420"/>
              <w:rPr>
                <w:sz w:val="21"/>
                <w:szCs w:val="21"/>
              </w:rPr>
            </w:pPr>
            <w:r>
              <w:rPr>
                <w:sz w:val="21"/>
                <w:szCs w:val="21"/>
              </w:rPr>
              <w:t xml:space="preserve">F1、F2……Fn分别为各项评审因素的得分； </w:t>
            </w:r>
          </w:p>
          <w:p>
            <w:pPr>
              <w:pStyle w:val="15"/>
              <w:widowControl/>
              <w:spacing w:line="324" w:lineRule="auto"/>
              <w:ind w:left="420"/>
              <w:rPr>
                <w:sz w:val="21"/>
                <w:szCs w:val="21"/>
              </w:rPr>
            </w:pPr>
            <w:r>
              <w:rPr>
                <w:sz w:val="21"/>
                <w:szCs w:val="21"/>
              </w:rPr>
              <w:t xml:space="preserve">A1、A2、……An 分别为各项评审因素所占的权重(A1＋A2＋……＋An＝1)。 </w:t>
            </w:r>
          </w:p>
          <w:p>
            <w:pPr>
              <w:pStyle w:val="15"/>
              <w:widowControl/>
              <w:spacing w:line="324" w:lineRule="auto"/>
              <w:ind w:left="420"/>
              <w:rPr>
                <w:sz w:val="21"/>
                <w:szCs w:val="21"/>
              </w:rPr>
            </w:pPr>
            <w:r>
              <w:rPr>
                <w:sz w:val="21"/>
                <w:szCs w:val="21"/>
              </w:rPr>
              <w:t xml:space="preserve">评标过程中，不得去掉报价中的最高报价和最低报价。 </w:t>
            </w:r>
          </w:p>
          <w:p>
            <w:pPr>
              <w:pStyle w:val="15"/>
              <w:widowControl/>
              <w:spacing w:line="324" w:lineRule="auto"/>
              <w:ind w:left="420"/>
              <w:rPr>
                <w:sz w:val="21"/>
                <w:szCs w:val="21"/>
              </w:rPr>
            </w:pPr>
            <w:r>
              <w:rPr>
                <w:sz w:val="21"/>
                <w:szCs w:val="21"/>
              </w:rPr>
              <w:t>此方法适用于货物类、服务类、工程类项目。</w:t>
            </w:r>
          </w:p>
        </w:tc>
      </w:tr>
    </w:tbl>
    <w:p>
      <w:pPr>
        <w:pStyle w:val="11"/>
      </w:pPr>
    </w:p>
    <w:tbl>
      <w:tblPr>
        <w:tblStyle w:val="17"/>
        <w:tblpPr w:leftFromText="180" w:rightFromText="180" w:vertAnchor="text" w:tblpX="1"/>
        <w:tblW w:w="9064" w:type="dxa"/>
        <w:tblInd w:w="0" w:type="dxa"/>
        <w:tblLayout w:type="autofit"/>
        <w:tblCellMar>
          <w:top w:w="0" w:type="dxa"/>
          <w:left w:w="0" w:type="dxa"/>
          <w:bottom w:w="0" w:type="dxa"/>
          <w:right w:w="0" w:type="dxa"/>
        </w:tblCellMar>
      </w:tblPr>
      <w:tblGrid>
        <w:gridCol w:w="621"/>
        <w:gridCol w:w="1214"/>
        <w:gridCol w:w="709"/>
        <w:gridCol w:w="4961"/>
        <w:gridCol w:w="709"/>
        <w:gridCol w:w="850"/>
      </w:tblGrid>
      <w:tr>
        <w:tblPrEx>
          <w:tblCellMar>
            <w:top w:w="0" w:type="dxa"/>
            <w:left w:w="0" w:type="dxa"/>
            <w:bottom w:w="0" w:type="dxa"/>
            <w:right w:w="0" w:type="dxa"/>
          </w:tblCellMar>
        </w:tblPrEx>
        <w:trPr>
          <w:trHeight w:val="645" w:hRule="atLeast"/>
        </w:trPr>
        <w:tc>
          <w:tcPr>
            <w:tcW w:w="6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b/>
                <w:bCs/>
                <w:color w:val="auto"/>
                <w:kern w:val="0"/>
                <w:szCs w:val="21"/>
              </w:rPr>
              <w:t>序号</w:t>
            </w:r>
          </w:p>
        </w:tc>
        <w:tc>
          <w:tcPr>
            <w:tcW w:w="12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b/>
                <w:bCs/>
                <w:color w:val="auto"/>
                <w:kern w:val="0"/>
                <w:szCs w:val="21"/>
              </w:rPr>
              <w:t>评审要素</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b/>
                <w:bCs/>
                <w:color w:val="auto"/>
                <w:kern w:val="0"/>
                <w:szCs w:val="21"/>
              </w:rPr>
              <w:t>分值</w:t>
            </w:r>
          </w:p>
        </w:tc>
        <w:tc>
          <w:tcPr>
            <w:tcW w:w="567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b/>
                <w:bCs/>
                <w:color w:val="auto"/>
                <w:kern w:val="0"/>
                <w:szCs w:val="21"/>
              </w:rPr>
              <w:t>评审标准</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b/>
                <w:bCs/>
                <w:color w:val="auto"/>
                <w:kern w:val="0"/>
                <w:szCs w:val="21"/>
              </w:rPr>
              <w:t>得分</w:t>
            </w:r>
          </w:p>
        </w:tc>
      </w:tr>
      <w:tr>
        <w:tblPrEx>
          <w:tblCellMar>
            <w:top w:w="0" w:type="dxa"/>
            <w:left w:w="0" w:type="dxa"/>
            <w:bottom w:w="0" w:type="dxa"/>
            <w:right w:w="0" w:type="dxa"/>
          </w:tblCellMar>
        </w:tblPrEx>
        <w:trPr>
          <w:trHeight w:val="450" w:hRule="atLeast"/>
        </w:trPr>
        <w:tc>
          <w:tcPr>
            <w:tcW w:w="62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一</w:t>
            </w:r>
          </w:p>
        </w:tc>
        <w:tc>
          <w:tcPr>
            <w:tcW w:w="12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价格分</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20</w:t>
            </w:r>
          </w:p>
        </w:tc>
        <w:tc>
          <w:tcPr>
            <w:tcW w:w="49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价格得分：（最低报价/投标报价）×</w:t>
            </w:r>
            <w:r>
              <w:rPr>
                <w:rFonts w:hint="eastAsia" w:ascii="宋体" w:hAnsi="宋体" w:eastAsia="宋体" w:cs="宋体"/>
                <w:color w:val="auto"/>
                <w:kern w:val="0"/>
                <w:szCs w:val="21"/>
                <w:lang w:val="en-US" w:eastAsia="zh-CN"/>
              </w:rPr>
              <w:t>20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619" w:hRule="atLeast"/>
        </w:trPr>
        <w:tc>
          <w:tcPr>
            <w:tcW w:w="62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b/>
                <w:bCs/>
                <w:color w:val="auto"/>
                <w:kern w:val="0"/>
                <w:szCs w:val="21"/>
                <w:lang w:val="en-US" w:eastAsia="zh-CN"/>
              </w:rPr>
              <w:t>二</w:t>
            </w:r>
          </w:p>
        </w:tc>
        <w:tc>
          <w:tcPr>
            <w:tcW w:w="12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b/>
                <w:bCs/>
                <w:color w:val="auto"/>
                <w:kern w:val="0"/>
                <w:szCs w:val="21"/>
              </w:rPr>
              <w:t>技术评分</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cs="宋体"/>
                <w:color w:val="auto"/>
                <w:kern w:val="0"/>
                <w:szCs w:val="21"/>
                <w:lang w:val="en-US" w:eastAsia="zh-CN"/>
              </w:rPr>
              <w:t>50</w:t>
            </w:r>
            <w:bookmarkStart w:id="9" w:name="_GoBack"/>
            <w:bookmarkEnd w:id="9"/>
            <w:r>
              <w:rPr>
                <w:rFonts w:hint="eastAsia" w:ascii="宋体" w:hAnsi="宋体" w:eastAsia="宋体" w:cs="宋体"/>
                <w:color w:val="auto"/>
                <w:kern w:val="0"/>
                <w:szCs w:val="21"/>
              </w:rPr>
              <w:t>　</w:t>
            </w:r>
          </w:p>
        </w:tc>
        <w:tc>
          <w:tcPr>
            <w:tcW w:w="4961" w:type="dxa"/>
            <w:tcBorders>
              <w:top w:val="nil"/>
              <w:left w:val="nil"/>
              <w:bottom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c>
          <w:tcPr>
            <w:tcW w:w="709"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50" w:type="dxa"/>
            <w:tcBorders>
              <w:top w:val="nil"/>
              <w:left w:val="nil"/>
              <w:bottom w:val="nil"/>
              <w:right w:val="single" w:color="auto" w:sz="8" w:space="0"/>
            </w:tcBorders>
            <w:tcMar>
              <w:top w:w="0" w:type="dxa"/>
              <w:left w:w="108" w:type="dxa"/>
              <w:bottom w:w="0" w:type="dxa"/>
              <w:right w:w="108" w:type="dxa"/>
            </w:tcMa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570" w:hRule="atLeast"/>
        </w:trPr>
        <w:tc>
          <w:tcPr>
            <w:tcW w:w="621" w:type="dxa"/>
            <w:tcBorders>
              <w:top w:val="nil"/>
              <w:left w:val="single" w:color="auto" w:sz="8" w:space="0"/>
              <w:bottom w:val="single" w:color="000000"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214"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投标人资质</w:t>
            </w:r>
          </w:p>
        </w:tc>
        <w:tc>
          <w:tcPr>
            <w:tcW w:w="709" w:type="dxa"/>
            <w:tcBorders>
              <w:top w:val="nil"/>
              <w:left w:val="nil"/>
              <w:bottom w:val="single" w:color="000000" w:sz="8" w:space="0"/>
              <w:right w:val="nil"/>
            </w:tcBorders>
            <w:tcMar>
              <w:top w:w="0" w:type="dxa"/>
              <w:left w:w="108" w:type="dxa"/>
              <w:bottom w:w="0" w:type="dxa"/>
              <w:right w:w="108" w:type="dxa"/>
            </w:tcMar>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w:t>
            </w:r>
          </w:p>
        </w:tc>
        <w:tc>
          <w:tcPr>
            <w:tcW w:w="4961" w:type="dxa"/>
            <w:tcBorders>
              <w:top w:val="single" w:color="auto" w:sz="8" w:space="0"/>
              <w:left w:val="single" w:color="auto" w:sz="8" w:space="0"/>
              <w:bottom w:val="nil"/>
              <w:right w:val="nil"/>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投标人具有公安系统颁发的安全技术防范系统设计、施工、维修资格证（或备案证）四级及以上的</w:t>
            </w:r>
          </w:p>
        </w:tc>
        <w:tc>
          <w:tcPr>
            <w:tcW w:w="709" w:type="dxa"/>
            <w:tcBorders>
              <w:top w:val="single" w:color="auto" w:sz="8" w:space="0"/>
              <w:left w:val="single" w:color="auto" w:sz="8" w:space="0"/>
              <w:bottom w:val="nil"/>
              <w:right w:val="nil"/>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分</w:t>
            </w:r>
          </w:p>
        </w:tc>
        <w:tc>
          <w:tcPr>
            <w:tcW w:w="850" w:type="dxa"/>
            <w:tcBorders>
              <w:top w:val="single" w:color="auto" w:sz="8" w:space="0"/>
              <w:left w:val="single" w:color="auto" w:sz="8" w:space="0"/>
              <w:bottom w:val="nil"/>
              <w:right w:val="single" w:color="auto" w:sz="8" w:space="0"/>
            </w:tcBorders>
            <w:tcMar>
              <w:top w:w="0" w:type="dxa"/>
              <w:left w:w="108" w:type="dxa"/>
              <w:bottom w:w="0" w:type="dxa"/>
              <w:right w:w="108" w:type="dxa"/>
            </w:tcMa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285" w:hRule="atLeast"/>
        </w:trPr>
        <w:tc>
          <w:tcPr>
            <w:tcW w:w="621" w:type="dxa"/>
            <w:vMerge w:val="restart"/>
            <w:tcBorders>
              <w:top w:val="nil"/>
              <w:left w:val="single" w:color="auto" w:sz="8" w:space="0"/>
              <w:bottom w:val="single" w:color="000000"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121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管理体系认证</w:t>
            </w:r>
          </w:p>
        </w:tc>
        <w:tc>
          <w:tcPr>
            <w:tcW w:w="709" w:type="dxa"/>
            <w:vMerge w:val="restart"/>
            <w:tcBorders>
              <w:top w:val="nil"/>
              <w:left w:val="nil"/>
              <w:bottom w:val="single" w:color="auto" w:sz="8" w:space="0"/>
              <w:right w:val="nil"/>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4961" w:type="dxa"/>
            <w:tcBorders>
              <w:top w:val="single" w:color="auto" w:sz="8" w:space="0"/>
              <w:left w:val="single" w:color="auto" w:sz="8" w:space="0"/>
              <w:bottom w:val="single" w:color="auto" w:sz="4" w:space="0"/>
              <w:right w:val="nil"/>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通过质量管理体系认证（ISO 9001）体系证书认证的经营范围须为：消防设施维护保养检测、安全隐患排查；须提供在有效期内的体系证书复印件，且须正常年审，须提供网页查询信息。</w:t>
            </w:r>
          </w:p>
        </w:tc>
        <w:tc>
          <w:tcPr>
            <w:tcW w:w="709" w:type="dxa"/>
            <w:tcBorders>
              <w:top w:val="single" w:color="auto" w:sz="8" w:space="0"/>
              <w:left w:val="single" w:color="auto" w:sz="8" w:space="0"/>
              <w:bottom w:val="single" w:color="auto" w:sz="4" w:space="0"/>
              <w:right w:val="nil"/>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2分</w:t>
            </w:r>
          </w:p>
        </w:tc>
        <w:tc>
          <w:tcPr>
            <w:tcW w:w="85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285" w:hRule="atLeast"/>
        </w:trPr>
        <w:tc>
          <w:tcPr>
            <w:tcW w:w="62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Cs w:val="21"/>
              </w:rPr>
            </w:pPr>
          </w:p>
        </w:tc>
        <w:tc>
          <w:tcPr>
            <w:tcW w:w="121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Cs w:val="21"/>
              </w:rPr>
            </w:pPr>
          </w:p>
        </w:tc>
        <w:tc>
          <w:tcPr>
            <w:tcW w:w="709" w:type="dxa"/>
            <w:vMerge w:val="continue"/>
            <w:tcBorders>
              <w:top w:val="nil"/>
              <w:left w:val="nil"/>
              <w:bottom w:val="single" w:color="auto" w:sz="8" w:space="0"/>
              <w:right w:val="nil"/>
            </w:tcBorders>
            <w:vAlign w:val="center"/>
          </w:tcPr>
          <w:p>
            <w:pPr>
              <w:widowControl/>
              <w:jc w:val="left"/>
              <w:rPr>
                <w:rFonts w:ascii="宋体" w:hAnsi="宋体" w:eastAsia="宋体" w:cs="宋体"/>
                <w:color w:val="auto"/>
                <w:kern w:val="0"/>
                <w:szCs w:val="21"/>
              </w:rPr>
            </w:pPr>
          </w:p>
        </w:tc>
        <w:tc>
          <w:tcPr>
            <w:tcW w:w="4961" w:type="dxa"/>
            <w:tcBorders>
              <w:top w:val="single" w:color="auto" w:sz="4" w:space="0"/>
              <w:left w:val="single" w:color="auto" w:sz="8" w:space="0"/>
              <w:bottom w:val="single" w:color="auto" w:sz="4" w:space="0"/>
              <w:right w:val="nil"/>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通过环境管理体系认证（ISO 14001） 体系证书认证的经营范围须为：消防设施维护保养检测、安全隐患排查；须提供在有效期内的体系证书复印件，且须正常年审，须提供网页查询信息。</w:t>
            </w:r>
          </w:p>
        </w:tc>
        <w:tc>
          <w:tcPr>
            <w:tcW w:w="709" w:type="dxa"/>
            <w:tcBorders>
              <w:top w:val="single" w:color="auto" w:sz="4" w:space="0"/>
              <w:left w:val="single" w:color="auto" w:sz="8" w:space="0"/>
              <w:bottom w:val="single" w:color="auto" w:sz="4" w:space="0"/>
              <w:right w:val="nil"/>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2分</w:t>
            </w:r>
          </w:p>
        </w:tc>
        <w:tc>
          <w:tcPr>
            <w:tcW w:w="85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285" w:hRule="atLeast"/>
        </w:trPr>
        <w:tc>
          <w:tcPr>
            <w:tcW w:w="62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Cs w:val="21"/>
              </w:rPr>
            </w:pPr>
          </w:p>
        </w:tc>
        <w:tc>
          <w:tcPr>
            <w:tcW w:w="121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Cs w:val="21"/>
              </w:rPr>
            </w:pPr>
          </w:p>
        </w:tc>
        <w:tc>
          <w:tcPr>
            <w:tcW w:w="709" w:type="dxa"/>
            <w:vMerge w:val="continue"/>
            <w:tcBorders>
              <w:top w:val="nil"/>
              <w:left w:val="nil"/>
              <w:bottom w:val="single" w:color="auto" w:sz="8" w:space="0"/>
              <w:right w:val="nil"/>
            </w:tcBorders>
            <w:vAlign w:val="center"/>
          </w:tcPr>
          <w:p>
            <w:pPr>
              <w:widowControl/>
              <w:jc w:val="left"/>
              <w:rPr>
                <w:rFonts w:ascii="宋体" w:hAnsi="宋体" w:eastAsia="宋体" w:cs="宋体"/>
                <w:color w:val="auto"/>
                <w:kern w:val="0"/>
                <w:szCs w:val="21"/>
              </w:rPr>
            </w:pPr>
          </w:p>
        </w:tc>
        <w:tc>
          <w:tcPr>
            <w:tcW w:w="4961" w:type="dxa"/>
            <w:tcBorders>
              <w:top w:val="single" w:color="auto" w:sz="4" w:space="0"/>
              <w:left w:val="single" w:color="auto" w:sz="8" w:space="0"/>
              <w:bottom w:val="single" w:color="auto" w:sz="8" w:space="0"/>
              <w:right w:val="nil"/>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通过职业健康安全管理体系认证（GB/T 28001） 体系证书认证的经营范围须为：消防设施维护保养检测、安全隐患排查；须提供在有效期内的体系证书复印件，且须正常年审，须提供网页查询信息。</w:t>
            </w:r>
          </w:p>
        </w:tc>
        <w:tc>
          <w:tcPr>
            <w:tcW w:w="709" w:type="dxa"/>
            <w:tcBorders>
              <w:top w:val="single" w:color="auto" w:sz="4" w:space="0"/>
              <w:left w:val="single" w:color="auto" w:sz="8" w:space="0"/>
              <w:bottom w:val="single" w:color="auto" w:sz="8" w:space="0"/>
              <w:right w:val="nil"/>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2分</w:t>
            </w:r>
          </w:p>
        </w:tc>
        <w:tc>
          <w:tcPr>
            <w:tcW w:w="8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285" w:hRule="atLeast"/>
        </w:trPr>
        <w:tc>
          <w:tcPr>
            <w:tcW w:w="62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Cs w:val="21"/>
              </w:rPr>
            </w:pPr>
          </w:p>
        </w:tc>
        <w:tc>
          <w:tcPr>
            <w:tcW w:w="121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Cs w:val="21"/>
              </w:rPr>
            </w:pPr>
          </w:p>
        </w:tc>
        <w:tc>
          <w:tcPr>
            <w:tcW w:w="709" w:type="dxa"/>
            <w:vMerge w:val="continue"/>
            <w:tcBorders>
              <w:top w:val="nil"/>
              <w:left w:val="nil"/>
              <w:bottom w:val="single" w:color="auto" w:sz="8" w:space="0"/>
              <w:right w:val="nil"/>
            </w:tcBorders>
            <w:vAlign w:val="center"/>
          </w:tcPr>
          <w:p>
            <w:pPr>
              <w:widowControl/>
              <w:jc w:val="left"/>
              <w:rPr>
                <w:rFonts w:ascii="宋体" w:hAnsi="宋体" w:eastAsia="宋体" w:cs="宋体"/>
                <w:color w:val="auto"/>
                <w:kern w:val="0"/>
                <w:szCs w:val="21"/>
              </w:rPr>
            </w:pPr>
          </w:p>
        </w:tc>
        <w:tc>
          <w:tcPr>
            <w:tcW w:w="4961" w:type="dxa"/>
            <w:tcBorders>
              <w:top w:val="nil"/>
              <w:left w:val="single" w:color="auto" w:sz="8" w:space="0"/>
              <w:bottom w:val="single" w:color="auto" w:sz="8" w:space="0"/>
              <w:right w:val="nil"/>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通过五星级售后服务认证（GB/T27922-2011） 体系证书认证的经营范围须为：消防设施的维护保养、安全隐患排查；须提供在有效期内的体系证书复印件，且须正常年审，须提供网页查询信息。</w:t>
            </w:r>
          </w:p>
        </w:tc>
        <w:tc>
          <w:tcPr>
            <w:tcW w:w="709" w:type="dxa"/>
            <w:tcBorders>
              <w:top w:val="nil"/>
              <w:left w:val="single" w:color="auto" w:sz="8" w:space="0"/>
              <w:bottom w:val="single" w:color="auto" w:sz="8" w:space="0"/>
              <w:right w:val="nil"/>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4分</w:t>
            </w:r>
          </w:p>
        </w:tc>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90" w:hRule="atLeast"/>
        </w:trPr>
        <w:tc>
          <w:tcPr>
            <w:tcW w:w="62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12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维保检测机具</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c>
          <w:tcPr>
            <w:tcW w:w="49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维保、检测机具经过计量检定站校准或检定并出具报告；每提供1项报告得</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分，该项得分最高不超过</w:t>
            </w:r>
            <w:r>
              <w:rPr>
                <w:rFonts w:hint="eastAsia" w:ascii="宋体" w:hAnsi="宋体" w:cs="宋体"/>
                <w:color w:val="auto"/>
                <w:kern w:val="0"/>
                <w:szCs w:val="21"/>
                <w:lang w:val="en-US" w:eastAsia="zh-CN"/>
              </w:rPr>
              <w:t>10</w:t>
            </w:r>
            <w:r>
              <w:rPr>
                <w:rFonts w:hint="eastAsia" w:ascii="宋体" w:hAnsi="宋体" w:eastAsia="宋体" w:cs="宋体"/>
                <w:color w:val="auto"/>
                <w:kern w:val="0"/>
                <w:szCs w:val="21"/>
              </w:rPr>
              <w:t>分。</w:t>
            </w:r>
          </w:p>
        </w:tc>
        <w:tc>
          <w:tcPr>
            <w:tcW w:w="709"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lang w:val="en-US" w:eastAsia="zh-CN"/>
              </w:rPr>
              <w:t>10</w:t>
            </w:r>
            <w:r>
              <w:rPr>
                <w:rFonts w:hint="eastAsia" w:ascii="宋体" w:hAnsi="宋体" w:eastAsia="宋体" w:cs="宋体"/>
                <w:color w:val="auto"/>
                <w:kern w:val="0"/>
                <w:szCs w:val="21"/>
              </w:rPr>
              <w:t>分</w:t>
            </w:r>
          </w:p>
        </w:tc>
        <w:tc>
          <w:tcPr>
            <w:tcW w:w="850" w:type="dxa"/>
            <w:tcBorders>
              <w:top w:val="nil"/>
              <w:left w:val="nil"/>
              <w:bottom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570" w:hRule="atLeast"/>
        </w:trPr>
        <w:tc>
          <w:tcPr>
            <w:tcW w:w="621" w:type="dxa"/>
            <w:vMerge w:val="restart"/>
            <w:tcBorders>
              <w:top w:val="nil"/>
              <w:left w:val="single" w:color="auto" w:sz="8" w:space="0"/>
              <w:bottom w:val="single" w:color="000000"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121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项目负责人</w:t>
            </w:r>
          </w:p>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（仅限1人）</w:t>
            </w:r>
          </w:p>
        </w:tc>
        <w:tc>
          <w:tcPr>
            <w:tcW w:w="709" w:type="dxa"/>
            <w:vMerge w:val="restart"/>
            <w:tcBorders>
              <w:top w:val="nil"/>
              <w:left w:val="nil"/>
              <w:bottom w:val="single" w:color="auto" w:sz="8" w:space="0"/>
              <w:right w:val="nil"/>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15</w:t>
            </w:r>
          </w:p>
        </w:tc>
        <w:tc>
          <w:tcPr>
            <w:tcW w:w="4961" w:type="dxa"/>
            <w:tcBorders>
              <w:top w:val="nil"/>
              <w:left w:val="single" w:color="auto" w:sz="8" w:space="0"/>
              <w:bottom w:val="single" w:color="auto" w:sz="8" w:space="0"/>
              <w:right w:val="nil"/>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全日制本科及以上学历</w:t>
            </w:r>
          </w:p>
        </w:tc>
        <w:tc>
          <w:tcPr>
            <w:tcW w:w="709" w:type="dxa"/>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3分</w:t>
            </w:r>
          </w:p>
        </w:tc>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570" w:hRule="atLeast"/>
        </w:trPr>
        <w:tc>
          <w:tcPr>
            <w:tcW w:w="62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Cs w:val="21"/>
              </w:rPr>
            </w:pPr>
          </w:p>
        </w:tc>
        <w:tc>
          <w:tcPr>
            <w:tcW w:w="121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Cs w:val="21"/>
              </w:rPr>
            </w:pPr>
          </w:p>
        </w:tc>
        <w:tc>
          <w:tcPr>
            <w:tcW w:w="709" w:type="dxa"/>
            <w:vMerge w:val="continue"/>
            <w:tcBorders>
              <w:top w:val="nil"/>
              <w:left w:val="nil"/>
              <w:bottom w:val="single" w:color="auto" w:sz="8" w:space="0"/>
              <w:right w:val="nil"/>
            </w:tcBorders>
            <w:vAlign w:val="center"/>
          </w:tcPr>
          <w:p>
            <w:pPr>
              <w:widowControl/>
              <w:jc w:val="left"/>
              <w:rPr>
                <w:rFonts w:ascii="宋体" w:hAnsi="宋体" w:eastAsia="宋体" w:cs="宋体"/>
                <w:color w:val="auto"/>
                <w:kern w:val="0"/>
                <w:szCs w:val="21"/>
              </w:rPr>
            </w:pPr>
          </w:p>
        </w:tc>
        <w:tc>
          <w:tcPr>
            <w:tcW w:w="4961" w:type="dxa"/>
            <w:tcBorders>
              <w:top w:val="nil"/>
              <w:left w:val="single" w:color="auto" w:sz="8" w:space="0"/>
              <w:bottom w:val="single" w:color="auto" w:sz="8" w:space="0"/>
              <w:right w:val="nil"/>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具有一级注册消防工程师证书且注册在投标单位（提供注册证书及开标前六个月社保缴交证明材料）</w:t>
            </w:r>
          </w:p>
        </w:tc>
        <w:tc>
          <w:tcPr>
            <w:tcW w:w="709" w:type="dxa"/>
            <w:tcBorders>
              <w:top w:val="nil"/>
              <w:left w:val="single" w:color="auto" w:sz="8" w:space="0"/>
              <w:bottom w:val="single" w:color="auto" w:sz="8" w:space="0"/>
              <w:right w:val="nil"/>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4分</w:t>
            </w:r>
          </w:p>
        </w:tc>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570" w:hRule="atLeast"/>
        </w:trPr>
        <w:tc>
          <w:tcPr>
            <w:tcW w:w="62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Cs w:val="21"/>
              </w:rPr>
            </w:pPr>
          </w:p>
        </w:tc>
        <w:tc>
          <w:tcPr>
            <w:tcW w:w="121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Cs w:val="21"/>
              </w:rPr>
            </w:pPr>
          </w:p>
        </w:tc>
        <w:tc>
          <w:tcPr>
            <w:tcW w:w="709" w:type="dxa"/>
            <w:vMerge w:val="continue"/>
            <w:tcBorders>
              <w:top w:val="nil"/>
              <w:left w:val="nil"/>
              <w:bottom w:val="single" w:color="auto" w:sz="8" w:space="0"/>
              <w:right w:val="nil"/>
            </w:tcBorders>
            <w:vAlign w:val="center"/>
          </w:tcPr>
          <w:p>
            <w:pPr>
              <w:widowControl/>
              <w:jc w:val="left"/>
              <w:rPr>
                <w:rFonts w:ascii="宋体" w:hAnsi="宋体" w:eastAsia="宋体" w:cs="宋体"/>
                <w:color w:val="auto"/>
                <w:kern w:val="0"/>
                <w:szCs w:val="21"/>
              </w:rPr>
            </w:pPr>
          </w:p>
        </w:tc>
        <w:tc>
          <w:tcPr>
            <w:tcW w:w="4961" w:type="dxa"/>
            <w:tcBorders>
              <w:top w:val="nil"/>
              <w:left w:val="single" w:color="auto" w:sz="8" w:space="0"/>
              <w:bottom w:val="single" w:color="auto" w:sz="8" w:space="0"/>
              <w:right w:val="nil"/>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具有高级机电设备工程师资格证书</w:t>
            </w:r>
          </w:p>
        </w:tc>
        <w:tc>
          <w:tcPr>
            <w:tcW w:w="709" w:type="dxa"/>
            <w:tcBorders>
              <w:top w:val="nil"/>
              <w:left w:val="single" w:color="auto" w:sz="8" w:space="0"/>
              <w:bottom w:val="single" w:color="auto" w:sz="8" w:space="0"/>
              <w:right w:val="nil"/>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4分</w:t>
            </w:r>
          </w:p>
        </w:tc>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788" w:hRule="atLeast"/>
        </w:trPr>
        <w:tc>
          <w:tcPr>
            <w:tcW w:w="62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Cs w:val="21"/>
              </w:rPr>
            </w:pPr>
          </w:p>
        </w:tc>
        <w:tc>
          <w:tcPr>
            <w:tcW w:w="121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Cs w:val="21"/>
              </w:rPr>
            </w:pPr>
          </w:p>
        </w:tc>
        <w:tc>
          <w:tcPr>
            <w:tcW w:w="709" w:type="dxa"/>
            <w:vMerge w:val="continue"/>
            <w:tcBorders>
              <w:top w:val="nil"/>
              <w:left w:val="nil"/>
              <w:bottom w:val="single" w:color="auto" w:sz="8" w:space="0"/>
              <w:right w:val="nil"/>
            </w:tcBorders>
            <w:vAlign w:val="center"/>
          </w:tcPr>
          <w:p>
            <w:pPr>
              <w:widowControl/>
              <w:jc w:val="left"/>
              <w:rPr>
                <w:rFonts w:ascii="宋体" w:hAnsi="宋体" w:eastAsia="宋体" w:cs="宋体"/>
                <w:color w:val="auto"/>
                <w:kern w:val="0"/>
                <w:szCs w:val="21"/>
              </w:rPr>
            </w:pPr>
          </w:p>
        </w:tc>
        <w:tc>
          <w:tcPr>
            <w:tcW w:w="4961" w:type="dxa"/>
            <w:tcBorders>
              <w:top w:val="nil"/>
              <w:left w:val="single" w:color="auto" w:sz="8" w:space="0"/>
              <w:bottom w:val="nil"/>
              <w:right w:val="nil"/>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具有市级或省级消防协会颁发的专家聘书</w:t>
            </w:r>
          </w:p>
        </w:tc>
        <w:tc>
          <w:tcPr>
            <w:tcW w:w="709" w:type="dxa"/>
            <w:tcBorders>
              <w:top w:val="nil"/>
              <w:left w:val="single" w:color="auto" w:sz="8" w:space="0"/>
              <w:bottom w:val="single" w:color="auto" w:sz="8" w:space="0"/>
              <w:right w:val="nil"/>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4分</w:t>
            </w:r>
          </w:p>
        </w:tc>
        <w:tc>
          <w:tcPr>
            <w:tcW w:w="8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570" w:hRule="atLeast"/>
        </w:trPr>
        <w:tc>
          <w:tcPr>
            <w:tcW w:w="621" w:type="dxa"/>
            <w:vMerge w:val="restart"/>
            <w:tcBorders>
              <w:top w:val="nil"/>
              <w:left w:val="single" w:color="auto" w:sz="8" w:space="0"/>
              <w:bottom w:val="nil"/>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1214" w:type="dxa"/>
            <w:vMerge w:val="restart"/>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安全负责人</w:t>
            </w:r>
          </w:p>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（仅限1人）</w:t>
            </w:r>
          </w:p>
        </w:tc>
        <w:tc>
          <w:tcPr>
            <w:tcW w:w="709" w:type="dxa"/>
            <w:vMerge w:val="restart"/>
            <w:tcBorders>
              <w:top w:val="nil"/>
              <w:left w:val="nil"/>
              <w:bottom w:val="nil"/>
              <w:right w:val="nil"/>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49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取得注册安全工程师证书十年以上（以取得证书日期计算，需注册在投标人公司，提供开标前六个月社保缴交证明材料）；</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3分</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565" w:hRule="atLeast"/>
        </w:trPr>
        <w:tc>
          <w:tcPr>
            <w:tcW w:w="621"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auto"/>
                <w:kern w:val="0"/>
                <w:szCs w:val="21"/>
              </w:rPr>
            </w:pPr>
          </w:p>
        </w:tc>
        <w:tc>
          <w:tcPr>
            <w:tcW w:w="1214" w:type="dxa"/>
            <w:vMerge w:val="continue"/>
            <w:tcBorders>
              <w:top w:val="nil"/>
              <w:left w:val="nil"/>
              <w:bottom w:val="nil"/>
              <w:right w:val="single" w:color="auto" w:sz="8" w:space="0"/>
            </w:tcBorders>
            <w:vAlign w:val="center"/>
          </w:tcPr>
          <w:p>
            <w:pPr>
              <w:widowControl/>
              <w:jc w:val="left"/>
              <w:rPr>
                <w:rFonts w:ascii="宋体" w:hAnsi="宋体" w:eastAsia="宋体" w:cs="宋体"/>
                <w:color w:val="auto"/>
                <w:kern w:val="0"/>
                <w:szCs w:val="21"/>
              </w:rPr>
            </w:pPr>
          </w:p>
        </w:tc>
        <w:tc>
          <w:tcPr>
            <w:tcW w:w="709" w:type="dxa"/>
            <w:vMerge w:val="continue"/>
            <w:tcBorders>
              <w:top w:val="nil"/>
              <w:left w:val="nil"/>
              <w:bottom w:val="nil"/>
              <w:right w:val="nil"/>
            </w:tcBorders>
            <w:vAlign w:val="center"/>
          </w:tcPr>
          <w:p>
            <w:pPr>
              <w:widowControl/>
              <w:jc w:val="left"/>
              <w:rPr>
                <w:rFonts w:ascii="宋体" w:hAnsi="宋体" w:eastAsia="宋体" w:cs="宋体"/>
                <w:color w:val="auto"/>
                <w:kern w:val="0"/>
                <w:szCs w:val="21"/>
              </w:rPr>
            </w:pPr>
          </w:p>
        </w:tc>
        <w:tc>
          <w:tcPr>
            <w:tcW w:w="4961" w:type="dxa"/>
            <w:tcBorders>
              <w:top w:val="nil"/>
              <w:left w:val="single" w:color="auto" w:sz="8" w:space="0"/>
              <w:bottom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取得低压电工特种作业操作证书；</w:t>
            </w:r>
          </w:p>
        </w:tc>
        <w:tc>
          <w:tcPr>
            <w:tcW w:w="709"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3分</w:t>
            </w:r>
          </w:p>
        </w:tc>
        <w:tc>
          <w:tcPr>
            <w:tcW w:w="850" w:type="dxa"/>
            <w:tcBorders>
              <w:top w:val="nil"/>
              <w:left w:val="nil"/>
              <w:bottom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285" w:hRule="atLeast"/>
        </w:trPr>
        <w:tc>
          <w:tcPr>
            <w:tcW w:w="621"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auto"/>
                <w:kern w:val="0"/>
                <w:szCs w:val="21"/>
              </w:rPr>
            </w:pPr>
          </w:p>
        </w:tc>
        <w:tc>
          <w:tcPr>
            <w:tcW w:w="1214" w:type="dxa"/>
            <w:vMerge w:val="continue"/>
            <w:tcBorders>
              <w:top w:val="nil"/>
              <w:left w:val="nil"/>
              <w:bottom w:val="nil"/>
              <w:right w:val="single" w:color="auto" w:sz="8" w:space="0"/>
            </w:tcBorders>
            <w:vAlign w:val="center"/>
          </w:tcPr>
          <w:p>
            <w:pPr>
              <w:widowControl/>
              <w:jc w:val="left"/>
              <w:rPr>
                <w:rFonts w:ascii="宋体" w:hAnsi="宋体" w:eastAsia="宋体" w:cs="宋体"/>
                <w:color w:val="auto"/>
                <w:kern w:val="0"/>
                <w:szCs w:val="21"/>
              </w:rPr>
            </w:pPr>
          </w:p>
        </w:tc>
        <w:tc>
          <w:tcPr>
            <w:tcW w:w="709" w:type="dxa"/>
            <w:vMerge w:val="continue"/>
            <w:tcBorders>
              <w:top w:val="nil"/>
              <w:left w:val="nil"/>
              <w:bottom w:val="nil"/>
              <w:right w:val="nil"/>
            </w:tcBorders>
            <w:vAlign w:val="center"/>
          </w:tcPr>
          <w:p>
            <w:pPr>
              <w:widowControl/>
              <w:jc w:val="left"/>
              <w:rPr>
                <w:rFonts w:ascii="宋体" w:hAnsi="宋体" w:eastAsia="宋体" w:cs="宋体"/>
                <w:color w:val="auto"/>
                <w:kern w:val="0"/>
                <w:szCs w:val="21"/>
              </w:rPr>
            </w:pPr>
          </w:p>
        </w:tc>
        <w:tc>
          <w:tcPr>
            <w:tcW w:w="49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取得中级安全主任资格证书</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4分</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574" w:hRule="atLeast"/>
        </w:trPr>
        <w:tc>
          <w:tcPr>
            <w:tcW w:w="6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三</w:t>
            </w:r>
          </w:p>
        </w:tc>
        <w:tc>
          <w:tcPr>
            <w:tcW w:w="121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商务</w:t>
            </w:r>
            <w:r>
              <w:rPr>
                <w:rFonts w:hint="eastAsia" w:ascii="宋体" w:hAnsi="宋体" w:eastAsia="宋体" w:cs="宋体"/>
                <w:color w:val="auto"/>
                <w:kern w:val="0"/>
                <w:szCs w:val="21"/>
              </w:rPr>
              <w:t>评分</w:t>
            </w:r>
          </w:p>
        </w:tc>
        <w:tc>
          <w:tcPr>
            <w:tcW w:w="7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30</w:t>
            </w:r>
          </w:p>
        </w:tc>
        <w:tc>
          <w:tcPr>
            <w:tcW w:w="4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宋体" w:hAnsi="宋体" w:eastAsia="宋体" w:cs="宋体"/>
                <w:color w:val="auto"/>
                <w:kern w:val="0"/>
                <w:szCs w:val="21"/>
              </w:rPr>
            </w:pP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trHeight w:val="1474" w:hRule="atLeast"/>
        </w:trPr>
        <w:tc>
          <w:tcPr>
            <w:tcW w:w="6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121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业绩考察/信誉考察</w:t>
            </w:r>
          </w:p>
        </w:tc>
        <w:tc>
          <w:tcPr>
            <w:tcW w:w="7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4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cs="宋体"/>
                <w:color w:val="auto"/>
                <w:kern w:val="0"/>
                <w:szCs w:val="21"/>
                <w:lang w:val="en-US" w:eastAsia="zh-CN"/>
              </w:rPr>
              <w:t>2021年1月1日至今承接学校消防维保业务每个得2分</w:t>
            </w:r>
            <w:r>
              <w:rPr>
                <w:rFonts w:hint="eastAsia" w:ascii="宋体" w:hAnsi="宋体" w:eastAsia="宋体" w:cs="宋体"/>
                <w:color w:val="auto"/>
                <w:kern w:val="0"/>
                <w:szCs w:val="21"/>
              </w:rPr>
              <w:t>。提供合同关键页（合同关键页必须包含用户单位签字盖章部分）扫描件，原件备查。未按要求提供或提供不清晰导致专家无法判断的不得分。同一项目业绩不重复计分，本项最高得6分。</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6分</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570" w:hRule="atLeast"/>
        </w:trPr>
        <w:tc>
          <w:tcPr>
            <w:tcW w:w="62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121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服务方案</w:t>
            </w:r>
          </w:p>
        </w:tc>
        <w:tc>
          <w:tcPr>
            <w:tcW w:w="709" w:type="dxa"/>
            <w:vMerge w:val="restart"/>
            <w:tcBorders>
              <w:top w:val="nil"/>
              <w:left w:val="nil"/>
              <w:bottom w:val="single" w:color="auto" w:sz="8" w:space="0"/>
              <w:right w:val="nil"/>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4961" w:type="dxa"/>
            <w:tcBorders>
              <w:top w:val="nil"/>
              <w:left w:val="single" w:color="auto" w:sz="8" w:space="0"/>
              <w:bottom w:val="single" w:color="auto" w:sz="4" w:space="0"/>
              <w:right w:val="nil"/>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内容全面性，按第</w:t>
            </w:r>
            <w:r>
              <w:rPr>
                <w:rFonts w:hint="eastAsia" w:ascii="宋体" w:hAnsi="宋体" w:cs="宋体"/>
                <w:color w:val="auto"/>
                <w:kern w:val="0"/>
                <w:szCs w:val="21"/>
                <w:lang w:val="en-US" w:eastAsia="zh-CN"/>
              </w:rPr>
              <w:t>二</w:t>
            </w:r>
            <w:r>
              <w:rPr>
                <w:rFonts w:hint="eastAsia" w:ascii="宋体" w:hAnsi="宋体" w:eastAsia="宋体" w:cs="宋体"/>
                <w:color w:val="auto"/>
                <w:kern w:val="0"/>
                <w:szCs w:val="21"/>
              </w:rPr>
              <w:t>章第</w:t>
            </w:r>
            <w:r>
              <w:rPr>
                <w:rFonts w:hint="eastAsia" w:ascii="宋体" w:hAnsi="宋体" w:cs="宋体"/>
                <w:color w:val="auto"/>
                <w:kern w:val="0"/>
                <w:szCs w:val="21"/>
                <w:lang w:val="en-US" w:eastAsia="zh-CN"/>
              </w:rPr>
              <w:t>七</w:t>
            </w:r>
            <w:r>
              <w:rPr>
                <w:rFonts w:hint="eastAsia" w:ascii="宋体" w:hAnsi="宋体" w:eastAsia="宋体" w:cs="宋体"/>
                <w:color w:val="auto"/>
                <w:kern w:val="0"/>
                <w:szCs w:val="21"/>
              </w:rPr>
              <w:t>条</w:t>
            </w:r>
            <w:r>
              <w:rPr>
                <w:rFonts w:hint="eastAsia" w:ascii="宋体" w:hAnsi="宋体" w:cs="宋体"/>
                <w:color w:val="auto"/>
                <w:kern w:val="0"/>
                <w:szCs w:val="21"/>
                <w:lang w:eastAsia="zh-CN"/>
              </w:rPr>
              <w:t>“消防设施设备例行维保工作内容”</w:t>
            </w:r>
            <w:r>
              <w:rPr>
                <w:rFonts w:hint="eastAsia" w:ascii="宋体" w:hAnsi="宋体" w:eastAsia="宋体" w:cs="宋体"/>
                <w:color w:val="auto"/>
                <w:kern w:val="0"/>
                <w:szCs w:val="21"/>
              </w:rPr>
              <w:t>要求编制维保方案，无遗漏得5分。方案有遗漏，每漏1项扣1分；</w:t>
            </w:r>
          </w:p>
        </w:tc>
        <w:tc>
          <w:tcPr>
            <w:tcW w:w="709"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0~5分</w:t>
            </w:r>
          </w:p>
        </w:tc>
        <w:tc>
          <w:tcPr>
            <w:tcW w:w="850" w:type="dxa"/>
            <w:tcBorders>
              <w:top w:val="nil"/>
              <w:left w:val="nil"/>
              <w:bottom w:val="single" w:color="auto" w:sz="4" w:space="0"/>
              <w:right w:val="single" w:color="auto" w:sz="8" w:space="0"/>
            </w:tcBorders>
            <w:tcMar>
              <w:top w:w="0" w:type="dxa"/>
              <w:left w:w="108" w:type="dxa"/>
              <w:bottom w:w="0" w:type="dxa"/>
              <w:right w:w="108" w:type="dxa"/>
            </w:tcMa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855" w:hRule="atLeast"/>
        </w:trPr>
        <w:tc>
          <w:tcPr>
            <w:tcW w:w="62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Cs w:val="21"/>
              </w:rPr>
            </w:pPr>
          </w:p>
        </w:tc>
        <w:tc>
          <w:tcPr>
            <w:tcW w:w="121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Cs w:val="21"/>
              </w:rPr>
            </w:pPr>
          </w:p>
        </w:tc>
        <w:tc>
          <w:tcPr>
            <w:tcW w:w="709" w:type="dxa"/>
            <w:vMerge w:val="continue"/>
            <w:tcBorders>
              <w:top w:val="nil"/>
              <w:left w:val="nil"/>
              <w:bottom w:val="single" w:color="auto" w:sz="8" w:space="0"/>
              <w:right w:val="nil"/>
            </w:tcBorders>
            <w:vAlign w:val="center"/>
          </w:tcPr>
          <w:p>
            <w:pPr>
              <w:widowControl/>
              <w:jc w:val="left"/>
              <w:rPr>
                <w:rFonts w:ascii="宋体" w:hAnsi="宋体" w:eastAsia="宋体" w:cs="宋体"/>
                <w:color w:val="auto"/>
                <w:kern w:val="0"/>
                <w:szCs w:val="21"/>
              </w:rPr>
            </w:pPr>
          </w:p>
        </w:tc>
        <w:tc>
          <w:tcPr>
            <w:tcW w:w="4961" w:type="dxa"/>
            <w:tcBorders>
              <w:top w:val="single" w:color="auto" w:sz="4" w:space="0"/>
              <w:left w:val="single" w:color="auto" w:sz="8" w:space="0"/>
              <w:bottom w:val="single" w:color="auto" w:sz="8" w:space="0"/>
              <w:right w:val="nil"/>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方案严谨切合实际，维保工作计划、维保标准、质量安全保证措施、维护保养检测表格内容全面、可操作性强得5分；其它视情况得0-</w:t>
            </w:r>
            <w:r>
              <w:rPr>
                <w:rFonts w:hint="eastAsia" w:ascii="宋体" w:hAnsi="宋体" w:cs="宋体"/>
                <w:color w:val="auto"/>
                <w:kern w:val="0"/>
                <w:szCs w:val="21"/>
                <w:lang w:val="en-US" w:eastAsia="zh-CN"/>
              </w:rPr>
              <w:t>4</w:t>
            </w:r>
            <w:r>
              <w:rPr>
                <w:rFonts w:hint="eastAsia" w:ascii="宋体" w:hAnsi="宋体" w:eastAsia="宋体" w:cs="宋体"/>
                <w:color w:val="auto"/>
                <w:kern w:val="0"/>
                <w:szCs w:val="21"/>
              </w:rPr>
              <w:t>分；</w:t>
            </w:r>
          </w:p>
        </w:tc>
        <w:tc>
          <w:tcPr>
            <w:tcW w:w="70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0~5分</w:t>
            </w:r>
          </w:p>
        </w:tc>
        <w:tc>
          <w:tcPr>
            <w:tcW w:w="850"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570" w:hRule="atLeast"/>
        </w:trPr>
        <w:tc>
          <w:tcPr>
            <w:tcW w:w="62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9</w:t>
            </w:r>
          </w:p>
        </w:tc>
        <w:tc>
          <w:tcPr>
            <w:tcW w:w="121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服务承诺</w:t>
            </w:r>
          </w:p>
        </w:tc>
        <w:tc>
          <w:tcPr>
            <w:tcW w:w="70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9</w:t>
            </w:r>
          </w:p>
        </w:tc>
        <w:tc>
          <w:tcPr>
            <w:tcW w:w="496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应急时间承诺：紧急故障维修响应时间在</w:t>
            </w:r>
            <w:r>
              <w:rPr>
                <w:rFonts w:hint="eastAsia" w:ascii="宋体" w:hAnsi="宋体" w:cs="宋体"/>
                <w:color w:val="auto"/>
                <w:kern w:val="0"/>
                <w:szCs w:val="21"/>
                <w:lang w:val="en-US" w:eastAsia="zh-CN"/>
              </w:rPr>
              <w:t>30分钟</w:t>
            </w:r>
            <w:r>
              <w:rPr>
                <w:rFonts w:hint="eastAsia" w:ascii="宋体" w:hAnsi="宋体" w:eastAsia="宋体" w:cs="宋体"/>
                <w:color w:val="auto"/>
                <w:kern w:val="0"/>
                <w:szCs w:val="21"/>
              </w:rPr>
              <w:t>以内得3分，否则不得分。</w:t>
            </w:r>
          </w:p>
        </w:tc>
        <w:tc>
          <w:tcPr>
            <w:tcW w:w="70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3分</w:t>
            </w:r>
          </w:p>
        </w:tc>
        <w:tc>
          <w:tcPr>
            <w:tcW w:w="850" w:type="dxa"/>
            <w:tcBorders>
              <w:top w:val="nil"/>
              <w:left w:val="nil"/>
              <w:bottom w:val="single" w:color="auto" w:sz="4" w:space="0"/>
              <w:right w:val="single" w:color="auto" w:sz="8" w:space="0"/>
            </w:tcBorders>
            <w:tcMar>
              <w:top w:w="0" w:type="dxa"/>
              <w:left w:w="108" w:type="dxa"/>
              <w:bottom w:w="0" w:type="dxa"/>
              <w:right w:w="108" w:type="dxa"/>
            </w:tcMa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570" w:hRule="atLeast"/>
        </w:trPr>
        <w:tc>
          <w:tcPr>
            <w:tcW w:w="62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Cs w:val="21"/>
              </w:rPr>
            </w:pPr>
          </w:p>
        </w:tc>
        <w:tc>
          <w:tcPr>
            <w:tcW w:w="121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Cs w:val="21"/>
              </w:rPr>
            </w:pPr>
          </w:p>
        </w:tc>
        <w:tc>
          <w:tcPr>
            <w:tcW w:w="70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Cs w:val="21"/>
              </w:rPr>
            </w:pPr>
          </w:p>
        </w:tc>
        <w:tc>
          <w:tcPr>
            <w:tcW w:w="496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服务承诺：服务承诺的内容全面、清楚得3分,其它视情况得0-2分。</w:t>
            </w:r>
          </w:p>
        </w:tc>
        <w:tc>
          <w:tcPr>
            <w:tcW w:w="70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3分</w:t>
            </w:r>
          </w:p>
        </w:tc>
        <w:tc>
          <w:tcPr>
            <w:tcW w:w="850"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570" w:hRule="atLeast"/>
        </w:trPr>
        <w:tc>
          <w:tcPr>
            <w:tcW w:w="621"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eastAsia="宋体" w:cs="宋体"/>
                <w:color w:val="auto"/>
                <w:kern w:val="0"/>
                <w:szCs w:val="21"/>
              </w:rPr>
            </w:pPr>
          </w:p>
        </w:tc>
        <w:tc>
          <w:tcPr>
            <w:tcW w:w="1214" w:type="dxa"/>
            <w:vMerge w:val="continue"/>
            <w:tcBorders>
              <w:top w:val="nil"/>
              <w:left w:val="nil"/>
              <w:bottom w:val="single" w:color="auto" w:sz="4" w:space="0"/>
              <w:right w:val="single" w:color="auto" w:sz="8" w:space="0"/>
            </w:tcBorders>
            <w:vAlign w:val="center"/>
          </w:tcPr>
          <w:p>
            <w:pPr>
              <w:widowControl/>
              <w:jc w:val="left"/>
              <w:rPr>
                <w:rFonts w:ascii="宋体" w:hAnsi="宋体" w:eastAsia="宋体" w:cs="宋体"/>
                <w:color w:val="auto"/>
                <w:kern w:val="0"/>
                <w:szCs w:val="21"/>
              </w:rPr>
            </w:pPr>
          </w:p>
        </w:tc>
        <w:tc>
          <w:tcPr>
            <w:tcW w:w="709" w:type="dxa"/>
            <w:vMerge w:val="continue"/>
            <w:tcBorders>
              <w:top w:val="nil"/>
              <w:left w:val="nil"/>
              <w:bottom w:val="single" w:color="auto" w:sz="4" w:space="0"/>
              <w:right w:val="single" w:color="auto" w:sz="8" w:space="0"/>
            </w:tcBorders>
            <w:vAlign w:val="center"/>
          </w:tcPr>
          <w:p>
            <w:pPr>
              <w:widowControl/>
              <w:jc w:val="left"/>
              <w:rPr>
                <w:rFonts w:ascii="宋体" w:hAnsi="宋体" w:eastAsia="宋体" w:cs="宋体"/>
                <w:color w:val="auto"/>
                <w:kern w:val="0"/>
                <w:szCs w:val="21"/>
              </w:rPr>
            </w:pPr>
          </w:p>
        </w:tc>
        <w:tc>
          <w:tcPr>
            <w:tcW w:w="496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服务承诺：服务承诺附加其余辅助消防维保更好实施配备、清楚得3分,其它视情况得0-2分。</w:t>
            </w:r>
          </w:p>
        </w:tc>
        <w:tc>
          <w:tcPr>
            <w:tcW w:w="70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3分</w:t>
            </w:r>
          </w:p>
        </w:tc>
        <w:tc>
          <w:tcPr>
            <w:tcW w:w="850"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0" w:type="dxa"/>
            <w:bottom w:w="0" w:type="dxa"/>
            <w:right w:w="0" w:type="dxa"/>
          </w:tblCellMar>
        </w:tblPrEx>
        <w:trPr>
          <w:trHeight w:val="1392" w:hRule="atLeast"/>
        </w:trPr>
        <w:tc>
          <w:tcPr>
            <w:tcW w:w="621" w:type="dxa"/>
            <w:tcBorders>
              <w:top w:val="single" w:color="auto" w:sz="4" w:space="0"/>
              <w:left w:val="single" w:color="auto" w:sz="8" w:space="0"/>
              <w:bottom w:val="single" w:color="auto" w:sz="8" w:space="0"/>
              <w:right w:val="single" w:color="auto" w:sz="8"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10</w:t>
            </w:r>
          </w:p>
        </w:tc>
        <w:tc>
          <w:tcPr>
            <w:tcW w:w="1214"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eastAsia="宋体" w:cs="宋体"/>
                <w:color w:val="auto"/>
                <w:kern w:val="0"/>
                <w:szCs w:val="21"/>
              </w:rPr>
            </w:pPr>
            <w:r>
              <w:rPr>
                <w:rFonts w:hint="eastAsia" w:asciiTheme="minorEastAsia" w:hAnsiTheme="minorEastAsia" w:eastAsiaTheme="minorEastAsia" w:cstheme="minorEastAsia"/>
                <w:color w:val="auto"/>
                <w:kern w:val="0"/>
                <w:sz w:val="21"/>
                <w:szCs w:val="21"/>
                <w:lang w:val="en-US" w:eastAsia="zh-CN" w:bidi="ar-SA"/>
              </w:rPr>
              <w:t>诚信</w:t>
            </w:r>
          </w:p>
        </w:tc>
        <w:tc>
          <w:tcPr>
            <w:tcW w:w="709"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420" w:firstLineChars="200"/>
              <w:jc w:val="both"/>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5</w:t>
            </w:r>
          </w:p>
        </w:tc>
        <w:tc>
          <w:tcPr>
            <w:tcW w:w="496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宋体" w:hAnsi="宋体" w:eastAsia="宋体" w:cs="宋体"/>
                <w:color w:val="auto"/>
                <w:kern w:val="0"/>
                <w:szCs w:val="21"/>
              </w:rPr>
            </w:pPr>
            <w:r>
              <w:rPr>
                <w:rFonts w:hint="eastAsia" w:asciiTheme="minorEastAsia" w:hAnsiTheme="minorEastAsia" w:eastAsiaTheme="minorEastAsia" w:cstheme="minorEastAsia"/>
                <w:color w:val="auto"/>
                <w:kern w:val="0"/>
                <w:sz w:val="21"/>
                <w:szCs w:val="21"/>
                <w:lang w:val="en-US" w:eastAsia="zh-CN" w:bidi="ar-SA"/>
              </w:rPr>
              <w:t>投标人在参与政府采购活动中存在《深圳市财政局政府采购供应商信用信息管理办法》第十一条诚信相关问题且在主管部门相关处理措施实施期限内的，本项不得分，否则得满分。投标人无需提供任何证明材料，由工作人员查询后向评审委员会提供相关信息。</w:t>
            </w:r>
          </w:p>
        </w:tc>
        <w:tc>
          <w:tcPr>
            <w:tcW w:w="70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5分</w:t>
            </w:r>
          </w:p>
        </w:tc>
        <w:tc>
          <w:tcPr>
            <w:tcW w:w="850"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宋体" w:hAnsi="宋体" w:eastAsia="宋体" w:cs="宋体"/>
                <w:color w:val="auto"/>
                <w:kern w:val="0"/>
                <w:szCs w:val="21"/>
              </w:rPr>
            </w:pPr>
          </w:p>
        </w:tc>
      </w:tr>
    </w:tbl>
    <w:p>
      <w:pPr>
        <w:pStyle w:val="2"/>
        <w:jc w:val="both"/>
      </w:pPr>
    </w:p>
    <w:p>
      <w:pPr>
        <w:pStyle w:val="2"/>
      </w:pPr>
      <w:r>
        <w:rPr>
          <w:rFonts w:hint="eastAsia"/>
        </w:rPr>
        <w:t>第二章  项目需求</w:t>
      </w:r>
    </w:p>
    <w:p>
      <w:pPr>
        <w:pStyle w:val="3"/>
        <w:spacing w:before="156" w:beforeLines="50" w:after="156" w:afterLines="50"/>
        <w:rPr>
          <w:rFonts w:cs="宋体"/>
          <w:szCs w:val="28"/>
        </w:rPr>
      </w:pPr>
      <w:bookmarkStart w:id="1" w:name="_Toc73521547"/>
      <w:bookmarkStart w:id="2" w:name="_Toc73518117"/>
      <w:bookmarkStart w:id="3" w:name="_Toc73517639"/>
      <w:bookmarkStart w:id="4" w:name="_Toc60560625"/>
      <w:bookmarkStart w:id="5" w:name="_Toc101074876"/>
      <w:bookmarkStart w:id="6" w:name="_Toc100052364"/>
      <w:bookmarkStart w:id="7" w:name="_Toc73521635"/>
      <w:bookmarkStart w:id="8" w:name="_Toc60631620"/>
      <w:r>
        <w:rPr>
          <w:rFonts w:hint="eastAsia" w:cs="宋体"/>
          <w:szCs w:val="28"/>
        </w:rPr>
        <w:t>一、招标范围及资质</w:t>
      </w:r>
    </w:p>
    <w:p>
      <w:pPr>
        <w:spacing w:line="324" w:lineRule="auto"/>
        <w:ind w:firstLine="420"/>
        <w:rPr>
          <w:b/>
          <w:szCs w:val="21"/>
        </w:rPr>
      </w:pPr>
      <w:r>
        <w:rPr>
          <w:rFonts w:hint="eastAsia"/>
          <w:b/>
          <w:szCs w:val="21"/>
        </w:rPr>
        <w:t>1. 招标范围</w:t>
      </w:r>
    </w:p>
    <w:p>
      <w:pPr>
        <w:spacing w:line="324" w:lineRule="auto"/>
        <w:ind w:firstLine="420"/>
        <w:rPr>
          <w:szCs w:val="21"/>
        </w:rPr>
      </w:pPr>
      <w:r>
        <w:rPr>
          <w:rFonts w:hint="eastAsia"/>
          <w:szCs w:val="21"/>
        </w:rPr>
        <w:t>深圳市第一职业技术学校（福田校区）消防系统维保服务（含地下室、家属楼）</w:t>
      </w:r>
    </w:p>
    <w:p>
      <w:pPr>
        <w:spacing w:line="324" w:lineRule="auto"/>
        <w:ind w:firstLine="420"/>
        <w:rPr>
          <w:szCs w:val="21"/>
        </w:rPr>
      </w:pPr>
      <w:r>
        <w:rPr>
          <w:rFonts w:hint="eastAsia"/>
          <w:szCs w:val="21"/>
        </w:rPr>
        <w:t>深圳市第一职业技术学校（坪山校区）消防系统维保服务</w:t>
      </w:r>
    </w:p>
    <w:p>
      <w:pPr>
        <w:spacing w:line="324" w:lineRule="auto"/>
        <w:ind w:firstLine="420"/>
        <w:rPr>
          <w:szCs w:val="21"/>
        </w:rPr>
      </w:pPr>
      <w:r>
        <w:rPr>
          <w:rFonts w:hint="eastAsia"/>
          <w:szCs w:val="21"/>
        </w:rPr>
        <w:t> 主要包括以下项目：</w:t>
      </w:r>
    </w:p>
    <w:p>
      <w:pPr>
        <w:spacing w:line="324" w:lineRule="auto"/>
        <w:ind w:firstLine="420"/>
        <w:rPr>
          <w:szCs w:val="21"/>
        </w:rPr>
      </w:pPr>
      <w:r>
        <w:rPr>
          <w:rFonts w:hint="eastAsia"/>
          <w:szCs w:val="21"/>
        </w:rPr>
        <w:t>（1）依照国家《火灾自动报警系统施工及验收规范》、《自动喷水灭火系统施工及验收规范》、《建筑消防设施检测技术规程》、《消防控制室通用技术要求》、《社会消防技术服务管理规定》等规范，结合甲方的设备实际和管理要求，以使整个维保工作系统化、规范化，使整个系统始终处于良好的运行状态；</w:t>
      </w:r>
    </w:p>
    <w:p>
      <w:pPr>
        <w:spacing w:line="324" w:lineRule="auto"/>
        <w:ind w:firstLine="420"/>
        <w:rPr>
          <w:szCs w:val="21"/>
        </w:rPr>
      </w:pPr>
      <w:r>
        <w:rPr>
          <w:rFonts w:hint="eastAsia"/>
          <w:szCs w:val="21"/>
        </w:rPr>
        <w:t>（2）每月对各校区的火灾自动报警系统、自动喷水灭火系统、气体灭火系统、消火栓系统、灭火器材等进行检查、维护、清洁，确保设备符合消防安全要求。</w:t>
      </w:r>
    </w:p>
    <w:p>
      <w:pPr>
        <w:spacing w:line="324" w:lineRule="auto"/>
        <w:ind w:firstLine="420"/>
        <w:rPr>
          <w:b/>
          <w:szCs w:val="21"/>
        </w:rPr>
      </w:pPr>
      <w:r>
        <w:rPr>
          <w:rFonts w:hint="eastAsia"/>
          <w:b/>
          <w:szCs w:val="21"/>
        </w:rPr>
        <w:t>2．投标人资格</w:t>
      </w:r>
    </w:p>
    <w:p>
      <w:pPr>
        <w:spacing w:line="324" w:lineRule="auto"/>
        <w:ind w:firstLine="420"/>
        <w:rPr>
          <w:szCs w:val="21"/>
        </w:rPr>
      </w:pPr>
      <w:r>
        <w:rPr>
          <w:rFonts w:hint="eastAsia"/>
          <w:szCs w:val="21"/>
        </w:rPr>
        <w:t>投标人应符合下列全部条件：</w:t>
      </w:r>
    </w:p>
    <w:p>
      <w:pPr>
        <w:spacing w:line="324" w:lineRule="auto"/>
        <w:ind w:firstLine="420"/>
        <w:rPr>
          <w:szCs w:val="21"/>
        </w:rPr>
      </w:pPr>
      <w:r>
        <w:rPr>
          <w:rFonts w:hint="eastAsia"/>
          <w:szCs w:val="21"/>
        </w:rPr>
        <w:t>2.1在中华人民共和国境内登记注册的、具有独立法人资格。</w:t>
      </w:r>
    </w:p>
    <w:p>
      <w:pPr>
        <w:spacing w:line="324" w:lineRule="auto"/>
        <w:ind w:firstLine="420"/>
      </w:pPr>
      <w:r>
        <w:rPr>
          <w:rFonts w:hint="eastAsia"/>
          <w:szCs w:val="21"/>
        </w:rPr>
        <w:t>2.2在应急管理部消防救援局【社会消防技术服务信息系统】自主备案且服务类型包含消防设施维护保养检测。</w:t>
      </w:r>
      <w:bookmarkEnd w:id="1"/>
      <w:bookmarkEnd w:id="2"/>
      <w:bookmarkEnd w:id="3"/>
      <w:bookmarkEnd w:id="4"/>
      <w:bookmarkEnd w:id="5"/>
      <w:bookmarkEnd w:id="6"/>
      <w:bookmarkEnd w:id="7"/>
      <w:bookmarkEnd w:id="8"/>
    </w:p>
    <w:p>
      <w:pPr>
        <w:pStyle w:val="3"/>
        <w:numPr>
          <w:ilvl w:val="0"/>
          <w:numId w:val="1"/>
        </w:numPr>
        <w:spacing w:before="156" w:beforeLines="50" w:after="156" w:afterLines="50"/>
        <w:rPr>
          <w:rFonts w:cs="宋体"/>
          <w:szCs w:val="28"/>
        </w:rPr>
      </w:pPr>
      <w:r>
        <w:rPr>
          <w:rFonts w:hint="eastAsia" w:cs="宋体"/>
          <w:szCs w:val="28"/>
        </w:rPr>
        <w:t>消防设施设备维修服务范围</w:t>
      </w:r>
    </w:p>
    <w:p>
      <w:pPr>
        <w:spacing w:line="324" w:lineRule="auto"/>
        <w:ind w:firstLine="420"/>
        <w:rPr>
          <w:b/>
          <w:szCs w:val="21"/>
        </w:rPr>
      </w:pPr>
      <w:r>
        <w:rPr>
          <w:rFonts w:hint="eastAsia"/>
          <w:b/>
          <w:szCs w:val="21"/>
        </w:rPr>
        <w:t>1. 福田校区消防设备（含地下室、家属楼）</w:t>
      </w:r>
    </w:p>
    <w:p>
      <w:pPr>
        <w:spacing w:line="324" w:lineRule="auto"/>
        <w:ind w:firstLine="420"/>
        <w:rPr>
          <w:szCs w:val="21"/>
        </w:rPr>
      </w:pPr>
      <w:r>
        <w:rPr>
          <w:rFonts w:hint="eastAsia"/>
          <w:szCs w:val="21"/>
        </w:rPr>
        <w:t>1.1火灾自动报警系统（3套）；</w:t>
      </w:r>
    </w:p>
    <w:p>
      <w:pPr>
        <w:spacing w:line="324" w:lineRule="auto"/>
        <w:ind w:firstLine="420"/>
        <w:rPr>
          <w:szCs w:val="21"/>
        </w:rPr>
      </w:pPr>
      <w:r>
        <w:rPr>
          <w:rFonts w:hint="eastAsia"/>
          <w:szCs w:val="21"/>
        </w:rPr>
        <w:t>1.2自动喷淋给水系统；（水泵6台）</w:t>
      </w:r>
    </w:p>
    <w:p>
      <w:pPr>
        <w:spacing w:line="324" w:lineRule="auto"/>
        <w:ind w:firstLine="420"/>
        <w:rPr>
          <w:szCs w:val="21"/>
        </w:rPr>
      </w:pPr>
      <w:r>
        <w:rPr>
          <w:rFonts w:hint="eastAsia"/>
          <w:szCs w:val="21"/>
        </w:rPr>
        <w:t>1.3楼内消火栓给水系统；（水泵6台）</w:t>
      </w:r>
    </w:p>
    <w:p>
      <w:pPr>
        <w:spacing w:line="324" w:lineRule="auto"/>
        <w:ind w:firstLine="420"/>
        <w:rPr>
          <w:szCs w:val="21"/>
        </w:rPr>
      </w:pPr>
      <w:r>
        <w:rPr>
          <w:rFonts w:hint="eastAsia"/>
          <w:szCs w:val="21"/>
        </w:rPr>
        <w:t>1.4楼外消火栓给水系统；</w:t>
      </w:r>
    </w:p>
    <w:p>
      <w:pPr>
        <w:spacing w:line="324" w:lineRule="auto"/>
        <w:ind w:firstLine="420"/>
        <w:rPr>
          <w:szCs w:val="21"/>
        </w:rPr>
      </w:pPr>
      <w:r>
        <w:rPr>
          <w:rFonts w:hint="eastAsia"/>
          <w:szCs w:val="21"/>
        </w:rPr>
        <w:t>1.5消防泵房系统；（3个）</w:t>
      </w:r>
    </w:p>
    <w:p>
      <w:pPr>
        <w:spacing w:line="324" w:lineRule="auto"/>
        <w:ind w:firstLine="420"/>
        <w:rPr>
          <w:szCs w:val="21"/>
        </w:rPr>
      </w:pPr>
      <w:r>
        <w:rPr>
          <w:rFonts w:hint="eastAsia"/>
          <w:szCs w:val="21"/>
        </w:rPr>
        <w:t>1.6通风、机械排烟系统；（9台）</w:t>
      </w:r>
    </w:p>
    <w:p>
      <w:pPr>
        <w:spacing w:line="324" w:lineRule="auto"/>
        <w:ind w:firstLine="420"/>
        <w:rPr>
          <w:szCs w:val="21"/>
        </w:rPr>
      </w:pPr>
      <w:r>
        <w:rPr>
          <w:rFonts w:hint="eastAsia"/>
          <w:szCs w:val="21"/>
        </w:rPr>
        <w:t>1.7防火分隔系统；（防火卷帘26趟）</w:t>
      </w:r>
    </w:p>
    <w:p>
      <w:pPr>
        <w:spacing w:line="324" w:lineRule="auto"/>
        <w:ind w:firstLine="420"/>
        <w:rPr>
          <w:szCs w:val="21"/>
        </w:rPr>
      </w:pPr>
      <w:r>
        <w:rPr>
          <w:rFonts w:hint="eastAsia"/>
          <w:szCs w:val="21"/>
        </w:rPr>
        <w:t>1.8应急照明及疏散指示系统；</w:t>
      </w:r>
    </w:p>
    <w:p>
      <w:pPr>
        <w:spacing w:line="324" w:lineRule="auto"/>
        <w:ind w:firstLine="420"/>
        <w:rPr>
          <w:szCs w:val="21"/>
        </w:rPr>
      </w:pPr>
      <w:r>
        <w:rPr>
          <w:rFonts w:hint="eastAsia"/>
          <w:szCs w:val="21"/>
        </w:rPr>
        <w:t>1.9灭火器系统。</w:t>
      </w:r>
    </w:p>
    <w:p>
      <w:pPr>
        <w:spacing w:line="324" w:lineRule="auto"/>
        <w:ind w:firstLine="420"/>
        <w:rPr>
          <w:szCs w:val="21"/>
        </w:rPr>
      </w:pPr>
      <w:r>
        <w:rPr>
          <w:rFonts w:hint="eastAsia"/>
          <w:szCs w:val="21"/>
        </w:rPr>
        <w:t>1.10气体灭火系统（三套）</w:t>
      </w:r>
    </w:p>
    <w:p>
      <w:pPr>
        <w:spacing w:line="324" w:lineRule="auto"/>
        <w:ind w:firstLine="420"/>
        <w:rPr>
          <w:szCs w:val="21"/>
        </w:rPr>
      </w:pPr>
      <w:r>
        <w:rPr>
          <w:rFonts w:hint="eastAsia"/>
          <w:szCs w:val="21"/>
        </w:rPr>
        <w:t>1.11电气火灾监控系统；（一套）</w:t>
      </w:r>
    </w:p>
    <w:p>
      <w:pPr>
        <w:spacing w:line="324" w:lineRule="auto"/>
        <w:ind w:firstLine="420"/>
        <w:rPr>
          <w:szCs w:val="21"/>
        </w:rPr>
      </w:pPr>
      <w:r>
        <w:rPr>
          <w:rFonts w:hint="eastAsia"/>
          <w:szCs w:val="21"/>
        </w:rPr>
        <w:t>1.12稳压泵（6台）</w:t>
      </w:r>
    </w:p>
    <w:p>
      <w:pPr>
        <w:spacing w:line="324" w:lineRule="auto"/>
        <w:ind w:firstLine="420"/>
        <w:rPr>
          <w:szCs w:val="21"/>
        </w:rPr>
      </w:pPr>
      <w:r>
        <w:rPr>
          <w:rFonts w:hint="eastAsia"/>
          <w:szCs w:val="21"/>
        </w:rPr>
        <w:t>1.13消防供备电（3套）</w:t>
      </w:r>
    </w:p>
    <w:p>
      <w:pPr>
        <w:spacing w:line="324" w:lineRule="auto"/>
        <w:ind w:firstLine="420"/>
        <w:rPr>
          <w:b/>
          <w:szCs w:val="21"/>
        </w:rPr>
      </w:pPr>
      <w:r>
        <w:rPr>
          <w:rFonts w:hint="eastAsia"/>
          <w:b/>
          <w:szCs w:val="21"/>
        </w:rPr>
        <w:t>2. 坪山校区消防设备</w:t>
      </w:r>
    </w:p>
    <w:p>
      <w:pPr>
        <w:spacing w:line="324" w:lineRule="auto"/>
        <w:ind w:firstLine="420"/>
        <w:rPr>
          <w:szCs w:val="21"/>
        </w:rPr>
      </w:pPr>
      <w:r>
        <w:rPr>
          <w:rFonts w:hint="eastAsia"/>
          <w:szCs w:val="21"/>
        </w:rPr>
        <w:t>2.1火灾报警系统（一套）</w:t>
      </w:r>
    </w:p>
    <w:p>
      <w:pPr>
        <w:spacing w:line="324" w:lineRule="auto"/>
        <w:ind w:firstLine="420"/>
        <w:rPr>
          <w:szCs w:val="21"/>
        </w:rPr>
      </w:pPr>
      <w:r>
        <w:rPr>
          <w:rFonts w:hint="eastAsia"/>
          <w:szCs w:val="21"/>
        </w:rPr>
        <w:t>2.2消防供备电（一套）</w:t>
      </w:r>
    </w:p>
    <w:p>
      <w:pPr>
        <w:spacing w:line="324" w:lineRule="auto"/>
        <w:ind w:firstLine="420"/>
        <w:rPr>
          <w:szCs w:val="21"/>
        </w:rPr>
      </w:pPr>
      <w:r>
        <w:rPr>
          <w:rFonts w:hint="eastAsia"/>
          <w:szCs w:val="21"/>
        </w:rPr>
        <w:t>2.3应急照明及疏散指示系统；</w:t>
      </w:r>
    </w:p>
    <w:p>
      <w:pPr>
        <w:spacing w:line="324" w:lineRule="auto"/>
        <w:ind w:firstLine="420"/>
        <w:rPr>
          <w:szCs w:val="21"/>
        </w:rPr>
      </w:pPr>
      <w:r>
        <w:rPr>
          <w:rFonts w:hint="eastAsia"/>
          <w:szCs w:val="21"/>
        </w:rPr>
        <w:t>2.4灭火器系统。</w:t>
      </w:r>
    </w:p>
    <w:p>
      <w:pPr>
        <w:spacing w:line="324" w:lineRule="auto"/>
        <w:ind w:firstLine="420"/>
        <w:rPr>
          <w:szCs w:val="21"/>
        </w:rPr>
      </w:pPr>
      <w:r>
        <w:rPr>
          <w:rFonts w:hint="eastAsia"/>
          <w:szCs w:val="21"/>
        </w:rPr>
        <w:t>2.5气体灭火系统（一套）</w:t>
      </w:r>
    </w:p>
    <w:p>
      <w:pPr>
        <w:spacing w:line="324" w:lineRule="auto"/>
        <w:ind w:firstLine="420"/>
        <w:rPr>
          <w:szCs w:val="21"/>
        </w:rPr>
      </w:pPr>
      <w:r>
        <w:rPr>
          <w:rFonts w:hint="eastAsia"/>
          <w:szCs w:val="21"/>
        </w:rPr>
        <w:t>2.6自动喷淋给水系统；（水泵2台）</w:t>
      </w:r>
    </w:p>
    <w:p>
      <w:pPr>
        <w:spacing w:line="324" w:lineRule="auto"/>
        <w:ind w:firstLine="420"/>
        <w:rPr>
          <w:szCs w:val="21"/>
        </w:rPr>
      </w:pPr>
      <w:r>
        <w:rPr>
          <w:rFonts w:hint="eastAsia"/>
          <w:szCs w:val="21"/>
        </w:rPr>
        <w:t>2.7楼内消火栓给水系统；（水泵2台）</w:t>
      </w:r>
    </w:p>
    <w:p>
      <w:pPr>
        <w:spacing w:line="324" w:lineRule="auto"/>
        <w:ind w:firstLine="420"/>
        <w:rPr>
          <w:szCs w:val="21"/>
        </w:rPr>
      </w:pPr>
      <w:r>
        <w:rPr>
          <w:rFonts w:hint="eastAsia"/>
          <w:szCs w:val="21"/>
        </w:rPr>
        <w:t>2.8楼外消火栓给水系统；</w:t>
      </w:r>
    </w:p>
    <w:p>
      <w:pPr>
        <w:spacing w:line="324" w:lineRule="auto"/>
        <w:ind w:firstLine="420"/>
        <w:rPr>
          <w:szCs w:val="21"/>
        </w:rPr>
      </w:pPr>
      <w:r>
        <w:rPr>
          <w:rFonts w:hint="eastAsia"/>
          <w:szCs w:val="21"/>
        </w:rPr>
        <w:t>2.9消防泵房系统；（一个）</w:t>
      </w:r>
    </w:p>
    <w:p>
      <w:pPr>
        <w:spacing w:line="324" w:lineRule="auto"/>
        <w:ind w:firstLine="420"/>
        <w:rPr>
          <w:szCs w:val="21"/>
        </w:rPr>
      </w:pPr>
      <w:r>
        <w:rPr>
          <w:rFonts w:hint="eastAsia"/>
          <w:szCs w:val="21"/>
        </w:rPr>
        <w:t>2.10通风、机械排烟系统；（3台）</w:t>
      </w:r>
    </w:p>
    <w:p>
      <w:pPr>
        <w:spacing w:line="324" w:lineRule="auto"/>
        <w:ind w:firstLine="420"/>
        <w:rPr>
          <w:szCs w:val="21"/>
        </w:rPr>
      </w:pPr>
      <w:r>
        <w:rPr>
          <w:rFonts w:hint="eastAsia"/>
          <w:szCs w:val="21"/>
        </w:rPr>
        <w:t>2.11电气火灾监控系统；（一套）</w:t>
      </w:r>
    </w:p>
    <w:p>
      <w:pPr>
        <w:spacing w:line="324" w:lineRule="auto"/>
        <w:ind w:firstLine="420"/>
        <w:rPr>
          <w:szCs w:val="21"/>
        </w:rPr>
      </w:pPr>
      <w:r>
        <w:rPr>
          <w:rFonts w:hint="eastAsia"/>
          <w:szCs w:val="21"/>
        </w:rPr>
        <w:t>2.12稳压泵（2台）</w:t>
      </w:r>
    </w:p>
    <w:p>
      <w:pPr>
        <w:pStyle w:val="3"/>
        <w:numPr>
          <w:ilvl w:val="0"/>
          <w:numId w:val="1"/>
        </w:numPr>
        <w:spacing w:before="156" w:beforeLines="50" w:after="156" w:afterLines="50"/>
        <w:rPr>
          <w:rFonts w:cs="宋体"/>
          <w:szCs w:val="28"/>
        </w:rPr>
      </w:pPr>
      <w:r>
        <w:rPr>
          <w:rFonts w:hint="eastAsia" w:cs="宋体"/>
          <w:szCs w:val="28"/>
        </w:rPr>
        <w:t>维护管理界面划分</w:t>
      </w:r>
    </w:p>
    <w:p>
      <w:pPr>
        <w:spacing w:line="324" w:lineRule="auto"/>
        <w:ind w:firstLine="420"/>
        <w:rPr>
          <w:b/>
          <w:szCs w:val="21"/>
        </w:rPr>
      </w:pPr>
      <w:r>
        <w:rPr>
          <w:rFonts w:hint="eastAsia"/>
          <w:b/>
          <w:szCs w:val="21"/>
        </w:rPr>
        <w:t>1.投标人与招标人管理界面划分</w:t>
      </w:r>
    </w:p>
    <w:tbl>
      <w:tblPr>
        <w:tblStyle w:val="17"/>
        <w:tblW w:w="0" w:type="auto"/>
        <w:jc w:val="center"/>
        <w:tblLayout w:type="autofit"/>
        <w:tblCellMar>
          <w:top w:w="0" w:type="dxa"/>
          <w:left w:w="0" w:type="dxa"/>
          <w:bottom w:w="0" w:type="dxa"/>
          <w:right w:w="0" w:type="dxa"/>
        </w:tblCellMar>
      </w:tblPr>
      <w:tblGrid>
        <w:gridCol w:w="2254"/>
        <w:gridCol w:w="2182"/>
        <w:gridCol w:w="2687"/>
      </w:tblGrid>
      <w:tr>
        <w:tblPrEx>
          <w:tblCellMar>
            <w:top w:w="0" w:type="dxa"/>
            <w:left w:w="0" w:type="dxa"/>
            <w:bottom w:w="0" w:type="dxa"/>
            <w:right w:w="0" w:type="dxa"/>
          </w:tblCellMar>
        </w:tblPrEx>
        <w:trPr>
          <w:trHeight w:val="236" w:hRule="atLeast"/>
          <w:jc w:val="center"/>
        </w:trPr>
        <w:tc>
          <w:tcPr>
            <w:tcW w:w="22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项目</w:t>
            </w:r>
          </w:p>
        </w:tc>
        <w:tc>
          <w:tcPr>
            <w:tcW w:w="21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管理方</w:t>
            </w:r>
          </w:p>
        </w:tc>
        <w:tc>
          <w:tcPr>
            <w:tcW w:w="26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执行方</w:t>
            </w:r>
          </w:p>
        </w:tc>
      </w:tr>
      <w:tr>
        <w:tblPrEx>
          <w:tblCellMar>
            <w:top w:w="0" w:type="dxa"/>
            <w:left w:w="0" w:type="dxa"/>
            <w:bottom w:w="0" w:type="dxa"/>
            <w:right w:w="0" w:type="dxa"/>
          </w:tblCellMar>
        </w:tblPrEx>
        <w:trPr>
          <w:trHeight w:val="337" w:hRule="atLeast"/>
          <w:jc w:val="center"/>
        </w:trPr>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权限管理</w:t>
            </w:r>
          </w:p>
        </w:tc>
        <w:tc>
          <w:tcPr>
            <w:tcW w:w="21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招标人</w:t>
            </w: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招标人</w:t>
            </w:r>
          </w:p>
        </w:tc>
      </w:tr>
      <w:tr>
        <w:tblPrEx>
          <w:tblCellMar>
            <w:top w:w="0" w:type="dxa"/>
            <w:left w:w="0" w:type="dxa"/>
            <w:bottom w:w="0" w:type="dxa"/>
            <w:right w:w="0" w:type="dxa"/>
          </w:tblCellMar>
        </w:tblPrEx>
        <w:trPr>
          <w:trHeight w:val="436" w:hRule="atLeast"/>
          <w:jc w:val="center"/>
        </w:trPr>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质量管理</w:t>
            </w:r>
          </w:p>
        </w:tc>
        <w:tc>
          <w:tcPr>
            <w:tcW w:w="21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招标人</w:t>
            </w: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投标人</w:t>
            </w:r>
          </w:p>
        </w:tc>
      </w:tr>
      <w:tr>
        <w:tblPrEx>
          <w:tblCellMar>
            <w:top w:w="0" w:type="dxa"/>
            <w:left w:w="0" w:type="dxa"/>
            <w:bottom w:w="0" w:type="dxa"/>
            <w:right w:w="0" w:type="dxa"/>
          </w:tblCellMar>
        </w:tblPrEx>
        <w:trPr>
          <w:trHeight w:val="436" w:hRule="atLeast"/>
          <w:jc w:val="center"/>
        </w:trPr>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故障管理</w:t>
            </w:r>
          </w:p>
        </w:tc>
        <w:tc>
          <w:tcPr>
            <w:tcW w:w="21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招标人</w:t>
            </w: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投标人</w:t>
            </w:r>
          </w:p>
        </w:tc>
      </w:tr>
      <w:tr>
        <w:tblPrEx>
          <w:tblCellMar>
            <w:top w:w="0" w:type="dxa"/>
            <w:left w:w="0" w:type="dxa"/>
            <w:bottom w:w="0" w:type="dxa"/>
            <w:right w:w="0" w:type="dxa"/>
          </w:tblCellMar>
        </w:tblPrEx>
        <w:trPr>
          <w:trHeight w:val="436" w:hRule="atLeast"/>
          <w:jc w:val="center"/>
        </w:trPr>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作业管理</w:t>
            </w:r>
          </w:p>
        </w:tc>
        <w:tc>
          <w:tcPr>
            <w:tcW w:w="21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招标人</w:t>
            </w: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投标人</w:t>
            </w:r>
          </w:p>
        </w:tc>
      </w:tr>
      <w:tr>
        <w:tblPrEx>
          <w:tblCellMar>
            <w:top w:w="0" w:type="dxa"/>
            <w:left w:w="0" w:type="dxa"/>
            <w:bottom w:w="0" w:type="dxa"/>
            <w:right w:w="0" w:type="dxa"/>
          </w:tblCellMar>
        </w:tblPrEx>
        <w:trPr>
          <w:trHeight w:val="436" w:hRule="atLeast"/>
          <w:jc w:val="center"/>
        </w:trPr>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告警管理</w:t>
            </w:r>
          </w:p>
        </w:tc>
        <w:tc>
          <w:tcPr>
            <w:tcW w:w="21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招标人</w:t>
            </w: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投标人</w:t>
            </w:r>
          </w:p>
        </w:tc>
      </w:tr>
      <w:tr>
        <w:tblPrEx>
          <w:tblCellMar>
            <w:top w:w="0" w:type="dxa"/>
            <w:left w:w="0" w:type="dxa"/>
            <w:bottom w:w="0" w:type="dxa"/>
            <w:right w:w="0" w:type="dxa"/>
          </w:tblCellMar>
        </w:tblPrEx>
        <w:trPr>
          <w:trHeight w:val="436" w:hRule="atLeast"/>
          <w:jc w:val="center"/>
        </w:trPr>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考勤管理</w:t>
            </w:r>
          </w:p>
        </w:tc>
        <w:tc>
          <w:tcPr>
            <w:tcW w:w="21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招标人</w:t>
            </w: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投标人</w:t>
            </w:r>
          </w:p>
        </w:tc>
      </w:tr>
      <w:tr>
        <w:tblPrEx>
          <w:tblCellMar>
            <w:top w:w="0" w:type="dxa"/>
            <w:left w:w="0" w:type="dxa"/>
            <w:bottom w:w="0" w:type="dxa"/>
            <w:right w:w="0" w:type="dxa"/>
          </w:tblCellMar>
        </w:tblPrEx>
        <w:trPr>
          <w:trHeight w:val="436" w:hRule="atLeast"/>
          <w:jc w:val="center"/>
        </w:trPr>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能耗管理</w:t>
            </w:r>
          </w:p>
        </w:tc>
        <w:tc>
          <w:tcPr>
            <w:tcW w:w="21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招标人</w:t>
            </w: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投标人</w:t>
            </w:r>
          </w:p>
        </w:tc>
      </w:tr>
      <w:tr>
        <w:tblPrEx>
          <w:tblCellMar>
            <w:top w:w="0" w:type="dxa"/>
            <w:left w:w="0" w:type="dxa"/>
            <w:bottom w:w="0" w:type="dxa"/>
            <w:right w:w="0" w:type="dxa"/>
          </w:tblCellMar>
        </w:tblPrEx>
        <w:trPr>
          <w:trHeight w:val="436" w:hRule="atLeast"/>
          <w:jc w:val="center"/>
        </w:trPr>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备品备件管理</w:t>
            </w:r>
          </w:p>
        </w:tc>
        <w:tc>
          <w:tcPr>
            <w:tcW w:w="21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招标人</w:t>
            </w: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投标人</w:t>
            </w:r>
          </w:p>
        </w:tc>
      </w:tr>
      <w:tr>
        <w:tblPrEx>
          <w:tblCellMar>
            <w:top w:w="0" w:type="dxa"/>
            <w:left w:w="0" w:type="dxa"/>
            <w:bottom w:w="0" w:type="dxa"/>
            <w:right w:w="0" w:type="dxa"/>
          </w:tblCellMar>
        </w:tblPrEx>
        <w:trPr>
          <w:trHeight w:val="436" w:hRule="atLeast"/>
          <w:jc w:val="center"/>
        </w:trPr>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零星整修</w:t>
            </w:r>
          </w:p>
        </w:tc>
        <w:tc>
          <w:tcPr>
            <w:tcW w:w="21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招标人</w:t>
            </w:r>
          </w:p>
        </w:tc>
        <w:tc>
          <w:tcPr>
            <w:tcW w:w="2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投标人</w:t>
            </w:r>
          </w:p>
        </w:tc>
      </w:tr>
    </w:tbl>
    <w:p>
      <w:pPr>
        <w:spacing w:line="324" w:lineRule="auto"/>
        <w:ind w:firstLine="420"/>
        <w:rPr>
          <w:b/>
          <w:szCs w:val="21"/>
        </w:rPr>
      </w:pPr>
      <w:r>
        <w:rPr>
          <w:rFonts w:hint="eastAsia"/>
          <w:b/>
          <w:szCs w:val="21"/>
        </w:rPr>
        <w:t>2.投标人与设备厂商维护界面划分</w:t>
      </w:r>
    </w:p>
    <w:p>
      <w:pPr>
        <w:spacing w:line="324" w:lineRule="auto"/>
        <w:ind w:firstLine="420"/>
        <w:rPr>
          <w:szCs w:val="21"/>
        </w:rPr>
      </w:pPr>
      <w:r>
        <w:rPr>
          <w:rFonts w:hint="eastAsia"/>
          <w:szCs w:val="21"/>
        </w:rPr>
        <w:t>对处于保修期内相关设备的例行保养工作由设备厂家按照设备采购合同约定执行，卖方负责设备的日常巡检及简单故障处理工作。设备厂商应按照合同约定对买方代维人员进行培训。对处于保修期内的设备，卖方发现告警和故障时应按照维护规程要求尽快处理，对于无法处理的告警和故障应及时协调设备厂家进行现场处理并将现场情况报告买方负责人。</w:t>
      </w:r>
    </w:p>
    <w:p>
      <w:pPr>
        <w:spacing w:line="324" w:lineRule="auto"/>
        <w:ind w:firstLine="420"/>
        <w:rPr>
          <w:rFonts w:hint="eastAsia" w:ascii="微软雅黑" w:hAnsi="微软雅黑" w:cs="宋体"/>
          <w:color w:val="000000"/>
          <w:kern w:val="0"/>
          <w:szCs w:val="21"/>
        </w:rPr>
      </w:pPr>
      <w:r>
        <w:rPr>
          <w:rFonts w:hint="eastAsia"/>
          <w:szCs w:val="21"/>
        </w:rPr>
        <w:t>对处于保修期外的设备，卖方负责按照合同约定、相关规定及时进行现场处理；对于无法处理的告警和故障应及时联系设备厂家提供技术支持并将现场情况报告买方负责人。</w:t>
      </w:r>
      <w:r>
        <w:rPr>
          <w:rFonts w:hint="eastAsia" w:ascii="仿宋_GB2312" w:hAnsi="微软雅黑" w:eastAsia="仿宋_GB2312" w:cs="宋体"/>
          <w:color w:val="000000"/>
          <w:kern w:val="0"/>
          <w:sz w:val="24"/>
        </w:rPr>
        <w:t> </w:t>
      </w:r>
    </w:p>
    <w:p>
      <w:pPr>
        <w:pStyle w:val="3"/>
        <w:numPr>
          <w:ilvl w:val="0"/>
          <w:numId w:val="1"/>
        </w:numPr>
        <w:spacing w:before="156" w:beforeLines="50" w:after="156" w:afterLines="50"/>
        <w:rPr>
          <w:rFonts w:cs="宋体"/>
          <w:szCs w:val="28"/>
        </w:rPr>
      </w:pPr>
      <w:r>
        <w:rPr>
          <w:rFonts w:hint="eastAsia" w:cs="宋体"/>
          <w:szCs w:val="28"/>
        </w:rPr>
        <w:t>服务期限</w:t>
      </w:r>
    </w:p>
    <w:p>
      <w:pPr>
        <w:spacing w:line="324" w:lineRule="auto"/>
        <w:ind w:firstLine="420"/>
        <w:rPr>
          <w:rFonts w:hint="eastAsia" w:ascii="微软雅黑" w:hAnsi="微软雅黑" w:cs="宋体"/>
          <w:color w:val="000000"/>
          <w:kern w:val="0"/>
          <w:szCs w:val="21"/>
        </w:rPr>
      </w:pPr>
      <w:r>
        <w:rPr>
          <w:rFonts w:hint="eastAsia"/>
          <w:szCs w:val="21"/>
        </w:rPr>
        <w:t>本次招标服务周期为12个月，具体起止日期以合同约定为准。第一年为本次招标的中标服务期限，采购人可根据项目需求和中标供应商的履约情况确定合同期限是否延长，但最长不超过</w:t>
      </w:r>
      <w:r>
        <w:rPr>
          <w:rFonts w:hint="eastAsia"/>
          <w:szCs w:val="21"/>
          <w:lang w:val="en-US" w:eastAsia="zh-CN"/>
        </w:rPr>
        <w:t>36个月</w:t>
      </w:r>
      <w:r>
        <w:rPr>
          <w:rFonts w:hint="eastAsia"/>
          <w:szCs w:val="21"/>
        </w:rPr>
        <w:t>。</w:t>
      </w:r>
    </w:p>
    <w:p>
      <w:pPr>
        <w:pStyle w:val="3"/>
        <w:numPr>
          <w:ilvl w:val="0"/>
          <w:numId w:val="1"/>
        </w:numPr>
        <w:spacing w:before="156" w:beforeLines="50" w:after="156" w:afterLines="50"/>
        <w:rPr>
          <w:rFonts w:cs="宋体"/>
          <w:szCs w:val="28"/>
        </w:rPr>
      </w:pPr>
      <w:r>
        <w:rPr>
          <w:rFonts w:hint="eastAsia" w:cs="宋体"/>
          <w:szCs w:val="28"/>
        </w:rPr>
        <w:t>维护工作内容</w:t>
      </w:r>
    </w:p>
    <w:p>
      <w:pPr>
        <w:spacing w:line="324" w:lineRule="auto"/>
        <w:ind w:firstLine="420"/>
        <w:rPr>
          <w:szCs w:val="21"/>
        </w:rPr>
      </w:pPr>
      <w:r>
        <w:rPr>
          <w:rFonts w:hint="eastAsia"/>
          <w:szCs w:val="21"/>
        </w:rPr>
        <w:t>1.正式接维</w:t>
      </w:r>
    </w:p>
    <w:p>
      <w:pPr>
        <w:spacing w:line="324" w:lineRule="auto"/>
        <w:ind w:firstLine="420"/>
        <w:rPr>
          <w:szCs w:val="21"/>
        </w:rPr>
      </w:pPr>
      <w:r>
        <w:rPr>
          <w:rFonts w:hint="eastAsia"/>
          <w:szCs w:val="21"/>
        </w:rPr>
        <w:t>1.1日常维护保养</w:t>
      </w:r>
    </w:p>
    <w:p>
      <w:pPr>
        <w:spacing w:line="324" w:lineRule="auto"/>
        <w:ind w:firstLine="420"/>
        <w:rPr>
          <w:szCs w:val="21"/>
        </w:rPr>
      </w:pPr>
      <w:r>
        <w:rPr>
          <w:rFonts w:hint="eastAsia"/>
          <w:szCs w:val="21"/>
        </w:rPr>
        <w:t>消防设施每月检查维保1次，检查维保应按照国家和深圳市相关消防法规和规范执行。</w:t>
      </w:r>
    </w:p>
    <w:p>
      <w:pPr>
        <w:spacing w:line="324" w:lineRule="auto"/>
        <w:ind w:firstLine="420"/>
        <w:rPr>
          <w:szCs w:val="21"/>
        </w:rPr>
      </w:pPr>
      <w:r>
        <w:rPr>
          <w:rFonts w:hint="eastAsia"/>
          <w:szCs w:val="21"/>
        </w:rPr>
        <w:t>1.2故障处理</w:t>
      </w:r>
    </w:p>
    <w:p>
      <w:pPr>
        <w:spacing w:line="324" w:lineRule="auto"/>
        <w:ind w:firstLine="420"/>
        <w:rPr>
          <w:szCs w:val="21"/>
        </w:rPr>
      </w:pPr>
      <w:r>
        <w:rPr>
          <w:rFonts w:hint="eastAsia"/>
          <w:szCs w:val="21"/>
        </w:rPr>
        <w:t>投标人应确保消防设备安全稳定有效运行、缩短设备故障历时、按章操作，为用户提供优质的维保服务，避免因设备故障造成重大影响。</w:t>
      </w:r>
    </w:p>
    <w:p>
      <w:pPr>
        <w:spacing w:line="324" w:lineRule="auto"/>
        <w:ind w:firstLine="420"/>
        <w:rPr>
          <w:szCs w:val="21"/>
        </w:rPr>
      </w:pPr>
      <w:r>
        <w:rPr>
          <w:rFonts w:hint="eastAsia"/>
          <w:szCs w:val="21"/>
        </w:rPr>
        <w:t>1.3应急保障</w:t>
      </w:r>
    </w:p>
    <w:p>
      <w:pPr>
        <w:spacing w:line="324" w:lineRule="auto"/>
        <w:ind w:firstLine="420"/>
        <w:rPr>
          <w:szCs w:val="21"/>
        </w:rPr>
      </w:pPr>
      <w:r>
        <w:rPr>
          <w:rFonts w:hint="eastAsia"/>
          <w:szCs w:val="21"/>
        </w:rPr>
        <w:t>投标人须制定完善的应急保障方案，在启动应急保障方案时：应急抢修人员在2小时以内到达现场。</w:t>
      </w:r>
    </w:p>
    <w:p>
      <w:pPr>
        <w:spacing w:line="324" w:lineRule="auto"/>
        <w:ind w:firstLine="420"/>
        <w:rPr>
          <w:szCs w:val="21"/>
        </w:rPr>
      </w:pPr>
      <w:r>
        <w:rPr>
          <w:rFonts w:hint="eastAsia"/>
          <w:szCs w:val="21"/>
        </w:rPr>
        <w:t>1.4日常维护</w:t>
      </w:r>
    </w:p>
    <w:p>
      <w:pPr>
        <w:spacing w:line="324" w:lineRule="auto"/>
        <w:ind w:firstLine="420"/>
        <w:rPr>
          <w:szCs w:val="21"/>
        </w:rPr>
      </w:pPr>
      <w:r>
        <w:rPr>
          <w:rFonts w:hint="eastAsia"/>
          <w:szCs w:val="21"/>
        </w:rPr>
        <w:t>投标方坚持《消防设施安装验收标准及规范》，对消防工程的维护保养质量实施全过程质量控制，在整个过程中贯彻“安全可靠、质量第一”的方针，以严密的质量管理，周到的服务体系，为招标方消防体系实现安全、可靠，且维护数据的记录应真实有效。</w:t>
      </w:r>
    </w:p>
    <w:p>
      <w:pPr>
        <w:spacing w:line="324" w:lineRule="auto"/>
        <w:ind w:firstLine="420"/>
        <w:rPr>
          <w:szCs w:val="21"/>
        </w:rPr>
      </w:pPr>
      <w:r>
        <w:rPr>
          <w:rFonts w:hint="eastAsia"/>
          <w:szCs w:val="21"/>
        </w:rPr>
        <w:t>1.5备品备件的管理</w:t>
      </w:r>
    </w:p>
    <w:p>
      <w:pPr>
        <w:spacing w:line="324" w:lineRule="auto"/>
        <w:ind w:firstLine="420"/>
        <w:rPr>
          <w:szCs w:val="21"/>
        </w:rPr>
      </w:pPr>
      <w:r>
        <w:rPr>
          <w:rFonts w:hint="eastAsia"/>
          <w:szCs w:val="21"/>
        </w:rPr>
        <w:t>投标人应在本项目维护现场制定满足日常维护及应急保障工作需求的零星备件、耗材（烟感、温感、设备等）计划，由招招标人负责采购。</w:t>
      </w:r>
    </w:p>
    <w:p>
      <w:pPr>
        <w:spacing w:line="324" w:lineRule="auto"/>
        <w:ind w:firstLine="420"/>
        <w:rPr>
          <w:szCs w:val="21"/>
        </w:rPr>
      </w:pPr>
      <w:r>
        <w:rPr>
          <w:rFonts w:hint="eastAsia"/>
          <w:szCs w:val="21"/>
        </w:rPr>
        <w:t>2.人员配置与岗位要求</w:t>
      </w:r>
    </w:p>
    <w:p>
      <w:pPr>
        <w:spacing w:line="324" w:lineRule="auto"/>
        <w:ind w:firstLine="420"/>
        <w:rPr>
          <w:szCs w:val="21"/>
        </w:rPr>
      </w:pPr>
      <w:r>
        <w:rPr>
          <w:rFonts w:hint="eastAsia"/>
          <w:szCs w:val="21"/>
        </w:rPr>
        <w:t>2.1要求投标人的维护保养人员必须具有相关操作证，具有3年以上的维护保养经验。</w:t>
      </w:r>
    </w:p>
    <w:p>
      <w:pPr>
        <w:spacing w:line="324" w:lineRule="auto"/>
        <w:ind w:firstLine="420"/>
        <w:rPr>
          <w:szCs w:val="21"/>
        </w:rPr>
      </w:pPr>
      <w:r>
        <w:rPr>
          <w:rFonts w:hint="eastAsia"/>
          <w:szCs w:val="21"/>
        </w:rPr>
        <w:t>2.2    投标人需提供24小时的热线电话，小故障远程处理，无法处理应在规定的时间内到达现场处理；在遇到重大故障抢修或临时应急保障任务时应根据规定的时间赶到现场，并主动组织开展故障抢修或应急保障工作。</w:t>
      </w:r>
    </w:p>
    <w:p>
      <w:pPr>
        <w:spacing w:line="324" w:lineRule="auto"/>
        <w:ind w:firstLine="420"/>
        <w:rPr>
          <w:szCs w:val="21"/>
        </w:rPr>
      </w:pPr>
      <w:r>
        <w:rPr>
          <w:rFonts w:hint="eastAsia"/>
          <w:szCs w:val="21"/>
        </w:rPr>
        <w:t>3.投标方服务标准</w:t>
      </w:r>
    </w:p>
    <w:tbl>
      <w:tblPr>
        <w:tblStyle w:val="17"/>
        <w:tblW w:w="8364" w:type="dxa"/>
        <w:tblInd w:w="714" w:type="dxa"/>
        <w:shd w:val="clear" w:color="auto" w:fill="FFFFFF"/>
        <w:tblLayout w:type="autofit"/>
        <w:tblCellMar>
          <w:top w:w="0" w:type="dxa"/>
          <w:left w:w="0" w:type="dxa"/>
          <w:bottom w:w="0" w:type="dxa"/>
          <w:right w:w="0" w:type="dxa"/>
        </w:tblCellMar>
      </w:tblPr>
      <w:tblGrid>
        <w:gridCol w:w="426"/>
        <w:gridCol w:w="6481"/>
        <w:gridCol w:w="1457"/>
      </w:tblGrid>
      <w:tr>
        <w:tblPrEx>
          <w:shd w:val="clear" w:color="auto" w:fill="FFFFFF"/>
          <w:tblCellMar>
            <w:top w:w="0" w:type="dxa"/>
            <w:left w:w="0" w:type="dxa"/>
            <w:bottom w:w="0" w:type="dxa"/>
            <w:right w:w="0" w:type="dxa"/>
          </w:tblCellMar>
        </w:tblPrEx>
        <w:trPr>
          <w:trHeight w:val="355" w:hRule="atLeast"/>
        </w:trPr>
        <w:tc>
          <w:tcPr>
            <w:tcW w:w="4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64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设备正常运行保障率</w:t>
            </w:r>
          </w:p>
        </w:tc>
        <w:tc>
          <w:tcPr>
            <w:tcW w:w="145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99%以上</w:t>
            </w:r>
          </w:p>
        </w:tc>
      </w:tr>
      <w:tr>
        <w:tblPrEx>
          <w:tblCellMar>
            <w:top w:w="0" w:type="dxa"/>
            <w:left w:w="0" w:type="dxa"/>
            <w:bottom w:w="0" w:type="dxa"/>
            <w:right w:w="0" w:type="dxa"/>
          </w:tblCellMar>
        </w:tblPrEx>
        <w:trPr>
          <w:trHeight w:val="304" w:hRule="atLeast"/>
        </w:trPr>
        <w:tc>
          <w:tcPr>
            <w:tcW w:w="4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64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设备管理及操作规程执行率</w:t>
            </w:r>
          </w:p>
        </w:tc>
        <w:tc>
          <w:tcPr>
            <w:tcW w:w="1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r>
      <w:tr>
        <w:tblPrEx>
          <w:tblCellMar>
            <w:top w:w="0" w:type="dxa"/>
            <w:left w:w="0" w:type="dxa"/>
            <w:bottom w:w="0" w:type="dxa"/>
            <w:right w:w="0" w:type="dxa"/>
          </w:tblCellMar>
        </w:tblPrEx>
        <w:tc>
          <w:tcPr>
            <w:tcW w:w="4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64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零修、急修及时率</w:t>
            </w:r>
          </w:p>
        </w:tc>
        <w:tc>
          <w:tcPr>
            <w:tcW w:w="1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r>
      <w:tr>
        <w:tblPrEx>
          <w:shd w:val="clear" w:color="auto" w:fill="FFFFFF"/>
          <w:tblCellMar>
            <w:top w:w="0" w:type="dxa"/>
            <w:left w:w="0" w:type="dxa"/>
            <w:bottom w:w="0" w:type="dxa"/>
            <w:right w:w="0" w:type="dxa"/>
          </w:tblCellMar>
        </w:tblPrEx>
        <w:tc>
          <w:tcPr>
            <w:tcW w:w="4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64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零修、急修质量合格率</w:t>
            </w:r>
          </w:p>
        </w:tc>
        <w:tc>
          <w:tcPr>
            <w:tcW w:w="1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r>
      <w:tr>
        <w:tblPrEx>
          <w:tblCellMar>
            <w:top w:w="0" w:type="dxa"/>
            <w:left w:w="0" w:type="dxa"/>
            <w:bottom w:w="0" w:type="dxa"/>
            <w:right w:w="0" w:type="dxa"/>
          </w:tblCellMar>
        </w:tblPrEx>
        <w:tc>
          <w:tcPr>
            <w:tcW w:w="4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w:t>
            </w:r>
          </w:p>
        </w:tc>
        <w:tc>
          <w:tcPr>
            <w:tcW w:w="64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业主对消防设备维保管理，服务工作满意率</w:t>
            </w:r>
          </w:p>
        </w:tc>
        <w:tc>
          <w:tcPr>
            <w:tcW w:w="1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98%以上</w:t>
            </w:r>
          </w:p>
        </w:tc>
      </w:tr>
    </w:tbl>
    <w:p>
      <w:pPr>
        <w:pStyle w:val="3"/>
        <w:numPr>
          <w:ilvl w:val="0"/>
          <w:numId w:val="1"/>
        </w:numPr>
        <w:spacing w:before="156" w:beforeLines="50" w:after="156" w:afterLines="50"/>
        <w:rPr>
          <w:rFonts w:cs="宋体"/>
          <w:szCs w:val="28"/>
        </w:rPr>
      </w:pPr>
      <w:r>
        <w:rPr>
          <w:rFonts w:hint="eastAsia" w:cs="宋体"/>
          <w:szCs w:val="28"/>
        </w:rPr>
        <w:t>实施方案</w:t>
      </w:r>
    </w:p>
    <w:p>
      <w:pPr>
        <w:spacing w:line="324" w:lineRule="auto"/>
        <w:ind w:firstLine="420"/>
        <w:rPr>
          <w:szCs w:val="21"/>
        </w:rPr>
      </w:pPr>
      <w:r>
        <w:rPr>
          <w:rFonts w:hint="eastAsia"/>
          <w:szCs w:val="21"/>
        </w:rPr>
        <w:t>实施方案应包含但不局限于以下内容，且应严格执行国家和深圳市的消防维保法规及规范，保证消防设备、设施、系统、制度、日常运行满足相关法规和规范要求，保证通过相关消防检查。</w:t>
      </w:r>
    </w:p>
    <w:p>
      <w:pPr>
        <w:spacing w:line="324" w:lineRule="auto"/>
        <w:ind w:firstLine="420"/>
        <w:rPr>
          <w:szCs w:val="21"/>
        </w:rPr>
      </w:pPr>
      <w:r>
        <w:rPr>
          <w:rFonts w:hint="eastAsia"/>
          <w:szCs w:val="21"/>
        </w:rPr>
        <w:t>1.日常维护方案</w:t>
      </w:r>
    </w:p>
    <w:p>
      <w:pPr>
        <w:spacing w:line="324" w:lineRule="auto"/>
        <w:ind w:firstLine="420"/>
        <w:rPr>
          <w:szCs w:val="21"/>
        </w:rPr>
      </w:pPr>
      <w:r>
        <w:rPr>
          <w:rFonts w:hint="eastAsia"/>
          <w:szCs w:val="21"/>
        </w:rPr>
        <w:t>2.应急保障方案</w:t>
      </w:r>
    </w:p>
    <w:p>
      <w:pPr>
        <w:spacing w:line="324" w:lineRule="auto"/>
        <w:ind w:firstLine="420"/>
        <w:rPr>
          <w:rFonts w:hint="eastAsia" w:ascii="微软雅黑" w:hAnsi="微软雅黑" w:cs="宋体"/>
          <w:color w:val="000000"/>
          <w:kern w:val="0"/>
          <w:szCs w:val="21"/>
        </w:rPr>
      </w:pPr>
      <w:r>
        <w:rPr>
          <w:rFonts w:hint="eastAsia"/>
          <w:szCs w:val="21"/>
        </w:rPr>
        <w:t>3.备品备件管理方案</w:t>
      </w:r>
      <w:r>
        <w:rPr>
          <w:rFonts w:hint="eastAsia" w:ascii="仿宋_GB2312" w:hAnsi="微软雅黑" w:eastAsia="仿宋_GB2312" w:cs="宋体"/>
          <w:color w:val="000000"/>
          <w:kern w:val="0"/>
          <w:sz w:val="24"/>
        </w:rPr>
        <w:t> </w:t>
      </w:r>
    </w:p>
    <w:p>
      <w:pPr>
        <w:pStyle w:val="3"/>
        <w:numPr>
          <w:ilvl w:val="0"/>
          <w:numId w:val="1"/>
        </w:numPr>
        <w:spacing w:before="156" w:beforeLines="50" w:after="156" w:afterLines="50"/>
        <w:rPr>
          <w:rFonts w:cs="宋体"/>
          <w:szCs w:val="28"/>
        </w:rPr>
      </w:pPr>
      <w:r>
        <w:rPr>
          <w:rFonts w:hint="eastAsia" w:cs="宋体"/>
          <w:szCs w:val="28"/>
        </w:rPr>
        <w:t>消防设施设备例行维保工作内容</w:t>
      </w:r>
    </w:p>
    <w:p>
      <w:pPr>
        <w:spacing w:line="324" w:lineRule="auto"/>
        <w:ind w:firstLine="420"/>
        <w:rPr>
          <w:szCs w:val="21"/>
        </w:rPr>
      </w:pPr>
      <w:r>
        <w:rPr>
          <w:rFonts w:hint="eastAsia"/>
          <w:szCs w:val="21"/>
        </w:rPr>
        <w:t>1．消防栓系统维护保养工作内容</w:t>
      </w:r>
    </w:p>
    <w:p>
      <w:pPr>
        <w:spacing w:line="324" w:lineRule="auto"/>
        <w:ind w:firstLine="420"/>
        <w:rPr>
          <w:szCs w:val="21"/>
        </w:rPr>
      </w:pPr>
      <w:r>
        <w:rPr>
          <w:rFonts w:hint="eastAsia"/>
          <w:szCs w:val="21"/>
        </w:rPr>
        <w:t>A、检查消防栓箱配置是否完整齐全，包括检查每个消防栓口的静压是否符合规范要求，检查栓口橡胶是否老化、龟裂或脱落，检查水带是否霉烂、穿孔，检查卷盘胶管是否老化、龟裂，检查破玻按钮是否破碎；</w:t>
      </w:r>
    </w:p>
    <w:p>
      <w:pPr>
        <w:spacing w:line="324" w:lineRule="auto"/>
        <w:ind w:firstLine="420"/>
        <w:rPr>
          <w:szCs w:val="21"/>
        </w:rPr>
      </w:pPr>
      <w:r>
        <w:rPr>
          <w:rFonts w:hint="eastAsia"/>
          <w:szCs w:val="21"/>
        </w:rPr>
        <w:t>B、检查测试消防栓破玻系统，试验破玻按钮，警铃是否鸣响、消防水泵是否启动、消防中心是否有报警信号及消防水泵状态显示；</w:t>
      </w:r>
    </w:p>
    <w:p>
      <w:pPr>
        <w:spacing w:line="324" w:lineRule="auto"/>
        <w:ind w:firstLine="420"/>
        <w:rPr>
          <w:szCs w:val="21"/>
        </w:rPr>
      </w:pPr>
      <w:r>
        <w:rPr>
          <w:rFonts w:hint="eastAsia"/>
          <w:szCs w:val="21"/>
        </w:rPr>
        <w:t>C、检查各阀门是否处于正常工作状态，是否完好不渗漏；</w:t>
      </w:r>
    </w:p>
    <w:p>
      <w:pPr>
        <w:spacing w:line="324" w:lineRule="auto"/>
        <w:ind w:firstLine="420"/>
        <w:rPr>
          <w:szCs w:val="21"/>
        </w:rPr>
      </w:pPr>
      <w:r>
        <w:rPr>
          <w:rFonts w:hint="eastAsia"/>
          <w:szCs w:val="21"/>
        </w:rPr>
        <w:t>D、检查保养消防栓系统的水泵接合器，确保完整、不渗漏；</w:t>
      </w:r>
    </w:p>
    <w:p>
      <w:pPr>
        <w:spacing w:line="324" w:lineRule="auto"/>
        <w:ind w:firstLine="420"/>
        <w:rPr>
          <w:szCs w:val="21"/>
        </w:rPr>
      </w:pPr>
      <w:r>
        <w:rPr>
          <w:rFonts w:hint="eastAsia"/>
          <w:szCs w:val="21"/>
        </w:rPr>
        <w:t>E、试验消防栓，检查其喷水充实水栓是否达到规范或设计要求；</w:t>
      </w:r>
    </w:p>
    <w:p>
      <w:pPr>
        <w:spacing w:line="324" w:lineRule="auto"/>
        <w:ind w:firstLine="420"/>
        <w:rPr>
          <w:szCs w:val="21"/>
        </w:rPr>
      </w:pPr>
      <w:r>
        <w:rPr>
          <w:rFonts w:hint="eastAsia"/>
          <w:szCs w:val="21"/>
        </w:rPr>
        <w:t>F、定期试验安全泄压阀是否灵敏、可靠，检查水锤吸纳器工作是否有效；</w:t>
      </w:r>
    </w:p>
    <w:p>
      <w:pPr>
        <w:spacing w:line="324" w:lineRule="auto"/>
        <w:ind w:firstLine="420"/>
        <w:rPr>
          <w:szCs w:val="21"/>
        </w:rPr>
      </w:pPr>
      <w:r>
        <w:rPr>
          <w:rFonts w:hint="eastAsia"/>
          <w:szCs w:val="21"/>
        </w:rPr>
        <w:t>G、检查消防栓管网的减压阀及其过滤器是否正常，每季定期清洗过滤器；</w:t>
      </w:r>
    </w:p>
    <w:p>
      <w:pPr>
        <w:spacing w:line="324" w:lineRule="auto"/>
        <w:ind w:firstLine="420"/>
        <w:rPr>
          <w:szCs w:val="21"/>
        </w:rPr>
      </w:pPr>
      <w:r>
        <w:rPr>
          <w:rFonts w:hint="eastAsia"/>
          <w:szCs w:val="21"/>
        </w:rPr>
        <w:t>H、定期检查阀门是否开关灵活、有效，阀门关闭不严或不能灵活使用的应及时修理，对阀门的接触面发现有缺陷的，需进行研磨工作，无法修复的予以更换。定期对阀门转动部位螺栓加黄油。</w:t>
      </w:r>
    </w:p>
    <w:p>
      <w:pPr>
        <w:spacing w:line="324" w:lineRule="auto"/>
        <w:ind w:firstLine="420"/>
        <w:rPr>
          <w:szCs w:val="21"/>
        </w:rPr>
      </w:pPr>
      <w:r>
        <w:rPr>
          <w:rFonts w:hint="eastAsia"/>
          <w:szCs w:val="21"/>
        </w:rPr>
        <w:t>I、检查止回阀启闭是否灵活、有效；</w:t>
      </w:r>
    </w:p>
    <w:p>
      <w:pPr>
        <w:spacing w:line="324" w:lineRule="auto"/>
        <w:ind w:firstLine="420"/>
        <w:rPr>
          <w:szCs w:val="21"/>
        </w:rPr>
      </w:pPr>
      <w:r>
        <w:rPr>
          <w:rFonts w:hint="eastAsia"/>
          <w:szCs w:val="21"/>
        </w:rPr>
        <w:t>J、对消防栓系统管网进行全面检查，对腐蚀严重、油漆脱落的管道及时向招标方提出合理建议。</w:t>
      </w:r>
    </w:p>
    <w:p>
      <w:pPr>
        <w:spacing w:line="324" w:lineRule="auto"/>
        <w:ind w:firstLine="420"/>
        <w:rPr>
          <w:szCs w:val="21"/>
        </w:rPr>
      </w:pPr>
      <w:r>
        <w:rPr>
          <w:rFonts w:hint="eastAsia"/>
          <w:szCs w:val="21"/>
        </w:rPr>
        <w:t>2．自动喷水灭火系统的维护保养</w:t>
      </w:r>
    </w:p>
    <w:p>
      <w:pPr>
        <w:spacing w:line="324" w:lineRule="auto"/>
        <w:ind w:firstLine="420"/>
        <w:rPr>
          <w:szCs w:val="21"/>
        </w:rPr>
      </w:pPr>
      <w:r>
        <w:rPr>
          <w:rFonts w:hint="eastAsia"/>
          <w:szCs w:val="21"/>
        </w:rPr>
        <w:t>A、分批次试验楼层喷淋管网末端试验装置是否正常（水压、流量是否达到要求）；检查一次楼层喷淋末端静压是否达到规范要求；</w:t>
      </w:r>
    </w:p>
    <w:p>
      <w:pPr>
        <w:spacing w:line="324" w:lineRule="auto"/>
        <w:ind w:firstLine="420"/>
        <w:rPr>
          <w:szCs w:val="21"/>
        </w:rPr>
      </w:pPr>
      <w:r>
        <w:rPr>
          <w:rFonts w:hint="eastAsia"/>
          <w:szCs w:val="21"/>
        </w:rPr>
        <w:t>B、检查试验水流指示器动作是否灵敏，报警是否及时准确，复位是否正常，消防中心是否有显示等；</w:t>
      </w:r>
    </w:p>
    <w:p>
      <w:pPr>
        <w:spacing w:line="324" w:lineRule="auto"/>
        <w:ind w:firstLine="420"/>
        <w:rPr>
          <w:szCs w:val="21"/>
        </w:rPr>
      </w:pPr>
      <w:r>
        <w:rPr>
          <w:rFonts w:hint="eastAsia"/>
          <w:szCs w:val="21"/>
        </w:rPr>
        <w:t>C、检查喷淋头、管道是否完好，有无破裂隐患；</w:t>
      </w:r>
    </w:p>
    <w:p>
      <w:pPr>
        <w:spacing w:line="324" w:lineRule="auto"/>
        <w:ind w:firstLine="420"/>
        <w:rPr>
          <w:szCs w:val="21"/>
        </w:rPr>
      </w:pPr>
      <w:r>
        <w:rPr>
          <w:rFonts w:hint="eastAsia"/>
          <w:szCs w:val="21"/>
        </w:rPr>
        <w:t>D、检查各个阀门是否处于正常开启状态，试验楼层信号阀门开关是否灵活，消防中心是否有关闭信号显示；</w:t>
      </w:r>
    </w:p>
    <w:p>
      <w:pPr>
        <w:spacing w:line="324" w:lineRule="auto"/>
        <w:ind w:firstLine="420"/>
        <w:rPr>
          <w:szCs w:val="21"/>
        </w:rPr>
      </w:pPr>
      <w:r>
        <w:rPr>
          <w:rFonts w:hint="eastAsia"/>
          <w:szCs w:val="21"/>
        </w:rPr>
        <w:t>E、检查保养喷淋系统的水泵接合器，确保完整、不渗漏；</w:t>
      </w:r>
    </w:p>
    <w:p>
      <w:pPr>
        <w:spacing w:line="324" w:lineRule="auto"/>
        <w:ind w:firstLine="420"/>
        <w:rPr>
          <w:szCs w:val="21"/>
        </w:rPr>
      </w:pPr>
      <w:r>
        <w:rPr>
          <w:rFonts w:hint="eastAsia"/>
          <w:szCs w:val="21"/>
        </w:rPr>
        <w:t>F、试验安全泄压阀是否灵敏、可靠，检查水锤吸纳器工作是否有效；</w:t>
      </w:r>
    </w:p>
    <w:p>
      <w:pPr>
        <w:spacing w:line="324" w:lineRule="auto"/>
        <w:ind w:firstLine="420"/>
        <w:rPr>
          <w:szCs w:val="21"/>
        </w:rPr>
      </w:pPr>
      <w:r>
        <w:rPr>
          <w:rFonts w:hint="eastAsia"/>
          <w:szCs w:val="21"/>
        </w:rPr>
        <w:t>G、检查喷淋立管的自动排气阀的工作状态是否正常；</w:t>
      </w:r>
    </w:p>
    <w:p>
      <w:pPr>
        <w:spacing w:line="324" w:lineRule="auto"/>
        <w:ind w:firstLine="420"/>
        <w:rPr>
          <w:szCs w:val="21"/>
        </w:rPr>
      </w:pPr>
      <w:r>
        <w:rPr>
          <w:rFonts w:hint="eastAsia"/>
          <w:szCs w:val="21"/>
        </w:rPr>
        <w:t>H、检查试验湿式报警阀、水力警铃动作是否灵敏，喷淋泵是否启动，消防中心显示是否准确；</w:t>
      </w:r>
    </w:p>
    <w:p>
      <w:pPr>
        <w:spacing w:line="324" w:lineRule="auto"/>
        <w:ind w:firstLine="420"/>
        <w:rPr>
          <w:szCs w:val="21"/>
        </w:rPr>
      </w:pPr>
      <w:r>
        <w:rPr>
          <w:rFonts w:hint="eastAsia"/>
          <w:szCs w:val="21"/>
        </w:rPr>
        <w:t>I、检查阀门是否开关灵活、有效，阀门关闭不严或不能灵活使用的应及时修理，对阀门的接触面发现有缺陷的，需进行研磨工作，无法修复的予以更换。定期对阀门转动部位螺栓加黄油；</w:t>
      </w:r>
    </w:p>
    <w:p>
      <w:pPr>
        <w:spacing w:line="324" w:lineRule="auto"/>
        <w:ind w:firstLine="420"/>
        <w:rPr>
          <w:szCs w:val="21"/>
        </w:rPr>
      </w:pPr>
      <w:r>
        <w:rPr>
          <w:rFonts w:hint="eastAsia"/>
          <w:szCs w:val="21"/>
        </w:rPr>
        <w:t>J、检查止回阀启闭是否灵活、有效；</w:t>
      </w:r>
    </w:p>
    <w:p>
      <w:pPr>
        <w:spacing w:line="324" w:lineRule="auto"/>
        <w:ind w:firstLine="420"/>
        <w:rPr>
          <w:szCs w:val="21"/>
        </w:rPr>
      </w:pPr>
      <w:r>
        <w:rPr>
          <w:rFonts w:hint="eastAsia"/>
          <w:szCs w:val="21"/>
        </w:rPr>
        <w:t>3．火灾自动报警系统的维护保养</w:t>
      </w:r>
    </w:p>
    <w:p>
      <w:pPr>
        <w:spacing w:line="324" w:lineRule="auto"/>
        <w:ind w:firstLine="420"/>
        <w:rPr>
          <w:szCs w:val="21"/>
        </w:rPr>
      </w:pPr>
      <w:r>
        <w:rPr>
          <w:rFonts w:hint="eastAsia"/>
          <w:szCs w:val="21"/>
        </w:rPr>
        <w:t>A、用专用检测仪器分期分批全面测试探测器的动作及确认灯的显示，试验烟、温感探测器动作是否灵敏；</w:t>
      </w:r>
    </w:p>
    <w:p>
      <w:pPr>
        <w:spacing w:line="324" w:lineRule="auto"/>
        <w:ind w:firstLine="420"/>
        <w:rPr>
          <w:szCs w:val="21"/>
        </w:rPr>
      </w:pPr>
      <w:r>
        <w:rPr>
          <w:rFonts w:hint="eastAsia"/>
          <w:szCs w:val="21"/>
        </w:rPr>
        <w:t>B、检查试验主控屏是否正常，有报警信号源时是否正确显示某区探测器动作，警铃蜂鸣是否鸣响；</w:t>
      </w:r>
    </w:p>
    <w:p>
      <w:pPr>
        <w:spacing w:line="324" w:lineRule="auto"/>
        <w:ind w:firstLine="420"/>
        <w:rPr>
          <w:szCs w:val="21"/>
        </w:rPr>
      </w:pPr>
      <w:r>
        <w:rPr>
          <w:rFonts w:hint="eastAsia"/>
          <w:szCs w:val="21"/>
        </w:rPr>
        <w:t>C、试验手报按钮报警，本层及其上、下各一层警铃是否动作鸣响；</w:t>
      </w:r>
    </w:p>
    <w:p>
      <w:pPr>
        <w:spacing w:line="324" w:lineRule="auto"/>
        <w:ind w:firstLine="420"/>
        <w:rPr>
          <w:szCs w:val="21"/>
        </w:rPr>
      </w:pPr>
      <w:r>
        <w:rPr>
          <w:rFonts w:hint="eastAsia"/>
          <w:szCs w:val="21"/>
        </w:rPr>
        <w:t>D、检查主控屏和联动控制屏的各个显示功能是否正常，并全面清洁、保养；</w:t>
      </w:r>
    </w:p>
    <w:p>
      <w:pPr>
        <w:spacing w:line="324" w:lineRule="auto"/>
        <w:ind w:firstLine="420"/>
        <w:rPr>
          <w:szCs w:val="21"/>
        </w:rPr>
      </w:pPr>
      <w:r>
        <w:rPr>
          <w:rFonts w:hint="eastAsia"/>
          <w:szCs w:val="21"/>
        </w:rPr>
        <w:t>E、检查各个界面（模块）和主机系统外围设备的反馈信号是否正常，每季定期测试界面（模块）输出电压是否正常，确保正常运行；</w:t>
      </w:r>
    </w:p>
    <w:p>
      <w:pPr>
        <w:spacing w:line="324" w:lineRule="auto"/>
        <w:ind w:firstLine="420"/>
        <w:rPr>
          <w:szCs w:val="21"/>
        </w:rPr>
      </w:pPr>
      <w:r>
        <w:rPr>
          <w:rFonts w:hint="eastAsia"/>
          <w:szCs w:val="21"/>
        </w:rPr>
        <w:t>F、检查工作电池组、充电器的工作状态以及检查备用电池的电压及其他指标参数是否符合要求；</w:t>
      </w:r>
    </w:p>
    <w:p>
      <w:pPr>
        <w:spacing w:line="324" w:lineRule="auto"/>
        <w:ind w:firstLine="420"/>
        <w:rPr>
          <w:szCs w:val="21"/>
        </w:rPr>
      </w:pPr>
      <w:r>
        <w:rPr>
          <w:rFonts w:hint="eastAsia"/>
          <w:szCs w:val="21"/>
        </w:rPr>
        <w:t>G、检查系统设备所有接线端子是否松动、破损和脱落。</w:t>
      </w:r>
    </w:p>
    <w:p>
      <w:pPr>
        <w:spacing w:line="324" w:lineRule="auto"/>
        <w:ind w:firstLine="420"/>
        <w:rPr>
          <w:szCs w:val="21"/>
        </w:rPr>
      </w:pPr>
      <w:r>
        <w:rPr>
          <w:rFonts w:hint="eastAsia"/>
          <w:szCs w:val="21"/>
        </w:rPr>
        <w:t>H、对备用电源进行1～2次充放电试验；1～3次主和备用电源自动切换试验。</w:t>
      </w:r>
    </w:p>
    <w:p>
      <w:pPr>
        <w:spacing w:line="324" w:lineRule="auto"/>
        <w:ind w:firstLine="420"/>
        <w:rPr>
          <w:szCs w:val="21"/>
        </w:rPr>
      </w:pPr>
      <w:r>
        <w:rPr>
          <w:rFonts w:hint="eastAsia"/>
          <w:szCs w:val="21"/>
        </w:rPr>
        <w:t>I、对感烟、感温探测器进行清洁，必要时进行清洗，确保报警灵敏；</w:t>
      </w:r>
    </w:p>
    <w:p>
      <w:pPr>
        <w:spacing w:line="324" w:lineRule="auto"/>
        <w:ind w:firstLine="420"/>
        <w:rPr>
          <w:szCs w:val="21"/>
        </w:rPr>
      </w:pPr>
      <w:r>
        <w:rPr>
          <w:rFonts w:hint="eastAsia"/>
          <w:szCs w:val="21"/>
        </w:rPr>
        <w:t>J、检测报警主机控制程序有否乱码，确保主机功能正常；</w:t>
      </w:r>
    </w:p>
    <w:p>
      <w:pPr>
        <w:spacing w:line="324" w:lineRule="auto"/>
        <w:ind w:firstLine="420"/>
        <w:rPr>
          <w:szCs w:val="21"/>
        </w:rPr>
      </w:pPr>
      <w:r>
        <w:rPr>
          <w:rFonts w:hint="eastAsia"/>
          <w:szCs w:val="21"/>
        </w:rPr>
        <w:t>K、测试报警主机系统的接地电阻是否满足要求，并做好记录。</w:t>
      </w:r>
    </w:p>
    <w:p>
      <w:pPr>
        <w:spacing w:line="324" w:lineRule="auto"/>
        <w:ind w:firstLine="420"/>
        <w:rPr>
          <w:szCs w:val="21"/>
        </w:rPr>
      </w:pPr>
      <w:r>
        <w:rPr>
          <w:rFonts w:hint="eastAsia"/>
          <w:szCs w:val="21"/>
        </w:rPr>
        <w:t>4 .气体灭火系统的维护保养</w:t>
      </w:r>
    </w:p>
    <w:p>
      <w:pPr>
        <w:spacing w:line="324" w:lineRule="auto"/>
        <w:ind w:firstLine="420"/>
        <w:rPr>
          <w:szCs w:val="21"/>
        </w:rPr>
      </w:pPr>
      <w:r>
        <w:rPr>
          <w:rFonts w:hint="eastAsia"/>
          <w:szCs w:val="21"/>
        </w:rPr>
        <w:t>A、检查保养各套气体灭火控制器，测试其功能是否正常；</w:t>
      </w:r>
    </w:p>
    <w:p>
      <w:pPr>
        <w:spacing w:line="324" w:lineRule="auto"/>
        <w:ind w:firstLine="420"/>
        <w:rPr>
          <w:szCs w:val="21"/>
        </w:rPr>
      </w:pPr>
      <w:r>
        <w:rPr>
          <w:rFonts w:hint="eastAsia"/>
          <w:szCs w:val="21"/>
        </w:rPr>
        <w:t>B、检查启动瓶和药剂贮瓶的压力是否符合出厂充装压力和设计要求（压力表指针是否在绿区），有无泄漏现象；</w:t>
      </w:r>
    </w:p>
    <w:p>
      <w:pPr>
        <w:spacing w:line="324" w:lineRule="auto"/>
        <w:ind w:firstLine="420"/>
        <w:rPr>
          <w:szCs w:val="21"/>
        </w:rPr>
      </w:pPr>
      <w:r>
        <w:rPr>
          <w:rFonts w:hint="eastAsia"/>
          <w:szCs w:val="21"/>
        </w:rPr>
        <w:t>C、检查试验手动、自动紧急启、停放气装置功能是否正常；</w:t>
      </w:r>
    </w:p>
    <w:p>
      <w:pPr>
        <w:spacing w:line="324" w:lineRule="auto"/>
        <w:ind w:firstLine="420"/>
        <w:rPr>
          <w:szCs w:val="21"/>
        </w:rPr>
      </w:pPr>
      <w:r>
        <w:rPr>
          <w:rFonts w:hint="eastAsia"/>
          <w:szCs w:val="21"/>
        </w:rPr>
        <w:t>D、每年至少一次对电磁阀、瓶头阀解体清洗，加硅油润滑；</w:t>
      </w:r>
    </w:p>
    <w:p>
      <w:pPr>
        <w:spacing w:line="324" w:lineRule="auto"/>
        <w:ind w:firstLine="420"/>
        <w:rPr>
          <w:szCs w:val="21"/>
        </w:rPr>
      </w:pPr>
      <w:r>
        <w:rPr>
          <w:rFonts w:hint="eastAsia"/>
          <w:szCs w:val="21"/>
        </w:rPr>
        <w:t>E、模拟自动报警系统中的烟、温感探测器同时动作，通风空调是否停止，防火阀是否关闭，检查气瓶的电磁阀是否在规定的时间内动作，控制屏是否有放气信号，消防中心是否有信号，警铃、蜂鸣器是否动作；</w:t>
      </w:r>
    </w:p>
    <w:p>
      <w:pPr>
        <w:spacing w:line="324" w:lineRule="auto"/>
        <w:ind w:firstLine="420"/>
        <w:rPr>
          <w:szCs w:val="21"/>
        </w:rPr>
      </w:pPr>
      <w:r>
        <w:rPr>
          <w:rFonts w:hint="eastAsia"/>
          <w:szCs w:val="21"/>
        </w:rPr>
        <w:t>F、检查气体灭火系统启动瓶、药剂瓶有无变形，有无腐蚀、脱漆；</w:t>
      </w:r>
    </w:p>
    <w:p>
      <w:pPr>
        <w:spacing w:line="324" w:lineRule="auto"/>
        <w:ind w:firstLine="420"/>
        <w:rPr>
          <w:szCs w:val="21"/>
        </w:rPr>
      </w:pPr>
      <w:r>
        <w:rPr>
          <w:rFonts w:hint="eastAsia"/>
          <w:szCs w:val="21"/>
        </w:rPr>
        <w:t>G、检查控制气管有无变形或松脱，检查高压软管有无变形、生锈或老化；</w:t>
      </w:r>
    </w:p>
    <w:p>
      <w:pPr>
        <w:spacing w:line="324" w:lineRule="auto"/>
        <w:ind w:firstLine="420"/>
        <w:rPr>
          <w:szCs w:val="21"/>
        </w:rPr>
      </w:pPr>
      <w:r>
        <w:rPr>
          <w:rFonts w:hint="eastAsia"/>
          <w:szCs w:val="21"/>
        </w:rPr>
        <w:t>H、检查气体保护区域（防护区）内的围护结构、开口等是否符合要求。</w:t>
      </w:r>
    </w:p>
    <w:p>
      <w:pPr>
        <w:spacing w:line="324" w:lineRule="auto"/>
        <w:ind w:firstLine="420"/>
        <w:rPr>
          <w:szCs w:val="21"/>
        </w:rPr>
      </w:pPr>
      <w:r>
        <w:rPr>
          <w:rFonts w:hint="eastAsia"/>
          <w:szCs w:val="21"/>
        </w:rPr>
        <w:t>5．通讯系统的维护保养</w:t>
      </w:r>
    </w:p>
    <w:p>
      <w:pPr>
        <w:spacing w:line="324" w:lineRule="auto"/>
        <w:ind w:firstLine="420"/>
        <w:rPr>
          <w:szCs w:val="21"/>
        </w:rPr>
      </w:pPr>
      <w:r>
        <w:rPr>
          <w:rFonts w:hint="eastAsia"/>
          <w:szCs w:val="21"/>
        </w:rPr>
        <w:t>A、检查消防专用电话或插孔是否完好；</w:t>
      </w:r>
    </w:p>
    <w:p>
      <w:pPr>
        <w:spacing w:line="324" w:lineRule="auto"/>
        <w:ind w:firstLine="420"/>
        <w:rPr>
          <w:szCs w:val="21"/>
        </w:rPr>
      </w:pPr>
      <w:r>
        <w:rPr>
          <w:rFonts w:hint="eastAsia"/>
          <w:szCs w:val="21"/>
        </w:rPr>
        <w:t>B、试验每个电话或插孔的通讯是否畅通，语音是否清晰、响亮，消防中心电话主机显示部位是否正确。</w:t>
      </w:r>
    </w:p>
    <w:p>
      <w:pPr>
        <w:spacing w:line="324" w:lineRule="auto"/>
        <w:ind w:firstLine="420"/>
        <w:rPr>
          <w:szCs w:val="21"/>
        </w:rPr>
      </w:pPr>
      <w:r>
        <w:rPr>
          <w:rFonts w:hint="eastAsia"/>
          <w:szCs w:val="21"/>
        </w:rPr>
        <w:t>6．消防广播的维护保养</w:t>
      </w:r>
    </w:p>
    <w:p>
      <w:pPr>
        <w:spacing w:line="324" w:lineRule="auto"/>
        <w:ind w:firstLine="420"/>
        <w:rPr>
          <w:szCs w:val="21"/>
        </w:rPr>
      </w:pPr>
      <w:r>
        <w:rPr>
          <w:rFonts w:hint="eastAsia"/>
          <w:szCs w:val="21"/>
        </w:rPr>
        <w:t>A、试验火灾应急广播设备的功能是否正常。在试验中不论扬声器当时处于何种工作状态，都应能紧急切换到火灾事故广播上，音响清晰；</w:t>
      </w:r>
    </w:p>
    <w:p>
      <w:pPr>
        <w:spacing w:line="324" w:lineRule="auto"/>
        <w:ind w:firstLine="420"/>
        <w:rPr>
          <w:szCs w:val="21"/>
        </w:rPr>
      </w:pPr>
      <w:r>
        <w:rPr>
          <w:rFonts w:hint="eastAsia"/>
          <w:szCs w:val="21"/>
        </w:rPr>
        <w:t>B、检查保养楼层消防扬声器并测试其声响是否响亮、清晰；</w:t>
      </w:r>
    </w:p>
    <w:p>
      <w:pPr>
        <w:spacing w:line="324" w:lineRule="auto"/>
        <w:ind w:firstLine="420"/>
        <w:rPr>
          <w:szCs w:val="21"/>
        </w:rPr>
      </w:pPr>
      <w:r>
        <w:rPr>
          <w:rFonts w:hint="eastAsia"/>
          <w:szCs w:val="21"/>
        </w:rPr>
        <w:t>C、定期对消防广播主机进行一次检测维护保养；</w:t>
      </w:r>
    </w:p>
    <w:p>
      <w:pPr>
        <w:spacing w:line="324" w:lineRule="auto"/>
        <w:ind w:firstLine="420"/>
        <w:rPr>
          <w:szCs w:val="21"/>
        </w:rPr>
      </w:pPr>
      <w:r>
        <w:rPr>
          <w:rFonts w:hint="eastAsia"/>
          <w:szCs w:val="21"/>
        </w:rPr>
        <w:t>D、试验消防广播的选层广播功能是否正常。</w:t>
      </w:r>
    </w:p>
    <w:p>
      <w:pPr>
        <w:spacing w:line="324" w:lineRule="auto"/>
        <w:ind w:firstLine="420"/>
        <w:rPr>
          <w:szCs w:val="21"/>
        </w:rPr>
      </w:pPr>
      <w:r>
        <w:rPr>
          <w:rFonts w:hint="eastAsia"/>
          <w:szCs w:val="21"/>
        </w:rPr>
        <w:t>7． 消防联动系统的维护保养</w:t>
      </w:r>
    </w:p>
    <w:p>
      <w:pPr>
        <w:spacing w:line="324" w:lineRule="auto"/>
        <w:ind w:firstLine="420"/>
        <w:rPr>
          <w:szCs w:val="21"/>
        </w:rPr>
      </w:pPr>
      <w:r>
        <w:rPr>
          <w:rFonts w:hint="eastAsia"/>
          <w:szCs w:val="21"/>
        </w:rPr>
        <w:t>A、联动机构消防中心相应控制屏的讯号是否正常；</w:t>
      </w:r>
    </w:p>
    <w:p>
      <w:pPr>
        <w:spacing w:line="324" w:lineRule="auto"/>
        <w:ind w:firstLine="420"/>
        <w:rPr>
          <w:szCs w:val="21"/>
        </w:rPr>
      </w:pPr>
      <w:r>
        <w:rPr>
          <w:rFonts w:hint="eastAsia"/>
          <w:szCs w:val="21"/>
        </w:rPr>
        <w:t>B、检查试验联动警铃的功能是否正常；</w:t>
      </w:r>
    </w:p>
    <w:p>
      <w:pPr>
        <w:spacing w:line="324" w:lineRule="auto"/>
        <w:ind w:firstLine="420"/>
        <w:rPr>
          <w:szCs w:val="21"/>
        </w:rPr>
      </w:pPr>
      <w:r>
        <w:rPr>
          <w:rFonts w:hint="eastAsia"/>
          <w:szCs w:val="21"/>
        </w:rPr>
        <w:t>C、检查试验联动广播的功能是否正常；</w:t>
      </w:r>
    </w:p>
    <w:p>
      <w:pPr>
        <w:spacing w:line="324" w:lineRule="auto"/>
        <w:ind w:firstLine="420"/>
        <w:rPr>
          <w:szCs w:val="21"/>
        </w:rPr>
      </w:pPr>
      <w:r>
        <w:rPr>
          <w:rFonts w:hint="eastAsia"/>
          <w:szCs w:val="21"/>
        </w:rPr>
        <w:t>8．水泵、恒压泵、控制柜、联动柜的维护保养</w:t>
      </w:r>
    </w:p>
    <w:p>
      <w:pPr>
        <w:spacing w:line="324" w:lineRule="auto"/>
        <w:ind w:firstLine="420"/>
        <w:rPr>
          <w:szCs w:val="21"/>
        </w:rPr>
      </w:pPr>
      <w:r>
        <w:rPr>
          <w:rFonts w:hint="eastAsia"/>
          <w:szCs w:val="21"/>
        </w:rPr>
        <w:t>A、检查试验自动和手动启动消防水泵，观察流量、压力、运行电流是否正常，并做好记录存档；</w:t>
      </w:r>
    </w:p>
    <w:p>
      <w:pPr>
        <w:spacing w:line="324" w:lineRule="auto"/>
        <w:ind w:firstLine="420"/>
        <w:rPr>
          <w:szCs w:val="21"/>
        </w:rPr>
      </w:pPr>
      <w:r>
        <w:rPr>
          <w:rFonts w:hint="eastAsia"/>
          <w:szCs w:val="21"/>
        </w:rPr>
        <w:t>B、检查各控制柜到消防中心信号是否正常，控制柜各指示灯各功能是否正常；</w:t>
      </w:r>
    </w:p>
    <w:p>
      <w:pPr>
        <w:spacing w:line="324" w:lineRule="auto"/>
        <w:ind w:firstLine="420"/>
        <w:rPr>
          <w:szCs w:val="21"/>
        </w:rPr>
      </w:pPr>
      <w:r>
        <w:rPr>
          <w:rFonts w:hint="eastAsia"/>
          <w:szCs w:val="21"/>
        </w:rPr>
        <w:t>C、定期检查联动柜内部电路，测试其功能是否正常，并进行吸尘、紧固接线的保养工作；</w:t>
      </w:r>
    </w:p>
    <w:p>
      <w:pPr>
        <w:spacing w:line="324" w:lineRule="auto"/>
        <w:ind w:firstLine="420"/>
        <w:rPr>
          <w:szCs w:val="21"/>
        </w:rPr>
      </w:pPr>
      <w:r>
        <w:rPr>
          <w:rFonts w:hint="eastAsia"/>
          <w:szCs w:val="21"/>
        </w:rPr>
        <w:t>D、定期检查消防水泵主备电源自动切换装置是否正常。打开水泵出水管上的放水试验阀，用主电源启动消防水泵，消防水泵启动应正常；关掉主电源，主、备电源切换正常，试验1~3次；</w:t>
      </w:r>
    </w:p>
    <w:p>
      <w:pPr>
        <w:spacing w:line="324" w:lineRule="auto"/>
        <w:ind w:firstLine="420"/>
        <w:rPr>
          <w:szCs w:val="21"/>
        </w:rPr>
      </w:pPr>
      <w:r>
        <w:rPr>
          <w:rFonts w:hint="eastAsia"/>
          <w:szCs w:val="21"/>
        </w:rPr>
        <w:t>E、定期测试水泵的相间及对地电阻是否符合要求，并做好记录；</w:t>
      </w:r>
    </w:p>
    <w:p>
      <w:pPr>
        <w:spacing w:line="324" w:lineRule="auto"/>
        <w:ind w:firstLine="420"/>
        <w:rPr>
          <w:szCs w:val="21"/>
        </w:rPr>
      </w:pPr>
      <w:r>
        <w:rPr>
          <w:rFonts w:hint="eastAsia"/>
          <w:szCs w:val="21"/>
        </w:rPr>
        <w:t>F、定期测试消防水泵的故障自投功能是否正常；</w:t>
      </w:r>
    </w:p>
    <w:p>
      <w:pPr>
        <w:spacing w:line="324" w:lineRule="auto"/>
        <w:ind w:firstLine="420"/>
        <w:rPr>
          <w:szCs w:val="21"/>
        </w:rPr>
      </w:pPr>
      <w:r>
        <w:rPr>
          <w:rFonts w:hint="eastAsia"/>
          <w:szCs w:val="21"/>
        </w:rPr>
        <w:t>G、定期添加或更换水泵的润滑油。</w:t>
      </w:r>
    </w:p>
    <w:p>
      <w:pPr>
        <w:spacing w:line="324" w:lineRule="auto"/>
        <w:ind w:firstLine="420"/>
        <w:rPr>
          <w:szCs w:val="21"/>
        </w:rPr>
      </w:pPr>
      <w:r>
        <w:rPr>
          <w:rFonts w:hint="eastAsia"/>
          <w:szCs w:val="21"/>
        </w:rPr>
        <w:t>9． 应急疏散系统的维护保养</w:t>
      </w:r>
    </w:p>
    <w:p>
      <w:pPr>
        <w:spacing w:line="324" w:lineRule="auto"/>
        <w:ind w:firstLine="420"/>
        <w:rPr>
          <w:szCs w:val="21"/>
        </w:rPr>
      </w:pPr>
      <w:r>
        <w:rPr>
          <w:rFonts w:hint="eastAsia"/>
          <w:szCs w:val="21"/>
        </w:rPr>
        <w:t>A、检查防火门的开启力度是否适中，闭门器有无漏油或松动；</w:t>
      </w:r>
    </w:p>
    <w:p>
      <w:pPr>
        <w:spacing w:line="324" w:lineRule="auto"/>
        <w:ind w:firstLine="420"/>
        <w:rPr>
          <w:szCs w:val="21"/>
        </w:rPr>
      </w:pPr>
      <w:r>
        <w:rPr>
          <w:rFonts w:hint="eastAsia"/>
          <w:szCs w:val="21"/>
        </w:rPr>
        <w:t>B、检查双扇防火门的关闭顺序是否正确；</w:t>
      </w:r>
    </w:p>
    <w:p>
      <w:pPr>
        <w:spacing w:line="324" w:lineRule="auto"/>
        <w:ind w:firstLine="420"/>
        <w:rPr>
          <w:szCs w:val="21"/>
        </w:rPr>
      </w:pPr>
      <w:r>
        <w:rPr>
          <w:rFonts w:hint="eastAsia"/>
          <w:szCs w:val="21"/>
        </w:rPr>
        <w:t>C、检查防火门的密封性是否良好，钢质防火门有无生锈、脱漆现象；</w:t>
      </w:r>
    </w:p>
    <w:p>
      <w:pPr>
        <w:spacing w:line="324" w:lineRule="auto"/>
        <w:ind w:firstLine="420"/>
        <w:rPr>
          <w:szCs w:val="21"/>
        </w:rPr>
      </w:pPr>
      <w:r>
        <w:rPr>
          <w:rFonts w:hint="eastAsia"/>
          <w:szCs w:val="21"/>
        </w:rPr>
        <w:t>D、检查应急灯、出口指示灯、疏散指示灯的外观是否完好，灯泡（管）有无烧毁，充放电试验是否正常；</w:t>
      </w:r>
    </w:p>
    <w:p>
      <w:pPr>
        <w:spacing w:line="324" w:lineRule="auto"/>
        <w:ind w:firstLine="420"/>
        <w:rPr>
          <w:szCs w:val="21"/>
        </w:rPr>
      </w:pPr>
      <w:r>
        <w:rPr>
          <w:rFonts w:hint="eastAsia"/>
          <w:szCs w:val="21"/>
        </w:rPr>
        <w:t>E、定期测试应急灯、出口及疏散指示灯的蓄电量是否达到规范要求时间。</w:t>
      </w:r>
    </w:p>
    <w:p>
      <w:pPr>
        <w:spacing w:line="324" w:lineRule="auto"/>
        <w:ind w:firstLine="420"/>
        <w:rPr>
          <w:szCs w:val="21"/>
        </w:rPr>
      </w:pPr>
      <w:r>
        <w:rPr>
          <w:rFonts w:hint="eastAsia"/>
          <w:szCs w:val="21"/>
        </w:rPr>
        <w:t>10．移动式灭火器的维护保养</w:t>
      </w:r>
    </w:p>
    <w:p>
      <w:pPr>
        <w:spacing w:line="324" w:lineRule="auto"/>
        <w:ind w:firstLine="420"/>
        <w:rPr>
          <w:szCs w:val="21"/>
        </w:rPr>
      </w:pPr>
      <w:r>
        <w:rPr>
          <w:rFonts w:hint="eastAsia"/>
          <w:szCs w:val="21"/>
        </w:rPr>
        <w:t>A、检查移动式灭火器（手提式、推车式）压力指针是否在绿区；</w:t>
      </w:r>
    </w:p>
    <w:p>
      <w:pPr>
        <w:spacing w:line="324" w:lineRule="auto"/>
        <w:ind w:firstLine="420"/>
        <w:rPr>
          <w:szCs w:val="21"/>
        </w:rPr>
      </w:pPr>
      <w:r>
        <w:rPr>
          <w:rFonts w:hint="eastAsia"/>
          <w:szCs w:val="21"/>
        </w:rPr>
        <w:t>B、检查移动式灭火器外观是否完好，有无变形、脱漆或配件缺失；</w:t>
      </w:r>
    </w:p>
    <w:p>
      <w:pPr>
        <w:spacing w:line="324" w:lineRule="auto"/>
        <w:ind w:firstLine="420"/>
        <w:rPr>
          <w:szCs w:val="21"/>
        </w:rPr>
      </w:pPr>
      <w:r>
        <w:rPr>
          <w:rFonts w:hint="eastAsia"/>
          <w:szCs w:val="21"/>
        </w:rPr>
        <w:t>C、检查移动式灭火器药剂贮瓶有无过期失效；</w:t>
      </w:r>
    </w:p>
    <w:p>
      <w:pPr>
        <w:spacing w:line="324" w:lineRule="auto"/>
        <w:ind w:firstLine="420"/>
        <w:rPr>
          <w:szCs w:val="21"/>
        </w:rPr>
      </w:pPr>
      <w:r>
        <w:rPr>
          <w:rFonts w:hint="eastAsia"/>
          <w:szCs w:val="21"/>
        </w:rPr>
        <w:t>11．消防箱，灭火器、消火栓箱，每月要清洁，确保无积尘，并填写保养卡，每个消防</w:t>
      </w:r>
    </w:p>
    <w:p>
      <w:pPr>
        <w:spacing w:line="324" w:lineRule="auto"/>
        <w:ind w:firstLine="420"/>
      </w:pPr>
      <w:r>
        <w:rPr>
          <w:rFonts w:hint="eastAsia"/>
          <w:szCs w:val="21"/>
        </w:rPr>
        <w:t>箱、消火栓箱都要挂上保养卡以及更换封条。</w:t>
      </w:r>
    </w:p>
    <w:p>
      <w:pPr>
        <w:pStyle w:val="3"/>
        <w:numPr>
          <w:ilvl w:val="0"/>
          <w:numId w:val="1"/>
        </w:numPr>
        <w:spacing w:before="156" w:beforeLines="50" w:after="156" w:afterLines="50"/>
        <w:rPr>
          <w:rFonts w:cs="宋体"/>
          <w:szCs w:val="28"/>
        </w:rPr>
      </w:pPr>
      <w:r>
        <w:rPr>
          <w:rFonts w:hint="eastAsia" w:cs="宋体"/>
          <w:szCs w:val="28"/>
        </w:rPr>
        <w:t>商务需求</w:t>
      </w:r>
    </w:p>
    <w:tbl>
      <w:tblPr>
        <w:tblStyle w:val="17"/>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Merge w:val="restart"/>
            <w:vAlign w:val="center"/>
          </w:tcPr>
          <w:p>
            <w:pPr>
              <w:jc w:val="center"/>
              <w:rPr>
                <w:rFonts w:ascii="宋体" w:hAnsi="宋体" w:cs="宋体"/>
                <w:b/>
              </w:rPr>
            </w:pPr>
            <w:r>
              <w:rPr>
                <w:rFonts w:hint="eastAsia" w:ascii="宋体" w:hAnsi="宋体" w:cs="宋体"/>
                <w:b/>
              </w:rPr>
              <w:t>1</w:t>
            </w:r>
          </w:p>
        </w:tc>
        <w:tc>
          <w:tcPr>
            <w:tcW w:w="1559" w:type="dxa"/>
            <w:vMerge w:val="restart"/>
            <w:vAlign w:val="center"/>
          </w:tcPr>
          <w:p>
            <w:pPr>
              <w:rPr>
                <w:rFonts w:ascii="宋体" w:hAnsi="宋体" w:cs="宋体"/>
              </w:rPr>
            </w:pPr>
            <w:r>
              <w:rPr>
                <w:rFonts w:ascii="宋体" w:hAnsi="宋体" w:cs="宋体"/>
              </w:rPr>
              <w:t>关于消防</w:t>
            </w:r>
          </w:p>
          <w:p>
            <w:pPr>
              <w:rPr>
                <w:rFonts w:ascii="宋体" w:hAnsi="宋体" w:cs="宋体"/>
              </w:rPr>
            </w:pPr>
            <w:r>
              <w:rPr>
                <w:rFonts w:ascii="宋体" w:hAnsi="宋体" w:cs="宋体"/>
              </w:rPr>
              <w:t>维保</w:t>
            </w:r>
          </w:p>
        </w:tc>
        <w:tc>
          <w:tcPr>
            <w:tcW w:w="6158" w:type="dxa"/>
          </w:tcPr>
          <w:p>
            <w:pPr>
              <w:rPr>
                <w:rFonts w:ascii="宋体" w:hAnsi="宋体" w:cs="宋体"/>
              </w:rPr>
            </w:pPr>
            <w:r>
              <w:rPr>
                <w:rFonts w:ascii="宋体" w:hAnsi="宋体" w:cs="宋体"/>
              </w:rPr>
              <w:t>严格执行国家和深圳市的的消防维保法规及规范，保证消防设备、设施、系统、制度、日常运行等满足相关法规和规范要求，保证通过相关消防检查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Merge w:val="continue"/>
            <w:vAlign w:val="center"/>
          </w:tcPr>
          <w:p>
            <w:pPr>
              <w:jc w:val="center"/>
              <w:rPr>
                <w:rFonts w:ascii="宋体" w:hAnsi="宋体" w:cs="宋体"/>
                <w:b/>
              </w:rPr>
            </w:pPr>
          </w:p>
        </w:tc>
        <w:tc>
          <w:tcPr>
            <w:tcW w:w="1559" w:type="dxa"/>
            <w:vMerge w:val="continue"/>
            <w:vAlign w:val="center"/>
          </w:tcPr>
          <w:p>
            <w:pPr>
              <w:pStyle w:val="33"/>
              <w:shd w:val="clear" w:color="auto" w:fill="FFFFFF"/>
              <w:spacing w:before="0" w:beforeAutospacing="0" w:after="0" w:afterAutospacing="0" w:line="500" w:lineRule="atLeast"/>
              <w:jc w:val="center"/>
              <w:rPr>
                <w:rFonts w:hint="eastAsia" w:ascii="微软雅黑" w:hAnsi="微软雅黑"/>
                <w:color w:val="FF0000"/>
                <w:sz w:val="21"/>
                <w:szCs w:val="21"/>
              </w:rPr>
            </w:pPr>
          </w:p>
        </w:tc>
        <w:tc>
          <w:tcPr>
            <w:tcW w:w="6158" w:type="dxa"/>
          </w:tcPr>
          <w:p>
            <w:pPr>
              <w:rPr>
                <w:rFonts w:ascii="宋体" w:hAnsi="宋体" w:cs="宋体"/>
              </w:rPr>
            </w:pPr>
            <w:r>
              <w:rPr>
                <w:rFonts w:ascii="宋体" w:hAnsi="宋体" w:cs="宋体"/>
              </w:rPr>
              <w:t>所有维保项目及内容均严格执行相关规范，定期进行维保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09" w:type="dxa"/>
            <w:vMerge w:val="restart"/>
            <w:vAlign w:val="center"/>
          </w:tcPr>
          <w:p>
            <w:pPr>
              <w:jc w:val="center"/>
              <w:rPr>
                <w:rFonts w:ascii="宋体" w:hAnsi="宋体" w:cs="宋体"/>
              </w:rPr>
            </w:pPr>
            <w:r>
              <w:rPr>
                <w:rFonts w:hint="eastAsia" w:ascii="宋体" w:hAnsi="宋体" w:cs="宋体"/>
                <w:b/>
              </w:rPr>
              <w:t>2</w:t>
            </w:r>
          </w:p>
        </w:tc>
        <w:tc>
          <w:tcPr>
            <w:tcW w:w="1559" w:type="dxa"/>
            <w:vMerge w:val="restart"/>
            <w:vAlign w:val="center"/>
          </w:tcPr>
          <w:p>
            <w:pPr>
              <w:rPr>
                <w:rFonts w:ascii="宋体" w:hAnsi="宋体" w:cs="宋体"/>
              </w:rPr>
            </w:pPr>
            <w:r>
              <w:rPr>
                <w:rFonts w:ascii="宋体" w:hAnsi="宋体" w:cs="宋体"/>
              </w:rPr>
              <w:t>关于交货</w:t>
            </w:r>
          </w:p>
        </w:tc>
        <w:tc>
          <w:tcPr>
            <w:tcW w:w="6158" w:type="dxa"/>
          </w:tcPr>
          <w:p>
            <w:pPr>
              <w:rPr>
                <w:rFonts w:ascii="宋体" w:hAnsi="宋体" w:cs="宋体"/>
              </w:rPr>
            </w:pPr>
            <w:r>
              <w:rPr>
                <w:rFonts w:hint="eastAsia" w:ascii="宋体" w:hAnsi="宋体" w:cs="宋体"/>
              </w:rPr>
              <w:t>每月定期提交</w:t>
            </w:r>
            <w:r>
              <w:rPr>
                <w:rFonts w:ascii="宋体" w:hAnsi="宋体" w:cs="宋体"/>
              </w:rPr>
              <w:t>2</w:t>
            </w:r>
            <w:r>
              <w:rPr>
                <w:rFonts w:hint="eastAsia" w:ascii="宋体" w:hAnsi="宋体" w:cs="宋体"/>
              </w:rPr>
              <w:t>个校区消防维保项目台账，经验收合格，方为完成当月消防维保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09" w:type="dxa"/>
            <w:vMerge w:val="continue"/>
            <w:vAlign w:val="center"/>
          </w:tcPr>
          <w:p>
            <w:pPr>
              <w:jc w:val="center"/>
              <w:rPr>
                <w:rFonts w:ascii="宋体" w:hAnsi="宋体" w:cs="宋体"/>
                <w:b/>
              </w:rPr>
            </w:pPr>
          </w:p>
        </w:tc>
        <w:tc>
          <w:tcPr>
            <w:tcW w:w="1559" w:type="dxa"/>
            <w:vMerge w:val="continue"/>
            <w:vAlign w:val="center"/>
          </w:tcPr>
          <w:p>
            <w:pPr>
              <w:rPr>
                <w:rFonts w:ascii="宋体" w:hAnsi="宋体" w:cs="宋体"/>
              </w:rPr>
            </w:pPr>
          </w:p>
        </w:tc>
        <w:tc>
          <w:tcPr>
            <w:tcW w:w="6158" w:type="dxa"/>
          </w:tcPr>
          <w:p>
            <w:pPr>
              <w:rPr>
                <w:rFonts w:hint="eastAsia" w:ascii="宋体" w:hAnsi="宋体" w:eastAsia="宋体" w:cs="宋体"/>
                <w:lang w:eastAsia="zh-CN"/>
              </w:rPr>
            </w:pPr>
            <w:r>
              <w:rPr>
                <w:rFonts w:hint="eastAsia" w:ascii="宋体" w:hAnsi="宋体" w:cs="宋体"/>
              </w:rPr>
              <w:t>维保过程发现问题，以书面形式提交我校后勤保障</w:t>
            </w:r>
            <w:r>
              <w:rPr>
                <w:rFonts w:hint="eastAsia" w:ascii="宋体" w:hAnsi="宋体" w:cs="宋体"/>
                <w:lang w:val="en-US" w:eastAsia="zh-CN"/>
              </w:rPr>
              <w:t>中心</w:t>
            </w:r>
            <w:r>
              <w:rPr>
                <w:rFonts w:hint="eastAsia" w:ascii="宋体" w:hAnsi="宋体" w:cs="宋体"/>
              </w:rPr>
              <w:t>，并提出整改方案或措施，对整改进行进行检验合格，方为完成消防维保</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09" w:type="dxa"/>
            <w:vMerge w:val="restart"/>
            <w:vAlign w:val="center"/>
          </w:tcPr>
          <w:p>
            <w:pPr>
              <w:jc w:val="center"/>
              <w:rPr>
                <w:rFonts w:ascii="宋体" w:hAnsi="宋体" w:cs="宋体"/>
                <w:b/>
              </w:rPr>
            </w:pPr>
            <w:r>
              <w:rPr>
                <w:rFonts w:hint="eastAsia" w:ascii="宋体" w:hAnsi="宋体" w:cs="宋体"/>
                <w:b/>
              </w:rPr>
              <w:t>3</w:t>
            </w:r>
          </w:p>
        </w:tc>
        <w:tc>
          <w:tcPr>
            <w:tcW w:w="1559" w:type="dxa"/>
            <w:vMerge w:val="restart"/>
            <w:vAlign w:val="center"/>
          </w:tcPr>
          <w:p>
            <w:pPr>
              <w:rPr>
                <w:rFonts w:ascii="宋体" w:hAnsi="宋体" w:cs="宋体"/>
              </w:rPr>
            </w:pPr>
            <w:r>
              <w:rPr>
                <w:rFonts w:hint="eastAsia" w:ascii="宋体" w:hAnsi="宋体" w:cs="宋体"/>
              </w:rPr>
              <w:t>关于验收</w:t>
            </w:r>
          </w:p>
        </w:tc>
        <w:tc>
          <w:tcPr>
            <w:tcW w:w="6158" w:type="dxa"/>
          </w:tcPr>
          <w:p>
            <w:pPr>
              <w:rPr>
                <w:rFonts w:ascii="宋体" w:hAnsi="宋体" w:cs="宋体"/>
              </w:rPr>
            </w:pPr>
            <w:r>
              <w:rPr>
                <w:rFonts w:hint="eastAsia" w:ascii="宋体" w:hAnsi="宋体" w:cs="宋体"/>
              </w:rPr>
              <w:t>每月按规定验收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9" w:type="dxa"/>
            <w:vMerge w:val="continue"/>
            <w:vAlign w:val="center"/>
          </w:tcPr>
          <w:p>
            <w:pPr>
              <w:jc w:val="center"/>
              <w:rPr>
                <w:rFonts w:ascii="宋体" w:hAnsi="宋体" w:cs="宋体"/>
                <w:b/>
              </w:rPr>
            </w:pPr>
          </w:p>
        </w:tc>
        <w:tc>
          <w:tcPr>
            <w:tcW w:w="1559" w:type="dxa"/>
            <w:vMerge w:val="continue"/>
            <w:vAlign w:val="center"/>
          </w:tcPr>
          <w:p>
            <w:pPr>
              <w:rPr>
                <w:rFonts w:ascii="宋体" w:hAnsi="宋体" w:cs="宋体"/>
              </w:rPr>
            </w:pPr>
          </w:p>
        </w:tc>
        <w:tc>
          <w:tcPr>
            <w:tcW w:w="6158" w:type="dxa"/>
          </w:tcPr>
          <w:p>
            <w:pPr>
              <w:rPr>
                <w:rFonts w:ascii="宋体" w:hAnsi="宋体" w:cs="宋体"/>
              </w:rPr>
            </w:pPr>
            <w:r>
              <w:rPr>
                <w:rFonts w:hint="eastAsia" w:ascii="宋体" w:hAnsi="宋体" w:cs="宋体"/>
              </w:rPr>
              <w:t>服务期满，进行最终验收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09" w:type="dxa"/>
            <w:vAlign w:val="center"/>
          </w:tcPr>
          <w:p>
            <w:pPr>
              <w:jc w:val="center"/>
              <w:rPr>
                <w:rFonts w:ascii="宋体" w:hAnsi="宋体" w:cs="宋体"/>
                <w:b/>
              </w:rPr>
            </w:pPr>
            <w:r>
              <w:rPr>
                <w:rFonts w:hint="eastAsia" w:ascii="宋体" w:hAnsi="宋体" w:cs="宋体"/>
                <w:b/>
              </w:rPr>
              <w:t>4</w:t>
            </w:r>
          </w:p>
        </w:tc>
        <w:tc>
          <w:tcPr>
            <w:tcW w:w="1559" w:type="dxa"/>
            <w:vAlign w:val="center"/>
          </w:tcPr>
          <w:p>
            <w:pPr>
              <w:rPr>
                <w:rFonts w:ascii="宋体" w:hAnsi="宋体" w:cs="宋体"/>
              </w:rPr>
            </w:pPr>
            <w:r>
              <w:rPr>
                <w:rFonts w:hint="eastAsia" w:ascii="宋体" w:hAnsi="宋体" w:cs="宋体"/>
              </w:rPr>
              <w:t>关于付款</w:t>
            </w:r>
          </w:p>
        </w:tc>
        <w:tc>
          <w:tcPr>
            <w:tcW w:w="6158" w:type="dxa"/>
          </w:tcPr>
          <w:p>
            <w:pPr>
              <w:rPr>
                <w:rFonts w:hint="default" w:ascii="宋体" w:hAnsi="宋体" w:eastAsia="宋体" w:cs="宋体"/>
                <w:lang w:val="en-US" w:eastAsia="zh-CN"/>
              </w:rPr>
            </w:pPr>
            <w:r>
              <w:rPr>
                <w:rFonts w:hint="eastAsia" w:ascii="宋体" w:hAnsi="宋体" w:cs="宋体"/>
                <w:lang w:val="en-US" w:eastAsia="zh-CN"/>
              </w:rPr>
              <w:t>按合同约定付款</w:t>
            </w:r>
          </w:p>
        </w:tc>
      </w:tr>
    </w:tbl>
    <w:p>
      <w:pPr>
        <w:pStyle w:val="11"/>
        <w:ind w:firstLine="422"/>
        <w:rPr>
          <w:rFonts w:ascii="宋体" w:hAnsi="宋体" w:cs="宋体"/>
          <w:b/>
        </w:rPr>
      </w:pPr>
    </w:p>
    <w:p>
      <w:pPr>
        <w:pStyle w:val="11"/>
        <w:ind w:firstLine="422"/>
        <w:rPr>
          <w:rFonts w:ascii="宋体" w:hAnsi="宋体" w:cs="宋体"/>
          <w:b/>
        </w:rPr>
      </w:pPr>
    </w:p>
    <w:p>
      <w:pPr>
        <w:pStyle w:val="2"/>
      </w:pPr>
    </w:p>
    <w:p>
      <w:pPr>
        <w:pStyle w:val="2"/>
        <w:jc w:val="both"/>
      </w:pPr>
      <w:r>
        <w:rPr>
          <w:rFonts w:hint="eastAsia"/>
        </w:rPr>
        <w:t>第三章  投标文件格式</w:t>
      </w:r>
    </w:p>
    <w:p>
      <w:pPr>
        <w:rPr>
          <w:rStyle w:val="26"/>
          <w:rFonts w:ascii="宋体" w:hAnsi="宋体" w:eastAsia="宋体" w:cs="宋体"/>
          <w:sz w:val="28"/>
          <w:szCs w:val="28"/>
        </w:rPr>
      </w:pPr>
      <w:r>
        <w:rPr>
          <w:rStyle w:val="26"/>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r>
        <w:rPr>
          <w:rFonts w:hint="eastAsia" w:ascii="宋体" w:hAnsi="宋体" w:cs="宋体"/>
          <w:sz w:val="24"/>
        </w:rPr>
        <w:cr/>
      </w:r>
      <w:r>
        <w:rPr>
          <w:rFonts w:hint="eastAsia" w:ascii="宋体" w:hAnsi="宋体" w:cs="宋体"/>
          <w:sz w:val="24"/>
        </w:rPr>
        <w:t>2、法定代表人证明书</w:t>
      </w:r>
      <w:r>
        <w:rPr>
          <w:rFonts w:hint="eastAsia" w:ascii="宋体" w:hAnsi="宋体" w:cs="宋体"/>
          <w:sz w:val="24"/>
        </w:rPr>
        <w:cr/>
      </w:r>
      <w:r>
        <w:rPr>
          <w:rFonts w:hint="eastAsia" w:ascii="宋体" w:hAnsi="宋体" w:cs="宋体"/>
          <w:sz w:val="24"/>
        </w:rPr>
        <w:t>3、投标文件签署授权委托书</w:t>
      </w:r>
      <w:r>
        <w:rPr>
          <w:rFonts w:hint="eastAsia" w:ascii="宋体" w:hAnsi="宋体" w:cs="宋体"/>
          <w:sz w:val="24"/>
        </w:rPr>
        <w:cr/>
      </w:r>
      <w:r>
        <w:rPr>
          <w:rFonts w:hint="eastAsia" w:ascii="宋体" w:hAnsi="宋体" w:cs="宋体"/>
          <w:sz w:val="24"/>
        </w:rPr>
        <w:t>4、投标承诺函</w:t>
      </w:r>
      <w:r>
        <w:rPr>
          <w:rFonts w:hint="eastAsia" w:ascii="宋体" w:hAnsi="宋体" w:cs="宋体"/>
          <w:sz w:val="24"/>
        </w:rPr>
        <w:cr/>
      </w:r>
      <w:r>
        <w:rPr>
          <w:rFonts w:hint="eastAsia" w:ascii="宋体" w:hAnsi="宋体" w:cs="宋体"/>
          <w:sz w:val="24"/>
        </w:rPr>
        <w:t>5、投标人情况介绍</w:t>
      </w:r>
      <w:r>
        <w:rPr>
          <w:rFonts w:hint="eastAsia" w:ascii="宋体" w:hAnsi="宋体" w:cs="宋体"/>
          <w:sz w:val="24"/>
        </w:rPr>
        <w:cr/>
      </w:r>
      <w:r>
        <w:rPr>
          <w:rFonts w:hint="eastAsia" w:ascii="宋体" w:hAnsi="宋体" w:cs="宋体"/>
          <w:sz w:val="24"/>
        </w:rPr>
        <w:t>6、分项报价清单</w:t>
      </w:r>
      <w:r>
        <w:rPr>
          <w:rFonts w:hint="eastAsia" w:ascii="宋体" w:hAnsi="宋体" w:cs="宋体"/>
          <w:sz w:val="24"/>
        </w:rPr>
        <w:cr/>
      </w:r>
      <w:r>
        <w:rPr>
          <w:rFonts w:hint="eastAsia" w:ascii="宋体" w:hAnsi="宋体" w:cs="宋体"/>
          <w:sz w:val="24"/>
        </w:rPr>
        <w:t>7、项目主要管理及技术人员情况</w:t>
      </w:r>
      <w:r>
        <w:rPr>
          <w:rFonts w:hint="eastAsia" w:ascii="宋体" w:hAnsi="宋体" w:cs="宋体"/>
          <w:sz w:val="24"/>
        </w:rPr>
        <w:cr/>
      </w:r>
      <w:r>
        <w:rPr>
          <w:rFonts w:hint="eastAsia" w:ascii="宋体" w:hAnsi="宋体" w:cs="宋体"/>
          <w:sz w:val="24"/>
        </w:rPr>
        <w:t>8、商务需求偏离表</w:t>
      </w:r>
      <w:r>
        <w:rPr>
          <w:rFonts w:hint="eastAsia" w:ascii="宋体" w:hAnsi="宋体" w:cs="宋体"/>
          <w:sz w:val="24"/>
        </w:rPr>
        <w:cr/>
      </w:r>
      <w:r>
        <w:rPr>
          <w:rFonts w:hint="eastAsia" w:ascii="宋体" w:hAnsi="宋体" w:cs="宋体"/>
          <w:sz w:val="24"/>
        </w:rPr>
        <w:t>9、技术保障措施</w:t>
      </w:r>
      <w:r>
        <w:rPr>
          <w:rFonts w:hint="eastAsia" w:ascii="宋体" w:hAnsi="宋体" w:cs="宋体"/>
          <w:sz w:val="24"/>
        </w:rPr>
        <w:cr/>
      </w:r>
      <w:r>
        <w:rPr>
          <w:rFonts w:hint="eastAsia" w:ascii="宋体" w:hAnsi="宋体" w:cs="宋体"/>
          <w:sz w:val="24"/>
        </w:rPr>
        <w:t>10、实施安全保障措施</w:t>
      </w:r>
      <w:r>
        <w:rPr>
          <w:rFonts w:hint="eastAsia" w:ascii="宋体" w:hAnsi="宋体" w:cs="宋体"/>
          <w:sz w:val="24"/>
        </w:rPr>
        <w:cr/>
      </w:r>
      <w:r>
        <w:rPr>
          <w:rFonts w:hint="eastAsia" w:ascii="宋体" w:hAnsi="宋体" w:cs="宋体"/>
          <w:sz w:val="24"/>
        </w:rPr>
        <w:t>11、项目实施方案</w:t>
      </w:r>
      <w:r>
        <w:rPr>
          <w:rFonts w:hint="eastAsia" w:ascii="宋体" w:hAnsi="宋体" w:cs="宋体"/>
          <w:sz w:val="24"/>
        </w:rPr>
        <w:cr/>
      </w:r>
      <w:r>
        <w:rPr>
          <w:rFonts w:hint="eastAsia" w:ascii="宋体" w:hAnsi="宋体" w:cs="宋体"/>
          <w:sz w:val="24"/>
        </w:rPr>
        <w:t>12、售后服务方案</w:t>
      </w:r>
      <w:r>
        <w:rPr>
          <w:rFonts w:ascii="宋体" w:hAnsi="宋体" w:cs="宋体"/>
          <w:sz w:val="24"/>
        </w:rPr>
        <w:cr/>
      </w: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10" w:firstLineChars="100"/>
              <w:rPr>
                <w:rFonts w:ascii="宋体" w:hAnsi="宋体" w:cs="宋体"/>
                <w:color w:val="000000"/>
                <w:kern w:val="0"/>
                <w:szCs w:val="21"/>
                <w:lang w:val="zh-CN"/>
              </w:rPr>
            </w:pP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1"/>
      </w:pPr>
    </w:p>
    <w:p>
      <w:pPr>
        <w:pStyle w:val="4"/>
        <w:numPr>
          <w:ilvl w:val="0"/>
          <w:numId w:val="2"/>
        </w:numPr>
        <w:jc w:val="center"/>
        <w:rPr>
          <w:rFonts w:cs="宋体"/>
          <w:bCs w:val="0"/>
          <w:kern w:val="0"/>
          <w:szCs w:val="28"/>
        </w:rPr>
      </w:pPr>
      <w:r>
        <w:rPr>
          <w:rFonts w:hint="eastAsia" w:cs="宋体"/>
          <w:bCs w:val="0"/>
          <w:kern w:val="0"/>
          <w:szCs w:val="28"/>
        </w:rPr>
        <w:t>评标指引表</w:t>
      </w:r>
    </w:p>
    <w:tbl>
      <w:tblPr>
        <w:tblStyle w:val="17"/>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u w:val="single"/>
        </w:rPr>
        <w:t>____________</w:t>
      </w:r>
      <w:r>
        <w:rPr>
          <w:rFonts w:hint="eastAsia" w:ascii="宋体" w:hAnsi="宋体" w:cs="宋体"/>
          <w:szCs w:val="21"/>
        </w:rPr>
        <w:t>同志，现任我单位职务，为法定代表人，特此证明。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代理人（签名）：性别：年龄：</w:t>
      </w:r>
    </w:p>
    <w:p>
      <w:pPr>
        <w:spacing w:line="360" w:lineRule="auto"/>
        <w:ind w:left="540" w:leftChars="257"/>
        <w:rPr>
          <w:rFonts w:ascii="宋体" w:hAnsi="宋体" w:cs="宋体"/>
          <w:szCs w:val="21"/>
        </w:rPr>
      </w:pPr>
      <w:r>
        <w:rPr>
          <w:rFonts w:hint="eastAsia" w:ascii="宋体" w:hAnsi="宋体" w:cs="宋体"/>
          <w:szCs w:val="21"/>
        </w:rPr>
        <w:t>联系电话：  手机：</w:t>
      </w:r>
    </w:p>
    <w:p>
      <w:pPr>
        <w:spacing w:line="360" w:lineRule="auto"/>
        <w:ind w:left="540" w:leftChars="257"/>
        <w:rPr>
          <w:rFonts w:ascii="宋体" w:hAnsi="宋体" w:cs="宋体"/>
          <w:szCs w:val="21"/>
          <w:u w:val="single"/>
        </w:rPr>
      </w:pPr>
      <w:r>
        <w:rPr>
          <w:rFonts w:hint="eastAsia" w:ascii="宋体" w:hAnsi="宋体" w:cs="宋体"/>
          <w:szCs w:val="21"/>
        </w:rPr>
        <w:t>身份证号码：职务：</w:t>
      </w:r>
    </w:p>
    <w:p>
      <w:pPr>
        <w:spacing w:line="360" w:lineRule="auto"/>
        <w:ind w:left="540" w:leftChars="257"/>
        <w:rPr>
          <w:rFonts w:ascii="宋体" w:hAnsi="宋体" w:cs="宋体"/>
          <w:szCs w:val="21"/>
        </w:rPr>
      </w:pPr>
      <w:r>
        <w:rPr>
          <w:rFonts w:hint="eastAsia" w:ascii="宋体" w:hAnsi="宋体" w:cs="宋体"/>
          <w:szCs w:val="21"/>
        </w:rPr>
        <w:t>投标人（盖章）：</w:t>
      </w:r>
    </w:p>
    <w:p>
      <w:pPr>
        <w:spacing w:line="360" w:lineRule="auto"/>
        <w:ind w:left="540" w:leftChars="257"/>
        <w:rPr>
          <w:rFonts w:ascii="宋体" w:hAnsi="宋体" w:cs="宋体"/>
          <w:szCs w:val="21"/>
        </w:rPr>
      </w:pPr>
      <w:r>
        <w:rPr>
          <w:rFonts w:hint="eastAsia" w:ascii="宋体" w:hAnsi="宋体" w:cs="宋体"/>
          <w:szCs w:val="21"/>
        </w:rPr>
        <w:t>法定代表人（签名）：</w:t>
      </w:r>
    </w:p>
    <w:p>
      <w:pPr>
        <w:spacing w:line="360" w:lineRule="auto"/>
        <w:ind w:left="540" w:leftChars="257"/>
        <w:rPr>
          <w:rFonts w:ascii="宋体" w:hAnsi="宋体" w:cs="宋体"/>
          <w:szCs w:val="21"/>
        </w:rPr>
      </w:pPr>
      <w:r>
        <w:rPr>
          <w:rFonts w:hint="eastAsia" w:ascii="宋体" w:hAnsi="宋体" w:cs="宋体"/>
          <w:szCs w:val="21"/>
        </w:rPr>
        <w:t>授权委托日期：年月 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3"/>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7"/>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7"/>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p>
    <w:p>
      <w:pPr>
        <w:rPr>
          <w:rFonts w:ascii="宋体" w:hAnsi="宋体" w:cs="宋体"/>
          <w:szCs w:val="21"/>
        </w:rPr>
      </w:pPr>
      <w:r>
        <w:rPr>
          <w:rFonts w:hint="eastAsia" w:ascii="宋体" w:hAnsi="宋体" w:cs="宋体"/>
          <w:szCs w:val="21"/>
        </w:rPr>
        <w:t>供应商代表姓名：</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pStyle w:val="4"/>
        <w:jc w:val="center"/>
        <w:rPr>
          <w:rFonts w:cs="宋体"/>
          <w:szCs w:val="28"/>
        </w:rPr>
      </w:pPr>
      <w:r>
        <w:rPr>
          <w:rFonts w:hint="eastAsia" w:cs="宋体"/>
          <w:bCs w:val="0"/>
          <w:szCs w:val="28"/>
        </w:rPr>
        <w:t>七、</w:t>
      </w:r>
      <w:r>
        <w:rPr>
          <w:rFonts w:hint="eastAsia" w:cs="宋体"/>
          <w:szCs w:val="28"/>
        </w:rPr>
        <w:t>项目主要管理及技术人员情况</w:t>
      </w:r>
    </w:p>
    <w:p>
      <w:pPr>
        <w:widowControl/>
        <w:shd w:val="clear" w:color="auto" w:fill="FFFFFF"/>
        <w:spacing w:line="315" w:lineRule="atLeast"/>
        <w:jc w:val="center"/>
        <w:rPr>
          <w:rFonts w:hint="eastAsia" w:ascii="微软雅黑" w:hAnsi="微软雅黑" w:cs="宋体"/>
          <w:color w:val="000000"/>
          <w:kern w:val="0"/>
          <w:szCs w:val="21"/>
        </w:rPr>
      </w:pPr>
      <w:r>
        <w:rPr>
          <w:rFonts w:hint="eastAsia" w:ascii="宋体" w:hAnsi="宋体" w:cs="宋体"/>
          <w:color w:val="000000"/>
          <w:kern w:val="0"/>
          <w:szCs w:val="21"/>
        </w:rPr>
        <w:t> </w:t>
      </w:r>
    </w:p>
    <w:tbl>
      <w:tblPr>
        <w:tblStyle w:val="17"/>
        <w:tblW w:w="0" w:type="auto"/>
        <w:jc w:val="center"/>
        <w:tblLayout w:type="autofit"/>
        <w:tblCellMar>
          <w:top w:w="0" w:type="dxa"/>
          <w:left w:w="0" w:type="dxa"/>
          <w:bottom w:w="0" w:type="dxa"/>
          <w:right w:w="0" w:type="dxa"/>
        </w:tblCellMar>
      </w:tblPr>
      <w:tblGrid>
        <w:gridCol w:w="1112"/>
        <w:gridCol w:w="766"/>
        <w:gridCol w:w="898"/>
        <w:gridCol w:w="1041"/>
        <w:gridCol w:w="1210"/>
        <w:gridCol w:w="1310"/>
        <w:gridCol w:w="1092"/>
        <w:gridCol w:w="1093"/>
      </w:tblGrid>
      <w:tr>
        <w:tblPrEx>
          <w:tblCellMar>
            <w:top w:w="0" w:type="dxa"/>
            <w:left w:w="0" w:type="dxa"/>
            <w:bottom w:w="0" w:type="dxa"/>
            <w:right w:w="0" w:type="dxa"/>
          </w:tblCellMar>
        </w:tblPrEx>
        <w:trPr>
          <w:jc w:val="center"/>
        </w:trPr>
        <w:tc>
          <w:tcPr>
            <w:tcW w:w="11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类别</w:t>
            </w:r>
          </w:p>
        </w:tc>
        <w:tc>
          <w:tcPr>
            <w:tcW w:w="78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职务</w:t>
            </w:r>
          </w:p>
        </w:tc>
        <w:tc>
          <w:tcPr>
            <w:tcW w:w="92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姓名</w:t>
            </w:r>
          </w:p>
        </w:tc>
        <w:tc>
          <w:tcPr>
            <w:tcW w:w="108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职称</w:t>
            </w:r>
          </w:p>
        </w:tc>
        <w:tc>
          <w:tcPr>
            <w:tcW w:w="4894"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上岗资格证明</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eastAsiaTheme="minorEastAsia"/>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cs="宋体" w:asciiTheme="minorEastAsia" w:hAnsiTheme="minorEastAsia" w:eastAsiaTheme="minorEastAsia"/>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cs="宋体" w:asciiTheme="minorEastAsia" w:hAnsiTheme="minorEastAsia" w:eastAsiaTheme="minorEastAsia"/>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cs="宋体" w:asciiTheme="minorEastAsia" w:hAnsiTheme="minorEastAsia" w:eastAsiaTheme="minorEastAsia"/>
                <w:kern w:val="0"/>
                <w:szCs w:val="21"/>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证书名称</w:t>
            </w:r>
          </w:p>
        </w:tc>
        <w:tc>
          <w:tcPr>
            <w:tcW w:w="136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级别</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证号</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专业</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技术人员</w:t>
            </w:r>
          </w:p>
        </w:tc>
        <w:tc>
          <w:tcPr>
            <w:tcW w:w="78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2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36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bl>
    <w:p>
      <w:pPr>
        <w:widowControl/>
        <w:shd w:val="clear" w:color="auto" w:fill="FFFFFF"/>
        <w:spacing w:line="360" w:lineRule="atLeast"/>
        <w:jc w:val="left"/>
        <w:rPr>
          <w:rFonts w:hint="eastAsia" w:ascii="微软雅黑" w:hAnsi="微软雅黑" w:cs="宋体"/>
          <w:color w:val="000000"/>
          <w:kern w:val="0"/>
          <w:szCs w:val="21"/>
        </w:rPr>
      </w:pPr>
      <w:r>
        <w:rPr>
          <w:rFonts w:hint="eastAsia" w:ascii="宋体" w:hAnsi="宋体" w:cs="宋体"/>
          <w:b/>
          <w:bCs/>
          <w:color w:val="000000"/>
          <w:kern w:val="0"/>
          <w:sz w:val="22"/>
          <w:szCs w:val="22"/>
        </w:rPr>
        <w:t>附上证书复印件</w:t>
      </w:r>
    </w:p>
    <w:p/>
    <w:p>
      <w:pPr>
        <w:pStyle w:val="4"/>
        <w:jc w:val="center"/>
        <w:rPr>
          <w:rFonts w:cs="宋体"/>
          <w:bCs w:val="0"/>
          <w:szCs w:val="28"/>
        </w:rPr>
      </w:pPr>
      <w:r>
        <w:rPr>
          <w:rFonts w:hint="eastAsia" w:cs="宋体"/>
          <w:bCs w:val="0"/>
          <w:szCs w:val="28"/>
        </w:rPr>
        <w:t>八、商务需求偏离表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p>
    <w:p>
      <w:pPr>
        <w:rPr>
          <w:rFonts w:ascii="宋体" w:hAnsi="宋体" w:cs="宋体"/>
          <w:szCs w:val="21"/>
        </w:rPr>
      </w:pP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宋体" w:hAnsi="宋体" w:cs="宋体"/>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pStyle w:val="4"/>
        <w:jc w:val="center"/>
        <w:rPr>
          <w:rFonts w:cs="宋体"/>
          <w:kern w:val="0"/>
          <w:szCs w:val="28"/>
        </w:rPr>
      </w:pPr>
      <w:r>
        <w:rPr>
          <w:rFonts w:hint="eastAsia" w:cs="宋体"/>
          <w:kern w:val="0"/>
          <w:szCs w:val="28"/>
        </w:rPr>
        <w:t>九、技术保障措施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pStyle w:val="4"/>
        <w:jc w:val="center"/>
        <w:rPr>
          <w:rFonts w:cs="宋体"/>
          <w:kern w:val="0"/>
          <w:szCs w:val="28"/>
        </w:rPr>
      </w:pPr>
      <w:r>
        <w:rPr>
          <w:rFonts w:hint="eastAsia" w:cs="宋体"/>
          <w:kern w:val="0"/>
          <w:szCs w:val="28"/>
        </w:rPr>
        <w:t>十、实施安全保障措施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pStyle w:val="4"/>
        <w:jc w:val="center"/>
        <w:rPr>
          <w:rFonts w:cs="宋体"/>
          <w:kern w:val="0"/>
          <w:szCs w:val="28"/>
        </w:rPr>
      </w:pPr>
      <w:r>
        <w:rPr>
          <w:rFonts w:hint="eastAsia" w:cs="宋体"/>
          <w:kern w:val="0"/>
          <w:szCs w:val="28"/>
        </w:rPr>
        <w:t>十一、项目实施方案</w:t>
      </w:r>
    </w:p>
    <w:p>
      <w:pPr>
        <w:spacing w:line="324" w:lineRule="auto"/>
        <w:ind w:firstLine="420"/>
        <w:rPr>
          <w:szCs w:val="21"/>
        </w:rPr>
      </w:pPr>
      <w:r>
        <w:rPr>
          <w:rFonts w:hint="eastAsia"/>
          <w:szCs w:val="21"/>
        </w:rPr>
        <w:t>实施方案应包含但不局限于以下内容，且应严格执行国家和深圳市的消防维保法规及规范，保证消防设备、设施、系统、制度、日常运行满足相关法规和规范要求，保证通过相关消防检查。</w:t>
      </w:r>
    </w:p>
    <w:p>
      <w:pPr>
        <w:spacing w:line="324" w:lineRule="auto"/>
        <w:ind w:firstLine="420"/>
        <w:rPr>
          <w:szCs w:val="21"/>
        </w:rPr>
      </w:pPr>
      <w:r>
        <w:rPr>
          <w:rFonts w:hint="eastAsia"/>
          <w:szCs w:val="21"/>
        </w:rPr>
        <w:t>1.日常维护方案</w:t>
      </w:r>
    </w:p>
    <w:p>
      <w:pPr>
        <w:spacing w:line="324" w:lineRule="auto"/>
        <w:ind w:firstLine="420"/>
        <w:rPr>
          <w:szCs w:val="21"/>
        </w:rPr>
      </w:pPr>
      <w:r>
        <w:rPr>
          <w:rFonts w:hint="eastAsia"/>
          <w:szCs w:val="21"/>
        </w:rPr>
        <w:t>2.应急保障方案</w:t>
      </w:r>
    </w:p>
    <w:p>
      <w:pPr>
        <w:spacing w:line="324" w:lineRule="auto"/>
        <w:ind w:firstLine="420"/>
        <w:rPr>
          <w:rFonts w:hint="eastAsia" w:ascii="微软雅黑" w:hAnsi="微软雅黑" w:cs="宋体"/>
          <w:color w:val="000000"/>
          <w:kern w:val="0"/>
          <w:szCs w:val="21"/>
        </w:rPr>
      </w:pPr>
      <w:r>
        <w:rPr>
          <w:rFonts w:hint="eastAsia"/>
          <w:szCs w:val="21"/>
        </w:rPr>
        <w:t>3.备品备件管理方案</w:t>
      </w:r>
      <w:r>
        <w:rPr>
          <w:rFonts w:hint="eastAsia" w:ascii="仿宋_GB2312" w:hAnsi="微软雅黑" w:eastAsia="仿宋_GB2312" w:cs="宋体"/>
          <w:color w:val="000000"/>
          <w:kern w:val="0"/>
          <w:sz w:val="24"/>
        </w:rPr>
        <w:t> </w:t>
      </w:r>
    </w:p>
    <w:p>
      <w:pPr>
        <w:rPr>
          <w:rFonts w:ascii="宋体" w:hAnsi="宋体" w:cs="宋体"/>
          <w:b/>
          <w:bCs/>
          <w:sz w:val="24"/>
        </w:rPr>
      </w:pPr>
      <w:r>
        <w:rPr>
          <w:rFonts w:hint="eastAsia" w:ascii="宋体" w:hAnsi="宋体" w:cs="宋体"/>
          <w:b/>
          <w:bCs/>
          <w:szCs w:val="21"/>
        </w:rPr>
        <w:t>（备注：该部分须与“技术保障措施”、“实施安全保障措施”、“商务需求”等部分承诺的内容相呼应，不得前后矛盾。）</w:t>
      </w:r>
    </w:p>
    <w:p>
      <w:pPr>
        <w:pStyle w:val="4"/>
        <w:jc w:val="center"/>
        <w:rPr>
          <w:rFonts w:cs="宋体"/>
          <w:kern w:val="0"/>
          <w:szCs w:val="28"/>
        </w:rPr>
      </w:pPr>
      <w:r>
        <w:rPr>
          <w:rFonts w:hint="eastAsia" w:cs="宋体"/>
          <w:kern w:val="0"/>
          <w:szCs w:val="28"/>
        </w:rPr>
        <w:t>十二、售后服务方案</w:t>
      </w: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rPr>
          <w:rFonts w:hint="eastAsia" w:ascii="宋体" w:hAnsi="宋体" w:cs="宋体"/>
          <w:b/>
          <w:szCs w:val="21"/>
        </w:rPr>
      </w:pPr>
      <w:r>
        <w:rPr>
          <w:rFonts w:hint="eastAsia" w:ascii="宋体" w:hAnsi="宋体" w:cs="宋体"/>
          <w:b/>
          <w:szCs w:val="21"/>
        </w:rPr>
        <w:t>（备注：该部分须与“商务需求”承诺的内容相呼应，不得前后矛盾。）</w:t>
      </w:r>
    </w:p>
    <w:p>
      <w:pPr>
        <w:pStyle w:val="11"/>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roman"/>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djYzg0NzI0MjMyOWVlYTY0OWVkYzAwODVhNGJhZDMifQ=="/>
  </w:docVars>
  <w:rsids>
    <w:rsidRoot w:val="008E06EA"/>
    <w:rsid w:val="00025CB8"/>
    <w:rsid w:val="00046728"/>
    <w:rsid w:val="000958E5"/>
    <w:rsid w:val="001338D7"/>
    <w:rsid w:val="001424DD"/>
    <w:rsid w:val="001510D4"/>
    <w:rsid w:val="002078E3"/>
    <w:rsid w:val="002157E5"/>
    <w:rsid w:val="002B1235"/>
    <w:rsid w:val="002C18D5"/>
    <w:rsid w:val="00324DC9"/>
    <w:rsid w:val="00390C90"/>
    <w:rsid w:val="003A5C9C"/>
    <w:rsid w:val="003C1F11"/>
    <w:rsid w:val="003C75D3"/>
    <w:rsid w:val="003D140B"/>
    <w:rsid w:val="004162AE"/>
    <w:rsid w:val="00436387"/>
    <w:rsid w:val="004E3ECA"/>
    <w:rsid w:val="004F13A6"/>
    <w:rsid w:val="0054066C"/>
    <w:rsid w:val="005821A2"/>
    <w:rsid w:val="005E4BC1"/>
    <w:rsid w:val="006E065C"/>
    <w:rsid w:val="006E43F1"/>
    <w:rsid w:val="00744AA6"/>
    <w:rsid w:val="00770C89"/>
    <w:rsid w:val="0079565D"/>
    <w:rsid w:val="007D2467"/>
    <w:rsid w:val="008E06EA"/>
    <w:rsid w:val="008F4CEB"/>
    <w:rsid w:val="00960C58"/>
    <w:rsid w:val="00990B16"/>
    <w:rsid w:val="009C137A"/>
    <w:rsid w:val="009F5EDA"/>
    <w:rsid w:val="00A151C1"/>
    <w:rsid w:val="00A2554D"/>
    <w:rsid w:val="00A72C32"/>
    <w:rsid w:val="00A82616"/>
    <w:rsid w:val="00AF491E"/>
    <w:rsid w:val="00B5124F"/>
    <w:rsid w:val="00B626E5"/>
    <w:rsid w:val="00BD34F2"/>
    <w:rsid w:val="00C815FC"/>
    <w:rsid w:val="00CF7933"/>
    <w:rsid w:val="00D02822"/>
    <w:rsid w:val="00D22651"/>
    <w:rsid w:val="00D415BF"/>
    <w:rsid w:val="00D7132D"/>
    <w:rsid w:val="00D92056"/>
    <w:rsid w:val="00E60DB0"/>
    <w:rsid w:val="00E85EFF"/>
    <w:rsid w:val="00FF0673"/>
    <w:rsid w:val="0AFF2E86"/>
    <w:rsid w:val="0C5061D5"/>
    <w:rsid w:val="0F3547CF"/>
    <w:rsid w:val="14E4125F"/>
    <w:rsid w:val="18AA152F"/>
    <w:rsid w:val="1AC050CB"/>
    <w:rsid w:val="1EF81C6E"/>
    <w:rsid w:val="26B82091"/>
    <w:rsid w:val="2AFD30C8"/>
    <w:rsid w:val="385A3555"/>
    <w:rsid w:val="3C602787"/>
    <w:rsid w:val="3C740F3C"/>
    <w:rsid w:val="411F02FE"/>
    <w:rsid w:val="45292400"/>
    <w:rsid w:val="4B465BD2"/>
    <w:rsid w:val="4E273257"/>
    <w:rsid w:val="52B37A56"/>
    <w:rsid w:val="563C75C3"/>
    <w:rsid w:val="565A0366"/>
    <w:rsid w:val="56FD4B65"/>
    <w:rsid w:val="5FA42BC0"/>
    <w:rsid w:val="650011DD"/>
    <w:rsid w:val="6AEF0EE4"/>
    <w:rsid w:val="6BBD7F7B"/>
    <w:rsid w:val="6BDF7A06"/>
    <w:rsid w:val="6EC91D52"/>
    <w:rsid w:val="6EE92007"/>
    <w:rsid w:val="706633D4"/>
    <w:rsid w:val="772174F0"/>
    <w:rsid w:val="773A3D47"/>
    <w:rsid w:val="773B63F4"/>
    <w:rsid w:val="7C6F0B02"/>
    <w:rsid w:val="7CF22264"/>
    <w:rsid w:val="7EAF0708"/>
    <w:rsid w:val="7FF83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340" w:after="330" w:line="360" w:lineRule="auto"/>
      <w:jc w:val="center"/>
      <w:outlineLvl w:val="0"/>
    </w:pPr>
    <w:rPr>
      <w:kern w:val="44"/>
      <w:sz w:val="32"/>
      <w:szCs w:val="36"/>
    </w:rPr>
  </w:style>
  <w:style w:type="paragraph" w:styleId="3">
    <w:name w:val="heading 2"/>
    <w:basedOn w:val="4"/>
    <w:next w:val="5"/>
    <w:autoRedefine/>
    <w:qFormat/>
    <w:uiPriority w:val="0"/>
    <w:pPr>
      <w:adjustRightInd w:val="0"/>
      <w:jc w:val="center"/>
      <w:textAlignment w:val="baseline"/>
      <w:outlineLvl w:val="1"/>
    </w:pPr>
    <w:rPr>
      <w:bCs w:val="0"/>
      <w:kern w:val="0"/>
      <w:szCs w:val="20"/>
    </w:rPr>
  </w:style>
  <w:style w:type="paragraph" w:styleId="4">
    <w:name w:val="heading 3"/>
    <w:basedOn w:val="5"/>
    <w:next w:val="1"/>
    <w:autoRedefine/>
    <w:qFormat/>
    <w:uiPriority w:val="0"/>
    <w:pPr>
      <w:spacing w:before="260" w:after="260" w:line="240" w:lineRule="auto"/>
      <w:outlineLvl w:val="2"/>
    </w:pPr>
    <w:rPr>
      <w:rFonts w:ascii="宋体" w:hAnsi="宋体" w:eastAsia="宋体"/>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29"/>
    <w:autoRedefine/>
    <w:qFormat/>
    <w:uiPriority w:val="0"/>
    <w:pPr>
      <w:jc w:val="left"/>
    </w:pPr>
  </w:style>
  <w:style w:type="paragraph" w:styleId="8">
    <w:name w:val="Body Text"/>
    <w:basedOn w:val="1"/>
    <w:next w:val="9"/>
    <w:autoRedefine/>
    <w:qFormat/>
    <w:uiPriority w:val="0"/>
    <w:pPr>
      <w:spacing w:line="360" w:lineRule="auto"/>
    </w:pPr>
    <w:rPr>
      <w:b/>
      <w:bCs/>
      <w:sz w:val="24"/>
    </w:rPr>
  </w:style>
  <w:style w:type="paragraph" w:styleId="9">
    <w:name w:val="toc 5"/>
    <w:basedOn w:val="1"/>
    <w:next w:val="1"/>
    <w:autoRedefine/>
    <w:unhideWhenUsed/>
    <w:qFormat/>
    <w:uiPriority w:val="0"/>
    <w:pPr>
      <w:ind w:left="840"/>
      <w:jc w:val="left"/>
    </w:pPr>
    <w:rPr>
      <w:rFonts w:ascii="Calibri" w:hAnsi="Calibri"/>
      <w:sz w:val="18"/>
      <w:szCs w:val="18"/>
    </w:rPr>
  </w:style>
  <w:style w:type="paragraph" w:styleId="10">
    <w:name w:val="Body Text Indent"/>
    <w:basedOn w:val="1"/>
    <w:next w:val="11"/>
    <w:autoRedefine/>
    <w:qFormat/>
    <w:uiPriority w:val="0"/>
    <w:pPr>
      <w:spacing w:line="360" w:lineRule="auto"/>
      <w:ind w:firstLine="420" w:firstLineChars="200"/>
    </w:pPr>
  </w:style>
  <w:style w:type="paragraph" w:styleId="11">
    <w:name w:val="Body Text First Indent 2"/>
    <w:basedOn w:val="10"/>
    <w:autoRedefine/>
    <w:unhideWhenUsed/>
    <w:qFormat/>
    <w:uiPriority w:val="99"/>
    <w:pPr>
      <w:spacing w:after="120"/>
      <w:ind w:left="420" w:leftChars="200"/>
    </w:pPr>
    <w:rPr>
      <w:rFonts w:ascii="Calibri" w:hAnsi="Calibri"/>
      <w:szCs w:val="22"/>
    </w:rPr>
  </w:style>
  <w:style w:type="paragraph" w:styleId="12">
    <w:name w:val="Balloon Text"/>
    <w:basedOn w:val="1"/>
    <w:link w:val="28"/>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Normal (Web)"/>
    <w:basedOn w:val="1"/>
    <w:qFormat/>
    <w:uiPriority w:val="0"/>
    <w:rPr>
      <w:sz w:val="24"/>
    </w:rPr>
  </w:style>
  <w:style w:type="paragraph" w:styleId="16">
    <w:name w:val="annotation subject"/>
    <w:basedOn w:val="7"/>
    <w:next w:val="7"/>
    <w:link w:val="30"/>
    <w:autoRedefine/>
    <w:qFormat/>
    <w:uiPriority w:val="0"/>
    <w:rPr>
      <w:b/>
      <w:bCs/>
    </w:rPr>
  </w:style>
  <w:style w:type="character" w:styleId="19">
    <w:name w:val="Strong"/>
    <w:basedOn w:val="18"/>
    <w:autoRedefine/>
    <w:qFormat/>
    <w:uiPriority w:val="22"/>
    <w:rPr>
      <w:b/>
      <w:bCs/>
    </w:rPr>
  </w:style>
  <w:style w:type="character" w:styleId="20">
    <w:name w:val="FollowedHyperlink"/>
    <w:basedOn w:val="18"/>
    <w:autoRedefine/>
    <w:qFormat/>
    <w:uiPriority w:val="0"/>
    <w:rPr>
      <w:color w:val="954F72" w:themeColor="followedHyperlink"/>
      <w:u w:val="single"/>
    </w:rPr>
  </w:style>
  <w:style w:type="character" w:styleId="21">
    <w:name w:val="Emphasis"/>
    <w:autoRedefine/>
    <w:qFormat/>
    <w:uiPriority w:val="20"/>
    <w:rPr>
      <w:i/>
      <w:iCs/>
    </w:rPr>
  </w:style>
  <w:style w:type="character" w:styleId="22">
    <w:name w:val="Hyperlink"/>
    <w:autoRedefine/>
    <w:unhideWhenUsed/>
    <w:qFormat/>
    <w:uiPriority w:val="99"/>
    <w:rPr>
      <w:color w:val="0000FF"/>
      <w:u w:val="single"/>
    </w:rPr>
  </w:style>
  <w:style w:type="character" w:styleId="23">
    <w:name w:val="annotation reference"/>
    <w:unhideWhenUsed/>
    <w:qFormat/>
    <w:uiPriority w:val="0"/>
    <w:rPr>
      <w:sz w:val="21"/>
      <w:szCs w:val="21"/>
    </w:rPr>
  </w:style>
  <w:style w:type="paragraph" w:customStyle="1" w:styleId="24">
    <w:name w:val="列表 21"/>
    <w:basedOn w:val="1"/>
    <w:autoRedefine/>
    <w:qFormat/>
    <w:uiPriority w:val="0"/>
    <w:pPr>
      <w:suppressAutoHyphens/>
      <w:ind w:left="100" w:hanging="200"/>
    </w:pPr>
    <w:rPr>
      <w:kern w:val="1"/>
    </w:rPr>
  </w:style>
  <w:style w:type="paragraph" w:customStyle="1" w:styleId="25">
    <w:name w:val="表格文字"/>
    <w:basedOn w:val="1"/>
    <w:autoRedefine/>
    <w:qFormat/>
    <w:uiPriority w:val="99"/>
    <w:pPr>
      <w:spacing w:before="25" w:after="25"/>
    </w:pPr>
    <w:rPr>
      <w:spacing w:val="10"/>
      <w:sz w:val="24"/>
    </w:rPr>
  </w:style>
  <w:style w:type="character" w:customStyle="1" w:styleId="26">
    <w:name w:val="标题 3 Char"/>
    <w:autoRedefine/>
    <w:qFormat/>
    <w:uiPriority w:val="0"/>
    <w:rPr>
      <w:rFonts w:ascii="黑体" w:eastAsia="黑体"/>
      <w:bCs/>
      <w:sz w:val="30"/>
    </w:rPr>
  </w:style>
  <w:style w:type="character" w:customStyle="1" w:styleId="27">
    <w:name w:val="未处理的提及1"/>
    <w:basedOn w:val="18"/>
    <w:autoRedefine/>
    <w:semiHidden/>
    <w:unhideWhenUsed/>
    <w:qFormat/>
    <w:uiPriority w:val="99"/>
    <w:rPr>
      <w:color w:val="605E5C"/>
      <w:shd w:val="clear" w:color="auto" w:fill="E1DFDD"/>
    </w:rPr>
  </w:style>
  <w:style w:type="character" w:customStyle="1" w:styleId="28">
    <w:name w:val="批注框文本 字符"/>
    <w:basedOn w:val="18"/>
    <w:link w:val="12"/>
    <w:autoRedefine/>
    <w:qFormat/>
    <w:uiPriority w:val="0"/>
    <w:rPr>
      <w:kern w:val="2"/>
      <w:sz w:val="18"/>
      <w:szCs w:val="18"/>
    </w:rPr>
  </w:style>
  <w:style w:type="character" w:customStyle="1" w:styleId="29">
    <w:name w:val="批注文字 字符"/>
    <w:basedOn w:val="18"/>
    <w:link w:val="7"/>
    <w:autoRedefine/>
    <w:qFormat/>
    <w:uiPriority w:val="0"/>
    <w:rPr>
      <w:kern w:val="2"/>
      <w:sz w:val="21"/>
      <w:szCs w:val="24"/>
    </w:rPr>
  </w:style>
  <w:style w:type="character" w:customStyle="1" w:styleId="30">
    <w:name w:val="批注主题 字符"/>
    <w:basedOn w:val="29"/>
    <w:link w:val="16"/>
    <w:autoRedefine/>
    <w:qFormat/>
    <w:uiPriority w:val="0"/>
    <w:rPr>
      <w:b/>
      <w:bCs/>
      <w:kern w:val="2"/>
      <w:sz w:val="21"/>
      <w:szCs w:val="24"/>
    </w:rPr>
  </w:style>
  <w:style w:type="paragraph" w:customStyle="1" w:styleId="31">
    <w:name w:val="列出段落1"/>
    <w:basedOn w:val="1"/>
    <w:autoRedefine/>
    <w:qFormat/>
    <w:uiPriority w:val="34"/>
    <w:pPr>
      <w:ind w:firstLine="420" w:firstLineChars="200"/>
    </w:pPr>
  </w:style>
  <w:style w:type="paragraph" w:styleId="32">
    <w:name w:val="List Paragraph"/>
    <w:basedOn w:val="1"/>
    <w:autoRedefine/>
    <w:qFormat/>
    <w:uiPriority w:val="99"/>
    <w:pPr>
      <w:ind w:firstLine="420" w:firstLineChars="200"/>
    </w:pPr>
  </w:style>
  <w:style w:type="paragraph" w:customStyle="1" w:styleId="33">
    <w:name w:val="fc1"/>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1885</Words>
  <Characters>10750</Characters>
  <Lines>89</Lines>
  <Paragraphs>25</Paragraphs>
  <TotalTime>2</TotalTime>
  <ScaleCrop>false</ScaleCrop>
  <LinksUpToDate>false</LinksUpToDate>
  <CharactersWithSpaces>12610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Cindy Yao</cp:lastModifiedBy>
  <cp:lastPrinted>2024-04-19T06:34:28Z</cp:lastPrinted>
  <dcterms:modified xsi:type="dcterms:W3CDTF">2024-04-19T06:50:31Z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FD6E686AA8F54FA38A5CBE3EAA1F9D5D_13</vt:lpwstr>
  </property>
</Properties>
</file>