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r>
        <w:rPr>
          <w:rFonts w:hint="eastAsia" w:ascii="华文中宋" w:hAnsi="华文中宋" w:eastAsia="华文中宋"/>
          <w:b/>
          <w:bCs/>
          <w:sz w:val="50"/>
          <w:szCs w:val="44"/>
        </w:rPr>
        <w:t>深圳市第一职业技术学校</w:t>
      </w:r>
    </w:p>
    <w:p>
      <w:pPr>
        <w:adjustRightInd w:val="0"/>
        <w:snapToGrid w:val="0"/>
        <w:ind w:firstLine="501" w:firstLineChars="100"/>
        <w:jc w:val="both"/>
        <w:rPr>
          <w:rFonts w:hint="eastAsia" w:ascii="华文中宋" w:hAnsi="华文中宋" w:eastAsia="华文中宋"/>
          <w:b/>
          <w:bCs/>
          <w:sz w:val="50"/>
          <w:szCs w:val="44"/>
        </w:rPr>
      </w:pPr>
      <w:r>
        <w:rPr>
          <w:rFonts w:hint="eastAsia" w:ascii="华文中宋" w:hAnsi="华文中宋" w:eastAsia="华文中宋"/>
          <w:b/>
          <w:bCs/>
          <w:sz w:val="50"/>
          <w:szCs w:val="44"/>
        </w:rPr>
        <w:t>教师教学能力大赛作品拍摄服务</w:t>
      </w:r>
    </w:p>
    <w:p>
      <w:pPr>
        <w:adjustRightInd w:val="0"/>
        <w:snapToGrid w:val="0"/>
        <w:ind w:firstLine="3003" w:firstLineChars="600"/>
        <w:jc w:val="both"/>
        <w:rPr>
          <w:rFonts w:ascii="华文中宋" w:hAnsi="华文中宋" w:eastAsia="华文中宋"/>
          <w:b/>
          <w:bCs/>
          <w:sz w:val="50"/>
          <w:szCs w:val="44"/>
        </w:rPr>
      </w:pPr>
      <w:r>
        <w:rPr>
          <w:rFonts w:hint="eastAsia" w:ascii="华文中宋" w:hAnsi="华文中宋" w:eastAsia="华文中宋"/>
          <w:b/>
          <w:bCs/>
          <w:sz w:val="50"/>
          <w:szCs w:val="44"/>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eastAsia="zh-CN"/>
        </w:rPr>
        <w:t>四</w:t>
      </w:r>
      <w:r>
        <w:rPr>
          <w:rFonts w:hint="eastAsia" w:ascii="黑体" w:hAnsi="华文中宋" w:eastAsia="黑体" w:cs="Arial"/>
          <w:sz w:val="32"/>
          <w:szCs w:val="32"/>
        </w:rPr>
        <w:t>年</w:t>
      </w:r>
      <w:r>
        <w:rPr>
          <w:rFonts w:hint="eastAsia" w:ascii="黑体" w:hAnsi="华文中宋" w:eastAsia="黑体" w:cs="Arial"/>
          <w:sz w:val="32"/>
          <w:szCs w:val="32"/>
          <w:lang w:eastAsia="zh-CN"/>
        </w:rPr>
        <w:t>四月</w:t>
      </w:r>
      <w:r>
        <w:rPr>
          <w:rFonts w:hint="eastAsia" w:ascii="宋体" w:hAnsi="宋体" w:cs="宋体"/>
          <w:sz w:val="32"/>
          <w:szCs w:val="32"/>
        </w:rPr>
        <w:br w:type="page"/>
      </w:r>
    </w:p>
    <w:p>
      <w:pPr>
        <w:pStyle w:val="2"/>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深圳市第一职业技术学校教师教学能力大赛作品拍摄服务</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eastAsia="zh-CN"/>
        </w:rPr>
        <w:t>服务</w:t>
      </w:r>
      <w:r>
        <w:rPr>
          <w:rFonts w:hint="eastAsia" w:ascii="宋体" w:hAnsi="宋体" w:cs="宋体"/>
          <w:szCs w:val="21"/>
        </w:rPr>
        <w:t>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4"/>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b/>
              </w:rPr>
              <w:t>《技术规格偏离表》或《商务需求偏离表》填写不全或不实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4</w:t>
            </w:r>
          </w:p>
        </w:tc>
        <w:tc>
          <w:tcPr>
            <w:tcW w:w="7988" w:type="dxa"/>
            <w:vAlign w:val="center"/>
          </w:tcPr>
          <w:p>
            <w:pPr>
              <w:rPr>
                <w:rFonts w:ascii="宋体" w:hAnsi="宋体" w:cs="宋体"/>
              </w:rPr>
            </w:pPr>
            <w:r>
              <w:rPr>
                <w:rFonts w:hint="eastAsia" w:ascii="宋体" w:hAnsi="宋体" w:cs="宋体"/>
              </w:rPr>
              <w:t>投标总价高于预算限额的或报价低于其成本且不能做出合理说明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5</w:t>
            </w:r>
          </w:p>
        </w:tc>
        <w:tc>
          <w:tcPr>
            <w:tcW w:w="7988" w:type="dxa"/>
            <w:vAlign w:val="center"/>
          </w:tcPr>
          <w:p>
            <w:pPr>
              <w:rPr>
                <w:rFonts w:ascii="宋体" w:hAnsi="宋体" w:cs="宋体"/>
              </w:rPr>
            </w:pPr>
            <w:r>
              <w:rPr>
                <w:rFonts w:hint="eastAsia" w:ascii="宋体" w:hAnsi="宋体" w:cs="宋体"/>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6</w:t>
            </w:r>
          </w:p>
        </w:tc>
        <w:tc>
          <w:tcPr>
            <w:tcW w:w="7988" w:type="dxa"/>
            <w:vAlign w:val="center"/>
          </w:tcPr>
          <w:p>
            <w:pPr>
              <w:rPr>
                <w:rFonts w:ascii="宋体" w:hAnsi="宋体" w:cs="宋体"/>
              </w:rPr>
            </w:pPr>
            <w:r>
              <w:rPr>
                <w:rFonts w:hint="eastAsia" w:ascii="宋体" w:hAnsi="宋体" w:cs="宋体"/>
                <w:b/>
              </w:rPr>
              <w:t>投标文件载明的交货期超过招标文件规定的期限</w:t>
            </w:r>
            <w:r>
              <w:rPr>
                <w:rFonts w:hint="eastAsia" w:ascii="宋体" w:hAnsi="宋体" w:cs="宋体"/>
                <w:b/>
                <w:color w:val="FF0000"/>
              </w:rPr>
              <w:t>或</w:t>
            </w:r>
            <w:r>
              <w:rPr>
                <w:rFonts w:hint="eastAsia" w:ascii="宋体" w:hAnsi="宋体" w:cs="宋体"/>
                <w:b/>
              </w:rPr>
              <w:t>免费保修期低于招标文件规定的期限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7</w:t>
            </w:r>
          </w:p>
        </w:tc>
        <w:tc>
          <w:tcPr>
            <w:tcW w:w="7988" w:type="dxa"/>
            <w:vAlign w:val="center"/>
          </w:tcPr>
          <w:p>
            <w:pPr>
              <w:rPr>
                <w:rFonts w:ascii="宋体" w:hAnsi="宋体" w:cs="宋体"/>
              </w:rPr>
            </w:pPr>
            <w:r>
              <w:rPr>
                <w:rFonts w:hint="eastAsia" w:ascii="宋体" w:hAnsi="宋体" w:cs="宋体"/>
              </w:rPr>
              <w:t>所投产品、工程、服务在质量、技术、方案等方面没有实质性满足招标文件要求</w:t>
            </w:r>
          </w:p>
        </w:tc>
      </w:tr>
    </w:tbl>
    <w:p>
      <w:pPr>
        <w:pStyle w:val="4"/>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综合评分法 </w:t>
      </w:r>
      <w:r>
        <w:rPr>
          <w:rFonts w:hint="eastAsia" w:ascii="宋体" w:hAnsi="宋体" w:cs="宋体"/>
          <w:szCs w:val="21"/>
        </w:rPr>
        <w:t>。</w:t>
      </w:r>
    </w:p>
    <w:p>
      <w:pPr>
        <w:pStyle w:val="4"/>
        <w:jc w:val="both"/>
        <w:rPr>
          <w:rFonts w:cs="宋体"/>
        </w:rPr>
      </w:pPr>
      <w:r>
        <w:rPr>
          <w:rFonts w:hint="eastAsia" w:cs="宋体"/>
        </w:rPr>
        <w:t>评标方法</w:t>
      </w:r>
    </w:p>
    <w:tbl>
      <w:tblPr>
        <w:tblStyle w:val="15"/>
        <w:tblW w:w="9078" w:type="dxa"/>
        <w:jc w:val="center"/>
        <w:tblCellSpacing w:w="0" w:type="dxa"/>
        <w:tblLayout w:type="autofit"/>
        <w:tblCellMar>
          <w:top w:w="45" w:type="dxa"/>
          <w:left w:w="45" w:type="dxa"/>
          <w:bottom w:w="45" w:type="dxa"/>
          <w:right w:w="45" w:type="dxa"/>
        </w:tblCellMar>
      </w:tblPr>
      <w:tblGrid>
        <w:gridCol w:w="8685"/>
        <w:gridCol w:w="393"/>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b/>
                <w:bCs/>
                <w:sz w:val="24"/>
              </w:rPr>
            </w:pPr>
            <w:r>
              <w:rPr>
                <w:b/>
                <w:bCs/>
              </w:rPr>
              <w:t>评标方法：综合评分法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13"/>
              <w:widowControl/>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p>
          <w:p>
            <w:pPr>
              <w:pStyle w:val="13"/>
              <w:widowControl/>
              <w:spacing w:line="324" w:lineRule="auto"/>
              <w:ind w:left="420"/>
              <w:rPr>
                <w:sz w:val="21"/>
                <w:szCs w:val="21"/>
              </w:rPr>
            </w:pPr>
            <w:r>
              <w:rPr>
                <w:sz w:val="21"/>
                <w:szCs w:val="21"/>
              </w:rPr>
              <w:t>投标报价得分=(评标基准价／投标报价)×100</w:t>
            </w:r>
          </w:p>
          <w:p>
            <w:pPr>
              <w:pStyle w:val="13"/>
              <w:widowControl/>
              <w:spacing w:line="324" w:lineRule="auto"/>
              <w:ind w:left="420"/>
              <w:rPr>
                <w:sz w:val="21"/>
                <w:szCs w:val="21"/>
              </w:rPr>
            </w:pPr>
            <w:r>
              <w:rPr>
                <w:sz w:val="21"/>
                <w:szCs w:val="21"/>
              </w:rPr>
              <w:t xml:space="preserve">评标总得分＝F1×A1＋F2×A2＋……＋Fn×An </w:t>
            </w:r>
          </w:p>
          <w:p>
            <w:pPr>
              <w:pStyle w:val="13"/>
              <w:widowControl/>
              <w:spacing w:line="324" w:lineRule="auto"/>
              <w:ind w:left="420"/>
              <w:rPr>
                <w:sz w:val="21"/>
                <w:szCs w:val="21"/>
              </w:rPr>
            </w:pPr>
            <w:r>
              <w:rPr>
                <w:sz w:val="21"/>
                <w:szCs w:val="21"/>
              </w:rPr>
              <w:t xml:space="preserve">F1、F2……Fn分别为各项评审因素的得分； </w:t>
            </w:r>
          </w:p>
          <w:p>
            <w:pPr>
              <w:pStyle w:val="13"/>
              <w:widowControl/>
              <w:spacing w:line="324" w:lineRule="auto"/>
              <w:ind w:left="420"/>
              <w:rPr>
                <w:sz w:val="21"/>
                <w:szCs w:val="21"/>
              </w:rPr>
            </w:pPr>
            <w:r>
              <w:rPr>
                <w:sz w:val="21"/>
                <w:szCs w:val="21"/>
              </w:rPr>
              <w:t xml:space="preserve">A1、A2、……An 分别为各项评审因素所占的权重(A1＋A2＋……＋An＝1)。 </w:t>
            </w:r>
          </w:p>
          <w:p>
            <w:pPr>
              <w:pStyle w:val="13"/>
              <w:widowControl/>
              <w:spacing w:line="324" w:lineRule="auto"/>
              <w:ind w:left="420"/>
              <w:rPr>
                <w:sz w:val="21"/>
                <w:szCs w:val="21"/>
              </w:rPr>
            </w:pPr>
            <w:r>
              <w:rPr>
                <w:sz w:val="21"/>
                <w:szCs w:val="21"/>
              </w:rPr>
              <w:t xml:space="preserve">评标过程中，不得去掉报价中的最高报价和最低报价。 </w:t>
            </w:r>
          </w:p>
          <w:p>
            <w:pPr>
              <w:pStyle w:val="13"/>
              <w:widowControl/>
              <w:spacing w:line="324" w:lineRule="auto"/>
              <w:ind w:left="420"/>
              <w:rPr>
                <w:sz w:val="21"/>
                <w:szCs w:val="21"/>
              </w:rPr>
            </w:pPr>
            <w:r>
              <w:rPr>
                <w:sz w:val="21"/>
                <w:szCs w:val="21"/>
              </w:rPr>
              <w:t>此方法适用于货物类、服务类、工程类项目。</w:t>
            </w:r>
          </w:p>
        </w:tc>
      </w:tr>
    </w:tbl>
    <w:p/>
    <w:p>
      <w:pPr>
        <w:pStyle w:val="10"/>
      </w:pPr>
    </w:p>
    <w:tbl>
      <w:tblPr>
        <w:tblStyle w:val="15"/>
        <w:tblpPr w:leftFromText="180" w:rightFromText="180" w:vertAnchor="text" w:tblpXSpec="center" w:tblpY="1"/>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9"/>
        <w:gridCol w:w="1394"/>
        <w:gridCol w:w="28"/>
        <w:gridCol w:w="11"/>
        <w:gridCol w:w="142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序号</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评分项</w:t>
            </w:r>
          </w:p>
        </w:tc>
        <w:tc>
          <w:tcPr>
            <w:tcW w:w="4678" w:type="dxa"/>
            <w:vAlign w:val="center"/>
          </w:tcPr>
          <w:p>
            <w:pPr>
              <w:spacing w:line="240" w:lineRule="exact"/>
              <w:jc w:val="center"/>
              <w:rPr>
                <w:rFonts w:ascii="宋体" w:hAnsi="宋体" w:cs="宋体"/>
                <w:b/>
                <w:szCs w:val="21"/>
              </w:rPr>
            </w:pPr>
            <w:r>
              <w:rPr>
                <w:rFonts w:hint="eastAsia" w:ascii="宋体" w:hAnsi="宋体" w:cs="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1</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价格部分</w:t>
            </w:r>
          </w:p>
        </w:tc>
        <w:tc>
          <w:tcPr>
            <w:tcW w:w="4678" w:type="dxa"/>
            <w:vAlign w:val="center"/>
          </w:tcPr>
          <w:p>
            <w:pPr>
              <w:spacing w:line="240" w:lineRule="exact"/>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09" w:type="dxa"/>
            <w:vAlign w:val="center"/>
          </w:tcPr>
          <w:p>
            <w:pPr>
              <w:spacing w:line="240" w:lineRule="exact"/>
              <w:jc w:val="center"/>
              <w:rPr>
                <w:rFonts w:ascii="宋体" w:hAnsi="宋体" w:cs="宋体"/>
                <w:b/>
                <w:szCs w:val="21"/>
              </w:rPr>
            </w:pPr>
            <w:r>
              <w:rPr>
                <w:rFonts w:hint="eastAsia" w:ascii="宋体" w:hAnsi="宋体" w:cs="宋体"/>
                <w:b/>
                <w:szCs w:val="21"/>
              </w:rPr>
              <w:t>2</w:t>
            </w:r>
          </w:p>
        </w:tc>
        <w:tc>
          <w:tcPr>
            <w:tcW w:w="3552" w:type="dxa"/>
            <w:gridSpan w:val="5"/>
            <w:vAlign w:val="center"/>
          </w:tcPr>
          <w:p>
            <w:pPr>
              <w:spacing w:line="240" w:lineRule="exact"/>
              <w:jc w:val="center"/>
              <w:rPr>
                <w:rFonts w:ascii="宋体" w:hAnsi="宋体" w:cs="宋体"/>
                <w:b/>
                <w:szCs w:val="21"/>
              </w:rPr>
            </w:pPr>
            <w:r>
              <w:rPr>
                <w:rFonts w:hint="eastAsia" w:ascii="宋体" w:hAnsi="宋体" w:cs="宋体"/>
                <w:b/>
                <w:szCs w:val="21"/>
              </w:rPr>
              <w:t>技术部分</w:t>
            </w:r>
          </w:p>
        </w:tc>
        <w:tc>
          <w:tcPr>
            <w:tcW w:w="4678" w:type="dxa"/>
            <w:vAlign w:val="center"/>
          </w:tcPr>
          <w:p>
            <w:pPr>
              <w:spacing w:line="240" w:lineRule="exact"/>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jc w:val="center"/>
              <w:rPr>
                <w:rFonts w:ascii="宋体" w:hAnsi="宋体" w:cs="宋体"/>
                <w:szCs w:val="21"/>
              </w:rPr>
            </w:pPr>
          </w:p>
        </w:tc>
        <w:tc>
          <w:tcPr>
            <w:tcW w:w="699" w:type="dxa"/>
            <w:vAlign w:val="center"/>
          </w:tcPr>
          <w:p>
            <w:pPr>
              <w:jc w:val="center"/>
              <w:rPr>
                <w:rFonts w:ascii="宋体" w:hAnsi="宋体" w:cs="宋体"/>
                <w:b/>
                <w:bCs/>
                <w:szCs w:val="21"/>
              </w:rPr>
            </w:pPr>
            <w:r>
              <w:rPr>
                <w:rFonts w:hint="eastAsia" w:ascii="宋体" w:hAnsi="宋体" w:cs="宋体"/>
                <w:b/>
                <w:bCs/>
                <w:szCs w:val="21"/>
              </w:rPr>
              <w:t>序号</w:t>
            </w:r>
          </w:p>
        </w:tc>
        <w:tc>
          <w:tcPr>
            <w:tcW w:w="1433" w:type="dxa"/>
            <w:gridSpan w:val="3"/>
            <w:vAlign w:val="center"/>
          </w:tcPr>
          <w:p>
            <w:pPr>
              <w:jc w:val="center"/>
              <w:rPr>
                <w:rFonts w:ascii="宋体" w:hAnsi="宋体" w:cs="宋体"/>
                <w:b/>
                <w:bCs/>
                <w:szCs w:val="21"/>
              </w:rPr>
            </w:pPr>
            <w:r>
              <w:rPr>
                <w:rFonts w:hint="eastAsia" w:ascii="宋体" w:hAnsi="宋体" w:cs="宋体"/>
                <w:b/>
                <w:bCs/>
                <w:szCs w:val="21"/>
              </w:rPr>
              <w:t>评分因素</w:t>
            </w:r>
          </w:p>
        </w:tc>
        <w:tc>
          <w:tcPr>
            <w:tcW w:w="1420" w:type="dxa"/>
            <w:vAlign w:val="center"/>
          </w:tcPr>
          <w:p>
            <w:pPr>
              <w:jc w:val="center"/>
              <w:rPr>
                <w:rFonts w:ascii="宋体" w:hAnsi="宋体" w:cs="宋体"/>
                <w:b/>
                <w:bCs/>
                <w:szCs w:val="21"/>
              </w:rPr>
            </w:pPr>
            <w:r>
              <w:rPr>
                <w:rFonts w:hint="eastAsia" w:ascii="宋体" w:hAnsi="宋体" w:cs="宋体"/>
                <w:b/>
                <w:bCs/>
                <w:szCs w:val="21"/>
              </w:rPr>
              <w:t>权重</w:t>
            </w:r>
          </w:p>
        </w:tc>
        <w:tc>
          <w:tcPr>
            <w:tcW w:w="4678" w:type="dxa"/>
            <w:vAlign w:val="center"/>
          </w:tcPr>
          <w:p>
            <w:pPr>
              <w:jc w:val="center"/>
              <w:rPr>
                <w:rFonts w:ascii="宋体" w:hAnsi="宋体" w:cs="宋体"/>
                <w:b/>
                <w:bCs/>
                <w:szCs w:val="21"/>
              </w:rPr>
            </w:pPr>
            <w:r>
              <w:rPr>
                <w:rFonts w:hint="eastAsia" w:ascii="宋体" w:hAnsi="宋体" w:cs="宋体"/>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433" w:type="dxa"/>
            <w:gridSpan w:val="3"/>
            <w:vAlign w:val="center"/>
          </w:tcPr>
          <w:p>
            <w:pPr>
              <w:adjustRightInd w:val="0"/>
              <w:snapToGrid w:val="0"/>
              <w:spacing w:line="360" w:lineRule="auto"/>
              <w:jc w:val="both"/>
              <w:rPr>
                <w:rFonts w:hint="eastAsia" w:ascii="宋体" w:hAnsi="宋体" w:eastAsia="宋体" w:cs="宋体"/>
                <w:szCs w:val="21"/>
              </w:rPr>
            </w:pPr>
            <w:r>
              <w:rPr>
                <w:rFonts w:hint="eastAsia" w:ascii="宋体" w:hAnsi="宋体" w:cs="宋体"/>
                <w:color w:val="000000"/>
                <w:sz w:val="22"/>
                <w:szCs w:val="22"/>
              </w:rPr>
              <w:t>技术规格响应情况</w:t>
            </w:r>
          </w:p>
        </w:tc>
        <w:tc>
          <w:tcPr>
            <w:tcW w:w="1420" w:type="dxa"/>
            <w:vAlign w:val="center"/>
          </w:tcPr>
          <w:p>
            <w:pPr>
              <w:adjustRightInd w:val="0"/>
              <w:snapToGrid w:val="0"/>
              <w:spacing w:line="360" w:lineRule="auto"/>
              <w:jc w:val="center"/>
              <w:rPr>
                <w:rFonts w:hint="default" w:ascii="宋体" w:hAnsi="宋体" w:eastAsia="宋体" w:cs="宋体"/>
                <w:szCs w:val="21"/>
                <w:lang w:val="en-US" w:eastAsia="zh-CN"/>
              </w:rPr>
            </w:pPr>
            <w:r>
              <w:rPr>
                <w:rFonts w:hint="eastAsia" w:ascii="宋体" w:hAnsi="宋体" w:cs="宋体"/>
                <w:sz w:val="22"/>
                <w:szCs w:val="22"/>
                <w:lang w:val="en-US" w:eastAsia="zh-CN"/>
              </w:rPr>
              <w:t>17</w:t>
            </w:r>
          </w:p>
        </w:tc>
        <w:tc>
          <w:tcPr>
            <w:tcW w:w="4678" w:type="dxa"/>
            <w:vAlign w:val="center"/>
          </w:tcPr>
          <w:p>
            <w:pPr>
              <w:adjustRightInd w:val="0"/>
              <w:snapToGrid w:val="0"/>
              <w:spacing w:line="360" w:lineRule="auto"/>
              <w:rPr>
                <w:rFonts w:hint="eastAsia" w:ascii="宋体" w:hAnsi="宋体" w:cs="宋体"/>
                <w:color w:val="000000"/>
                <w:sz w:val="22"/>
                <w:szCs w:val="22"/>
              </w:rPr>
            </w:pPr>
            <w:r>
              <w:rPr>
                <w:rFonts w:hint="eastAsia" w:ascii="宋体" w:hAnsi="宋体" w:cs="宋体"/>
                <w:color w:val="000000"/>
                <w:sz w:val="22"/>
                <w:szCs w:val="22"/>
              </w:rPr>
              <w:t>投标人应如实填写《技术具体技术要求偏离表》，完全满足招标文件要求得</w:t>
            </w:r>
            <w:r>
              <w:rPr>
                <w:rFonts w:hint="eastAsia" w:ascii="宋体" w:hAnsi="宋体" w:cs="宋体"/>
                <w:color w:val="000000"/>
                <w:sz w:val="22"/>
                <w:szCs w:val="22"/>
                <w:lang w:val="en-US" w:eastAsia="zh-CN"/>
              </w:rPr>
              <w:t>17</w:t>
            </w:r>
            <w:r>
              <w:rPr>
                <w:rFonts w:hint="eastAsia" w:ascii="宋体" w:hAnsi="宋体" w:cs="宋体"/>
                <w:color w:val="000000"/>
                <w:sz w:val="22"/>
                <w:szCs w:val="22"/>
              </w:rPr>
              <w:t>分；每负偏离一项目扣</w:t>
            </w:r>
            <w:r>
              <w:rPr>
                <w:rFonts w:hint="eastAsia" w:ascii="宋体" w:hAnsi="宋体" w:cs="宋体"/>
                <w:color w:val="000000"/>
                <w:sz w:val="22"/>
                <w:szCs w:val="22"/>
                <w:lang w:val="en-US" w:eastAsia="zh-CN"/>
              </w:rPr>
              <w:t>1</w:t>
            </w:r>
            <w:r>
              <w:rPr>
                <w:rFonts w:hint="eastAsia" w:ascii="宋体" w:hAnsi="宋体" w:cs="宋体"/>
                <w:color w:val="000000"/>
                <w:sz w:val="22"/>
                <w:szCs w:val="22"/>
              </w:rPr>
              <w:t>分</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扣完为止</w:t>
            </w:r>
            <w:r>
              <w:rPr>
                <w:rFonts w:hint="eastAsia" w:ascii="宋体" w:hAnsi="宋体" w:cs="宋体"/>
                <w:color w:val="000000"/>
                <w:sz w:val="22"/>
                <w:szCs w:val="22"/>
              </w:rPr>
              <w:t>。（扣分以每一个序号对应一</w:t>
            </w:r>
            <w:r>
              <w:rPr>
                <w:rFonts w:hint="eastAsia" w:ascii="宋体" w:hAnsi="宋体" w:cs="宋体"/>
                <w:color w:val="000000"/>
                <w:sz w:val="22"/>
                <w:szCs w:val="22"/>
                <w:lang w:val="en-US" w:eastAsia="zh-CN"/>
              </w:rPr>
              <w:t>项</w:t>
            </w:r>
            <w:r>
              <w:rPr>
                <w:rFonts w:hint="eastAsia" w:ascii="宋体" w:hAnsi="宋体" w:cs="宋体"/>
                <w:color w:val="000000"/>
                <w:sz w:val="22"/>
                <w:szCs w:val="22"/>
              </w:rPr>
              <w:t>条款计算）</w:t>
            </w:r>
          </w:p>
          <w:p>
            <w:pPr>
              <w:adjustRightInd w:val="0"/>
              <w:snapToGrid w:val="0"/>
              <w:spacing w:line="360" w:lineRule="auto"/>
              <w:rPr>
                <w:rFonts w:hint="eastAsia" w:ascii="宋体" w:hAnsi="宋体" w:eastAsia="宋体" w:cs="宋体"/>
                <w:szCs w:val="21"/>
              </w:rPr>
            </w:pPr>
            <w:r>
              <w:rPr>
                <w:rFonts w:hint="eastAsia" w:ascii="宋体" w:hAnsi="宋体" w:cs="宋体"/>
                <w:color w:val="000000"/>
                <w:sz w:val="22"/>
                <w:szCs w:val="22"/>
              </w:rPr>
              <w:t>备注：如具体技术条款中要求提供证明材料，投标人需按要求提供相应的证明材料，不提供证明材料或提供的证明材料不清晰导致专家无法判断的视为负偏离。投标人响应情况与证明材料不一致的，以证明材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433" w:type="dxa"/>
            <w:gridSpan w:val="3"/>
            <w:vAlign w:val="center"/>
          </w:tcPr>
          <w:p>
            <w:pPr>
              <w:adjustRightInd w:val="0"/>
              <w:snapToGrid w:val="0"/>
              <w:spacing w:line="360" w:lineRule="auto"/>
              <w:jc w:val="both"/>
              <w:rPr>
                <w:rFonts w:hint="eastAsia" w:ascii="宋体" w:hAnsi="宋体" w:eastAsia="宋体" w:cs="宋体"/>
                <w:szCs w:val="21"/>
              </w:rPr>
            </w:pPr>
            <w:r>
              <w:rPr>
                <w:rFonts w:hint="eastAsia" w:ascii="宋体" w:hAnsi="宋体" w:cs="宋体"/>
                <w:sz w:val="22"/>
                <w:szCs w:val="22"/>
              </w:rPr>
              <w:t>实施方案</w:t>
            </w:r>
          </w:p>
        </w:tc>
        <w:tc>
          <w:tcPr>
            <w:tcW w:w="1420" w:type="dxa"/>
            <w:vAlign w:val="center"/>
          </w:tcPr>
          <w:p>
            <w:pPr>
              <w:adjustRightInd w:val="0"/>
              <w:snapToGrid w:val="0"/>
              <w:spacing w:line="360" w:lineRule="auto"/>
              <w:jc w:val="center"/>
              <w:rPr>
                <w:rFonts w:hint="eastAsia" w:ascii="宋体" w:hAnsi="宋体" w:cs="宋体"/>
                <w:szCs w:val="21"/>
                <w:lang w:val="en-US" w:eastAsia="zh-CN"/>
              </w:rPr>
            </w:pPr>
            <w:r>
              <w:rPr>
                <w:rFonts w:hint="eastAsia" w:ascii="宋体" w:hAnsi="宋体" w:cs="宋体"/>
                <w:sz w:val="22"/>
                <w:szCs w:val="22"/>
                <w:lang w:val="en-US" w:eastAsia="zh-CN"/>
              </w:rPr>
              <w:t>15</w:t>
            </w:r>
          </w:p>
        </w:tc>
        <w:tc>
          <w:tcPr>
            <w:tcW w:w="4678" w:type="dxa"/>
            <w:vAlign w:val="top"/>
          </w:tcPr>
          <w:p>
            <w:pPr>
              <w:adjustRightInd w:val="0"/>
              <w:snapToGrid w:val="0"/>
              <w:spacing w:line="360" w:lineRule="auto"/>
              <w:rPr>
                <w:rFonts w:hint="eastAsia" w:ascii="宋体" w:hAnsi="宋体" w:cs="宋体"/>
                <w:sz w:val="22"/>
                <w:szCs w:val="22"/>
              </w:rPr>
            </w:pPr>
            <w:r>
              <w:rPr>
                <w:rFonts w:hint="eastAsia" w:ascii="宋体" w:hAnsi="宋体" w:cs="宋体"/>
                <w:b/>
                <w:bCs/>
                <w:sz w:val="22"/>
                <w:szCs w:val="22"/>
              </w:rPr>
              <w:t>评审内容：本项目实施方案内容包括但不限于以下要素：</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1.具有项目实施组织架构；</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2.具有实施计划并提供项目进度表；</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3.具有技术保障措施；</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4.具有售后服务方案；</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5.具有故障响应时间。</w:t>
            </w:r>
          </w:p>
          <w:p>
            <w:pPr>
              <w:adjustRightInd w:val="0"/>
              <w:snapToGrid w:val="0"/>
              <w:spacing w:line="360" w:lineRule="auto"/>
              <w:rPr>
                <w:rFonts w:hint="eastAsia" w:ascii="宋体" w:hAnsi="宋体" w:cs="宋体"/>
                <w:b/>
                <w:bCs/>
                <w:sz w:val="22"/>
                <w:szCs w:val="22"/>
              </w:rPr>
            </w:pPr>
            <w:r>
              <w:rPr>
                <w:rFonts w:hint="eastAsia" w:ascii="宋体" w:hAnsi="宋体" w:cs="宋体"/>
                <w:b/>
                <w:bCs/>
                <w:sz w:val="22"/>
                <w:szCs w:val="22"/>
              </w:rPr>
              <w:t>评分依据：</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1.满足以上5项要求</w:t>
            </w:r>
            <w:r>
              <w:rPr>
                <w:rFonts w:hint="eastAsia" w:ascii="宋体" w:hAnsi="宋体" w:cs="宋体"/>
                <w:sz w:val="22"/>
                <w:szCs w:val="22"/>
                <w:lang w:eastAsia="zh-CN"/>
              </w:rPr>
              <w:t>，</w:t>
            </w:r>
            <w:r>
              <w:rPr>
                <w:rFonts w:hint="eastAsia" w:ascii="宋体" w:hAnsi="宋体" w:cs="宋体"/>
                <w:sz w:val="22"/>
                <w:szCs w:val="22"/>
              </w:rPr>
              <w:t>得</w:t>
            </w:r>
            <w:r>
              <w:rPr>
                <w:rFonts w:hint="eastAsia" w:ascii="宋体" w:hAnsi="宋体" w:cs="宋体"/>
                <w:sz w:val="22"/>
                <w:szCs w:val="22"/>
                <w:lang w:val="en-US" w:eastAsia="zh-CN"/>
              </w:rPr>
              <w:t>8</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sz w:val="22"/>
                <w:szCs w:val="22"/>
              </w:rPr>
              <w:t>满足以上4项要求</w:t>
            </w:r>
            <w:r>
              <w:rPr>
                <w:rFonts w:hint="eastAsia" w:ascii="宋体" w:hAnsi="宋体" w:cs="宋体"/>
                <w:sz w:val="22"/>
                <w:szCs w:val="22"/>
                <w:lang w:eastAsia="zh-CN"/>
              </w:rPr>
              <w:t>，</w:t>
            </w:r>
            <w:r>
              <w:rPr>
                <w:rFonts w:hint="eastAsia" w:ascii="宋体" w:hAnsi="宋体" w:cs="宋体"/>
                <w:sz w:val="22"/>
                <w:szCs w:val="22"/>
              </w:rPr>
              <w:t>得</w:t>
            </w:r>
            <w:r>
              <w:rPr>
                <w:rFonts w:hint="eastAsia" w:ascii="宋体" w:hAnsi="宋体" w:cs="宋体"/>
                <w:sz w:val="22"/>
                <w:szCs w:val="22"/>
                <w:lang w:val="en-US" w:eastAsia="zh-CN"/>
              </w:rPr>
              <w:t>5</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sz w:val="22"/>
                <w:szCs w:val="22"/>
              </w:rPr>
              <w:t>满足以上</w:t>
            </w:r>
            <w:r>
              <w:rPr>
                <w:rFonts w:ascii="宋体" w:hAnsi="宋体" w:cs="宋体"/>
                <w:sz w:val="22"/>
                <w:szCs w:val="22"/>
              </w:rPr>
              <w:t>3</w:t>
            </w:r>
            <w:r>
              <w:rPr>
                <w:rFonts w:hint="eastAsia" w:ascii="宋体" w:hAnsi="宋体" w:cs="宋体"/>
                <w:sz w:val="22"/>
                <w:szCs w:val="22"/>
              </w:rPr>
              <w:t>项要求得3分</w:t>
            </w:r>
            <w:r>
              <w:rPr>
                <w:rFonts w:hint="eastAsia" w:ascii="宋体" w:hAnsi="宋体" w:cs="宋体"/>
                <w:sz w:val="22"/>
                <w:szCs w:val="22"/>
                <w:lang w:eastAsia="zh-CN"/>
              </w:rPr>
              <w:t>；</w:t>
            </w:r>
            <w:r>
              <w:rPr>
                <w:rFonts w:hint="eastAsia" w:ascii="宋体" w:hAnsi="宋体" w:cs="宋体"/>
                <w:sz w:val="22"/>
                <w:szCs w:val="22"/>
              </w:rPr>
              <w:t>其他情况不得分。</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2.在此基础上，专家根据各供应商的具体响应内容按全面性、针对性、科学合理性等因素指标进一步评审：</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（1）实施方案完整针对性强，进度计划内容全面、描述清晰、科学合理、可操作性强</w:t>
            </w:r>
            <w:r>
              <w:rPr>
                <w:rFonts w:hint="eastAsia" w:ascii="宋体" w:hAnsi="宋体" w:cs="宋体"/>
                <w:sz w:val="22"/>
                <w:szCs w:val="22"/>
                <w:lang w:eastAsia="zh-CN"/>
              </w:rPr>
              <w:t>，</w:t>
            </w:r>
            <w:r>
              <w:rPr>
                <w:rFonts w:hint="eastAsia" w:ascii="宋体" w:hAnsi="宋体" w:cs="宋体"/>
                <w:sz w:val="22"/>
                <w:szCs w:val="22"/>
              </w:rPr>
              <w:t>加</w:t>
            </w:r>
            <w:r>
              <w:rPr>
                <w:rFonts w:hint="eastAsia" w:ascii="宋体" w:hAnsi="宋体" w:cs="宋体"/>
                <w:sz w:val="22"/>
                <w:szCs w:val="22"/>
                <w:lang w:val="en-US" w:eastAsia="zh-CN"/>
              </w:rPr>
              <w:t>7</w:t>
            </w:r>
            <w:r>
              <w:rPr>
                <w:rFonts w:hint="eastAsia" w:ascii="宋体" w:hAnsi="宋体" w:cs="宋体"/>
                <w:sz w:val="22"/>
                <w:szCs w:val="22"/>
              </w:rPr>
              <w:t>分；</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（2）实施方案基本完整，进度计划内容较全面但描述简单，可操作性一般</w:t>
            </w:r>
            <w:r>
              <w:rPr>
                <w:rFonts w:hint="eastAsia" w:ascii="宋体" w:hAnsi="宋体" w:cs="宋体"/>
                <w:sz w:val="22"/>
                <w:szCs w:val="22"/>
                <w:lang w:eastAsia="zh-CN"/>
              </w:rPr>
              <w:t>，</w:t>
            </w:r>
            <w:r>
              <w:rPr>
                <w:rFonts w:hint="eastAsia" w:ascii="宋体" w:hAnsi="宋体" w:cs="宋体"/>
                <w:sz w:val="22"/>
                <w:szCs w:val="22"/>
              </w:rPr>
              <w:t>加</w:t>
            </w:r>
            <w:r>
              <w:rPr>
                <w:rFonts w:hint="eastAsia" w:ascii="宋体" w:hAnsi="宋体" w:cs="宋体"/>
                <w:sz w:val="22"/>
                <w:szCs w:val="22"/>
                <w:lang w:val="en-US" w:eastAsia="zh-CN"/>
              </w:rPr>
              <w:t>3</w:t>
            </w:r>
            <w:r>
              <w:rPr>
                <w:rFonts w:hint="eastAsia" w:ascii="宋体" w:hAnsi="宋体" w:cs="宋体"/>
                <w:sz w:val="22"/>
                <w:szCs w:val="22"/>
              </w:rPr>
              <w:t>分；</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（3）实施方案简单，进度计划内容不全面，基本具有可操作性</w:t>
            </w:r>
            <w:r>
              <w:rPr>
                <w:rFonts w:hint="eastAsia" w:ascii="宋体" w:hAnsi="宋体" w:cs="宋体"/>
                <w:sz w:val="22"/>
                <w:szCs w:val="22"/>
                <w:lang w:eastAsia="zh-CN"/>
              </w:rPr>
              <w:t>，</w:t>
            </w:r>
            <w:r>
              <w:rPr>
                <w:rFonts w:hint="eastAsia" w:ascii="宋体" w:hAnsi="宋体" w:cs="宋体"/>
                <w:sz w:val="22"/>
                <w:szCs w:val="22"/>
              </w:rPr>
              <w:t>加1分；</w:t>
            </w:r>
          </w:p>
          <w:p>
            <w:pPr>
              <w:adjustRightInd w:val="0"/>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sz w:val="22"/>
                <w:szCs w:val="22"/>
              </w:rPr>
              <w:t>其他情况评审为差</w:t>
            </w:r>
            <w:r>
              <w:rPr>
                <w:rFonts w:hint="eastAsia" w:ascii="宋体" w:hAnsi="宋体" w:cs="宋体"/>
                <w:sz w:val="22"/>
                <w:szCs w:val="22"/>
                <w:lang w:eastAsia="zh-CN"/>
              </w:rPr>
              <w:t>，</w:t>
            </w:r>
            <w:r>
              <w:rPr>
                <w:rFonts w:hint="eastAsia" w:ascii="宋体" w:hAnsi="宋体" w:cs="宋体"/>
                <w:sz w:val="22"/>
                <w:szCs w:val="22"/>
              </w:rPr>
              <w:t>不加分。如果评审为差，要求专家书面说明理由，并记录存档。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433" w:type="dxa"/>
            <w:gridSpan w:val="3"/>
            <w:vAlign w:val="center"/>
          </w:tcPr>
          <w:p>
            <w:pPr>
              <w:adjustRightInd w:val="0"/>
              <w:snapToGrid w:val="0"/>
              <w:spacing w:line="360" w:lineRule="auto"/>
              <w:jc w:val="both"/>
              <w:rPr>
                <w:rFonts w:hint="eastAsia" w:ascii="宋体" w:hAnsi="宋体" w:eastAsia="宋体" w:cs="宋体"/>
                <w:szCs w:val="21"/>
              </w:rPr>
            </w:pPr>
            <w:r>
              <w:rPr>
                <w:rFonts w:hint="eastAsia" w:ascii="宋体" w:hAnsi="宋体" w:cs="宋体"/>
                <w:sz w:val="22"/>
                <w:szCs w:val="22"/>
              </w:rPr>
              <w:t>项目重点难点分析、应对措施及相关的合理化建议</w:t>
            </w:r>
          </w:p>
        </w:tc>
        <w:tc>
          <w:tcPr>
            <w:tcW w:w="1420" w:type="dxa"/>
            <w:vAlign w:val="center"/>
          </w:tcPr>
          <w:p>
            <w:pPr>
              <w:adjustRightInd w:val="0"/>
              <w:snapToGrid w:val="0"/>
              <w:spacing w:line="360" w:lineRule="auto"/>
              <w:jc w:val="center"/>
              <w:rPr>
                <w:rFonts w:hint="eastAsia" w:ascii="宋体" w:hAnsi="宋体" w:cs="宋体"/>
                <w:szCs w:val="21"/>
                <w:lang w:val="en-US" w:eastAsia="zh-CN"/>
              </w:rPr>
            </w:pPr>
            <w:r>
              <w:rPr>
                <w:rFonts w:hint="eastAsia" w:ascii="宋体" w:hAnsi="宋体" w:cs="宋体"/>
                <w:sz w:val="22"/>
                <w:szCs w:val="22"/>
                <w:lang w:val="en-US" w:eastAsia="zh-CN"/>
              </w:rPr>
              <w:t>10</w:t>
            </w:r>
          </w:p>
        </w:tc>
        <w:tc>
          <w:tcPr>
            <w:tcW w:w="4678" w:type="dxa"/>
            <w:vAlign w:val="center"/>
          </w:tcPr>
          <w:p>
            <w:pPr>
              <w:adjustRightInd w:val="0"/>
              <w:snapToGrid w:val="0"/>
              <w:spacing w:line="360" w:lineRule="auto"/>
              <w:rPr>
                <w:rFonts w:hint="eastAsia" w:ascii="宋体" w:hAnsi="宋体" w:cs="宋体"/>
                <w:sz w:val="22"/>
                <w:szCs w:val="22"/>
              </w:rPr>
            </w:pPr>
            <w:r>
              <w:rPr>
                <w:rFonts w:hint="eastAsia" w:ascii="宋体" w:hAnsi="宋体" w:cs="宋体"/>
                <w:b/>
                <w:bCs/>
                <w:sz w:val="22"/>
                <w:szCs w:val="22"/>
              </w:rPr>
              <w:t>评审内容：根据投标人提供的项目重点难点分析、应对措施及相关的合理化建议，相关要素包括但不限于以下：</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1.项目重点难点分析（至少包含3点内容）；</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2.应对措施（至少包含3点内容）；</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3.相关的合理化建议</w:t>
            </w:r>
          </w:p>
          <w:p>
            <w:pPr>
              <w:autoSpaceDE w:val="0"/>
              <w:autoSpaceDN w:val="0"/>
              <w:adjustRightInd w:val="0"/>
              <w:jc w:val="left"/>
              <w:rPr>
                <w:rFonts w:hint="eastAsia" w:ascii="宋体"/>
                <w:kern w:val="0"/>
                <w:sz w:val="28"/>
                <w:szCs w:val="20"/>
              </w:rPr>
            </w:pPr>
            <w:r>
              <w:rPr>
                <w:rFonts w:hint="eastAsia" w:ascii="宋体" w:hAnsi="宋体" w:cs="宋体"/>
                <w:b/>
                <w:bCs/>
                <w:kern w:val="0"/>
                <w:sz w:val="22"/>
                <w:szCs w:val="22"/>
              </w:rPr>
              <w:t>评分依据：</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1.考察以上三点要求，满足以上3项要素得</w:t>
            </w:r>
            <w:r>
              <w:rPr>
                <w:rFonts w:hint="eastAsia" w:ascii="宋体" w:hAnsi="宋体" w:cs="宋体"/>
                <w:sz w:val="22"/>
                <w:szCs w:val="22"/>
                <w:lang w:val="en-US" w:eastAsia="zh-CN"/>
              </w:rPr>
              <w:t>6</w:t>
            </w:r>
            <w:r>
              <w:rPr>
                <w:rFonts w:hint="eastAsia" w:ascii="宋体" w:hAnsi="宋体" w:cs="宋体"/>
                <w:sz w:val="22"/>
                <w:szCs w:val="22"/>
              </w:rPr>
              <w:t>分，满足以上任意2项要素得</w:t>
            </w:r>
            <w:r>
              <w:rPr>
                <w:rFonts w:hint="eastAsia" w:ascii="宋体" w:hAnsi="宋体" w:cs="宋体"/>
                <w:sz w:val="22"/>
                <w:szCs w:val="22"/>
                <w:lang w:val="en-US" w:eastAsia="zh-CN"/>
              </w:rPr>
              <w:t>3</w:t>
            </w:r>
            <w:r>
              <w:rPr>
                <w:rFonts w:hint="eastAsia" w:ascii="宋体" w:hAnsi="宋体" w:cs="宋体"/>
                <w:sz w:val="22"/>
                <w:szCs w:val="22"/>
              </w:rPr>
              <w:t>分，其它情况不得分。</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2.在此基础上，专家根据各供应商的具体响应内容按全面性、针对性、科学合理性等因素指标进一步评审：</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（1）方案与本项目需求的吻合程度高，具有好的科学性、合理性、方案完整、思路清晰的</w:t>
            </w:r>
            <w:r>
              <w:rPr>
                <w:rFonts w:hint="eastAsia" w:ascii="宋体" w:hAnsi="宋体" w:cs="宋体"/>
                <w:sz w:val="22"/>
                <w:szCs w:val="22"/>
                <w:lang w:eastAsia="zh-CN"/>
              </w:rPr>
              <w:t>，</w:t>
            </w:r>
            <w:r>
              <w:rPr>
                <w:rFonts w:hint="eastAsia" w:ascii="宋体" w:hAnsi="宋体" w:cs="宋体"/>
                <w:sz w:val="22"/>
                <w:szCs w:val="22"/>
              </w:rPr>
              <w:t>加</w:t>
            </w:r>
            <w:r>
              <w:rPr>
                <w:rFonts w:hint="eastAsia" w:ascii="宋体" w:hAnsi="宋体" w:cs="宋体"/>
                <w:sz w:val="22"/>
                <w:szCs w:val="22"/>
                <w:lang w:val="en-US" w:eastAsia="zh-CN"/>
              </w:rPr>
              <w:t>4</w:t>
            </w:r>
            <w:r>
              <w:rPr>
                <w:rFonts w:hint="eastAsia" w:ascii="宋体" w:hAnsi="宋体" w:cs="宋体"/>
                <w:sz w:val="22"/>
                <w:szCs w:val="22"/>
              </w:rPr>
              <w:t>分；</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（2）方案与本项目需求有一定吻合程度，方案体现出一定的科学性、合理性、方案基本完整的</w:t>
            </w:r>
            <w:r>
              <w:rPr>
                <w:rFonts w:hint="eastAsia" w:ascii="宋体" w:hAnsi="宋体" w:cs="宋体"/>
                <w:sz w:val="22"/>
                <w:szCs w:val="22"/>
                <w:lang w:eastAsia="zh-CN"/>
              </w:rPr>
              <w:t>，</w:t>
            </w:r>
            <w:r>
              <w:rPr>
                <w:rFonts w:hint="eastAsia" w:ascii="宋体" w:hAnsi="宋体" w:cs="宋体"/>
                <w:sz w:val="22"/>
                <w:szCs w:val="22"/>
              </w:rPr>
              <w:t>加</w:t>
            </w:r>
            <w:r>
              <w:rPr>
                <w:rFonts w:hint="eastAsia" w:ascii="宋体" w:hAnsi="宋体" w:cs="宋体"/>
                <w:sz w:val="22"/>
                <w:szCs w:val="22"/>
                <w:lang w:val="en-US" w:eastAsia="zh-CN"/>
              </w:rPr>
              <w:t>2</w:t>
            </w:r>
            <w:r>
              <w:rPr>
                <w:rFonts w:hint="eastAsia" w:ascii="宋体" w:hAnsi="宋体" w:cs="宋体"/>
                <w:sz w:val="22"/>
                <w:szCs w:val="22"/>
              </w:rPr>
              <w:t>分；</w:t>
            </w:r>
          </w:p>
          <w:p>
            <w:pPr>
              <w:adjustRightInd w:val="0"/>
              <w:snapToGrid w:val="0"/>
              <w:spacing w:line="360" w:lineRule="auto"/>
              <w:rPr>
                <w:rFonts w:hint="eastAsia" w:ascii="宋体" w:hAnsi="宋体" w:eastAsia="宋体" w:cs="宋体"/>
                <w:kern w:val="2"/>
                <w:sz w:val="21"/>
                <w:szCs w:val="21"/>
                <w:lang w:val="en-US" w:eastAsia="zh-CN" w:bidi="ar-SA"/>
              </w:rPr>
            </w:pPr>
            <w:r>
              <w:rPr>
                <w:rFonts w:hint="eastAsia" w:ascii="宋体" w:hAnsi="宋体" w:cs="宋体"/>
                <w:sz w:val="22"/>
                <w:szCs w:val="22"/>
              </w:rPr>
              <w:t>其他情况评审为差</w:t>
            </w:r>
            <w:r>
              <w:rPr>
                <w:rFonts w:hint="eastAsia" w:ascii="宋体" w:hAnsi="宋体" w:cs="宋体"/>
                <w:sz w:val="22"/>
                <w:szCs w:val="22"/>
                <w:lang w:eastAsia="zh-CN"/>
              </w:rPr>
              <w:t>，</w:t>
            </w:r>
            <w:r>
              <w:rPr>
                <w:rFonts w:hint="eastAsia" w:ascii="宋体" w:hAnsi="宋体" w:cs="宋体"/>
                <w:sz w:val="22"/>
                <w:szCs w:val="22"/>
              </w:rPr>
              <w:t>不加分。如果评审为差，要求专家书面说明理由，并记录存档。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33" w:type="dxa"/>
            <w:gridSpan w:val="3"/>
            <w:vAlign w:val="center"/>
          </w:tcPr>
          <w:p>
            <w:pPr>
              <w:adjustRightInd w:val="0"/>
              <w:snapToGrid w:val="0"/>
              <w:spacing w:line="360" w:lineRule="auto"/>
              <w:jc w:val="both"/>
              <w:rPr>
                <w:rFonts w:hint="eastAsia" w:ascii="宋体" w:hAnsi="宋体" w:eastAsia="宋体" w:cs="宋体"/>
                <w:kern w:val="0"/>
                <w:szCs w:val="21"/>
              </w:rPr>
            </w:pPr>
            <w:r>
              <w:rPr>
                <w:rFonts w:hint="eastAsia" w:ascii="宋体" w:hAnsi="宋体" w:cs="宋体"/>
                <w:sz w:val="22"/>
                <w:szCs w:val="22"/>
              </w:rPr>
              <w:t>质量保障措施</w:t>
            </w:r>
          </w:p>
        </w:tc>
        <w:tc>
          <w:tcPr>
            <w:tcW w:w="1420" w:type="dxa"/>
            <w:vAlign w:val="center"/>
          </w:tcPr>
          <w:p>
            <w:pPr>
              <w:adjustRightInd w:val="0"/>
              <w:snapToGrid w:val="0"/>
              <w:spacing w:line="360" w:lineRule="auto"/>
              <w:jc w:val="center"/>
              <w:rPr>
                <w:rFonts w:hint="eastAsia" w:ascii="宋体" w:hAnsi="宋体" w:eastAsia="宋体" w:cs="宋体"/>
                <w:szCs w:val="21"/>
                <w:lang w:eastAsia="zh-CN"/>
              </w:rPr>
            </w:pPr>
            <w:r>
              <w:rPr>
                <w:rFonts w:hint="eastAsia" w:ascii="宋体" w:hAnsi="宋体" w:cs="宋体"/>
                <w:sz w:val="22"/>
                <w:szCs w:val="22"/>
                <w:lang w:val="en-US" w:eastAsia="zh-CN"/>
              </w:rPr>
              <w:t>5</w:t>
            </w:r>
          </w:p>
        </w:tc>
        <w:tc>
          <w:tcPr>
            <w:tcW w:w="4678" w:type="dxa"/>
            <w:vAlign w:val="center"/>
          </w:tcPr>
          <w:p>
            <w:pPr>
              <w:adjustRightInd w:val="0"/>
              <w:snapToGrid w:val="0"/>
              <w:spacing w:line="360" w:lineRule="auto"/>
              <w:rPr>
                <w:rFonts w:hint="eastAsia" w:ascii="宋体" w:hAnsi="宋体" w:cs="宋体"/>
                <w:sz w:val="22"/>
                <w:szCs w:val="22"/>
              </w:rPr>
            </w:pPr>
            <w:r>
              <w:rPr>
                <w:rFonts w:hint="eastAsia" w:ascii="宋体" w:hAnsi="宋体" w:cs="宋体"/>
                <w:b/>
                <w:bCs/>
                <w:sz w:val="22"/>
                <w:szCs w:val="22"/>
              </w:rPr>
              <w:t>评审内容：根据投标人提供的质量保障措施进行评审，包括但不限于：</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1.项目完成时间保障；</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2.项目安全保障措施；</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3.项目应急保障措施。</w:t>
            </w:r>
          </w:p>
          <w:p>
            <w:pPr>
              <w:autoSpaceDE w:val="0"/>
              <w:autoSpaceDN w:val="0"/>
              <w:adjustRightInd w:val="0"/>
              <w:spacing w:line="360" w:lineRule="auto"/>
              <w:jc w:val="left"/>
              <w:rPr>
                <w:rFonts w:hint="eastAsia" w:ascii="宋体"/>
                <w:kern w:val="0"/>
                <w:sz w:val="28"/>
                <w:szCs w:val="20"/>
              </w:rPr>
            </w:pPr>
            <w:r>
              <w:rPr>
                <w:rFonts w:hint="eastAsia" w:ascii="宋体" w:hAnsi="宋体" w:cs="宋体"/>
                <w:b/>
                <w:bCs/>
                <w:kern w:val="0"/>
                <w:sz w:val="22"/>
                <w:szCs w:val="22"/>
              </w:rPr>
              <w:t>评分依据：</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1.考察以上三点要求，满足以上3项要素</w:t>
            </w:r>
            <w:r>
              <w:rPr>
                <w:rFonts w:hint="eastAsia" w:ascii="宋体" w:hAnsi="宋体" w:cs="宋体"/>
                <w:sz w:val="22"/>
                <w:szCs w:val="22"/>
                <w:lang w:eastAsia="zh-CN"/>
              </w:rPr>
              <w:t>，</w:t>
            </w:r>
            <w:r>
              <w:rPr>
                <w:rFonts w:hint="eastAsia" w:ascii="宋体" w:hAnsi="宋体" w:cs="宋体"/>
                <w:sz w:val="22"/>
                <w:szCs w:val="22"/>
              </w:rPr>
              <w:t>得</w:t>
            </w:r>
            <w:r>
              <w:rPr>
                <w:rFonts w:hint="eastAsia" w:ascii="宋体" w:hAnsi="宋体" w:cs="宋体"/>
                <w:sz w:val="22"/>
                <w:szCs w:val="22"/>
                <w:lang w:val="en-US" w:eastAsia="zh-CN"/>
              </w:rPr>
              <w:t>3</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sz w:val="22"/>
                <w:szCs w:val="22"/>
              </w:rPr>
              <w:t>满足以上任意2项要素</w:t>
            </w:r>
            <w:r>
              <w:rPr>
                <w:rFonts w:hint="eastAsia" w:ascii="宋体" w:hAnsi="宋体" w:cs="宋体"/>
                <w:sz w:val="22"/>
                <w:szCs w:val="22"/>
                <w:lang w:eastAsia="zh-CN"/>
              </w:rPr>
              <w:t>，</w:t>
            </w:r>
            <w:r>
              <w:rPr>
                <w:rFonts w:hint="eastAsia" w:ascii="宋体" w:hAnsi="宋体" w:cs="宋体"/>
                <w:sz w:val="22"/>
                <w:szCs w:val="22"/>
              </w:rPr>
              <w:t>得</w:t>
            </w:r>
            <w:r>
              <w:rPr>
                <w:rFonts w:hint="eastAsia" w:ascii="宋体" w:hAnsi="宋体" w:cs="宋体"/>
                <w:sz w:val="22"/>
                <w:szCs w:val="22"/>
                <w:lang w:val="en-US" w:eastAsia="zh-CN"/>
              </w:rPr>
              <w:t>1</w:t>
            </w:r>
            <w:r>
              <w:rPr>
                <w:rFonts w:hint="eastAsia" w:ascii="宋体" w:hAnsi="宋体" w:cs="宋体"/>
                <w:sz w:val="22"/>
                <w:szCs w:val="22"/>
              </w:rPr>
              <w:t>分</w:t>
            </w:r>
            <w:r>
              <w:rPr>
                <w:rFonts w:hint="eastAsia" w:ascii="宋体" w:hAnsi="宋体" w:cs="宋体"/>
                <w:sz w:val="22"/>
                <w:szCs w:val="22"/>
                <w:lang w:eastAsia="zh-CN"/>
              </w:rPr>
              <w:t>；</w:t>
            </w:r>
            <w:r>
              <w:rPr>
                <w:rFonts w:hint="eastAsia" w:ascii="宋体" w:hAnsi="宋体" w:cs="宋体"/>
                <w:sz w:val="22"/>
                <w:szCs w:val="22"/>
              </w:rPr>
              <w:t>其它情况不得分。</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2.在此基础上，专家根据各供应商的具体响应内容按全面性、针对性、科学合理性等因素指标进一步评审：</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（1）方案内容符合实际现状，合理性强，思路清晰的，加</w:t>
            </w:r>
            <w:r>
              <w:rPr>
                <w:rFonts w:hint="eastAsia" w:ascii="宋体" w:hAnsi="宋体" w:cs="宋体"/>
                <w:sz w:val="22"/>
                <w:szCs w:val="22"/>
                <w:lang w:val="en-US" w:eastAsia="zh-CN"/>
              </w:rPr>
              <w:t>2</w:t>
            </w:r>
            <w:r>
              <w:rPr>
                <w:rFonts w:hint="eastAsia" w:ascii="宋体" w:hAnsi="宋体" w:cs="宋体"/>
                <w:sz w:val="22"/>
                <w:szCs w:val="22"/>
              </w:rPr>
              <w:t>分；</w:t>
            </w:r>
          </w:p>
          <w:p>
            <w:pPr>
              <w:adjustRightInd w:val="0"/>
              <w:snapToGrid w:val="0"/>
              <w:spacing w:line="360" w:lineRule="auto"/>
              <w:rPr>
                <w:rFonts w:hint="eastAsia" w:ascii="宋体" w:hAnsi="宋体" w:cs="宋体"/>
                <w:sz w:val="22"/>
                <w:szCs w:val="22"/>
              </w:rPr>
            </w:pPr>
            <w:r>
              <w:rPr>
                <w:rFonts w:hint="eastAsia" w:ascii="宋体" w:hAnsi="宋体" w:cs="宋体"/>
                <w:sz w:val="22"/>
                <w:szCs w:val="22"/>
              </w:rPr>
              <w:t>（2）方案内容基本符合实际现状，基本具有合理性，思路基本清晰的，加</w:t>
            </w:r>
            <w:r>
              <w:rPr>
                <w:rFonts w:hint="eastAsia" w:ascii="宋体" w:hAnsi="宋体" w:cs="宋体"/>
                <w:sz w:val="22"/>
                <w:szCs w:val="22"/>
                <w:lang w:val="en-US" w:eastAsia="zh-CN"/>
              </w:rPr>
              <w:t>1</w:t>
            </w:r>
            <w:r>
              <w:rPr>
                <w:rFonts w:hint="eastAsia" w:ascii="宋体" w:hAnsi="宋体" w:cs="宋体"/>
                <w:sz w:val="22"/>
                <w:szCs w:val="22"/>
              </w:rPr>
              <w:t>分；</w:t>
            </w:r>
          </w:p>
          <w:p>
            <w:pPr>
              <w:adjustRightInd w:val="0"/>
              <w:snapToGrid w:val="0"/>
              <w:spacing w:line="360" w:lineRule="auto"/>
              <w:rPr>
                <w:rFonts w:hint="eastAsia" w:eastAsia="宋体"/>
                <w:lang w:eastAsia="zh-CN"/>
              </w:rPr>
            </w:pPr>
            <w:r>
              <w:rPr>
                <w:rFonts w:hint="eastAsia" w:ascii="宋体" w:hAnsi="宋体" w:cs="宋体"/>
                <w:sz w:val="22"/>
                <w:szCs w:val="22"/>
              </w:rPr>
              <w:t>其他情况评审为差的</w:t>
            </w:r>
            <w:r>
              <w:rPr>
                <w:rFonts w:hint="eastAsia" w:ascii="宋体" w:hAnsi="宋体" w:cs="宋体"/>
                <w:sz w:val="22"/>
                <w:szCs w:val="22"/>
                <w:lang w:eastAsia="zh-CN"/>
              </w:rPr>
              <w:t>，</w:t>
            </w:r>
            <w:r>
              <w:rPr>
                <w:rFonts w:hint="eastAsia" w:ascii="宋体" w:hAnsi="宋体" w:cs="宋体"/>
                <w:sz w:val="22"/>
                <w:szCs w:val="22"/>
              </w:rPr>
              <w:t>不加分。如果评审为差，要求专家书面说明理由，并记录存档。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vAlign w:val="center"/>
          </w:tcPr>
          <w:p>
            <w:pPr>
              <w:jc w:val="center"/>
              <w:rPr>
                <w:rFonts w:ascii="宋体" w:hAnsi="宋体" w:cs="宋体"/>
                <w:b/>
                <w:szCs w:val="21"/>
              </w:rPr>
            </w:pPr>
            <w:r>
              <w:rPr>
                <w:rFonts w:hint="eastAsia" w:ascii="宋体" w:hAnsi="宋体" w:cs="宋体"/>
                <w:b/>
                <w:szCs w:val="21"/>
              </w:rPr>
              <w:t>3</w:t>
            </w:r>
          </w:p>
        </w:tc>
        <w:tc>
          <w:tcPr>
            <w:tcW w:w="3552" w:type="dxa"/>
            <w:gridSpan w:val="5"/>
            <w:vAlign w:val="center"/>
          </w:tcPr>
          <w:p>
            <w:pPr>
              <w:jc w:val="center"/>
              <w:rPr>
                <w:rFonts w:ascii="宋体" w:hAnsi="宋体" w:cs="宋体"/>
                <w:b/>
                <w:szCs w:val="21"/>
              </w:rPr>
            </w:pPr>
            <w:r>
              <w:rPr>
                <w:rFonts w:hint="eastAsia" w:ascii="宋体" w:hAnsi="宋体" w:cs="宋体"/>
                <w:b/>
                <w:szCs w:val="21"/>
              </w:rPr>
              <w:t>商务需求</w:t>
            </w:r>
          </w:p>
        </w:tc>
        <w:tc>
          <w:tcPr>
            <w:tcW w:w="4678" w:type="dxa"/>
            <w:vAlign w:val="center"/>
          </w:tcPr>
          <w:p>
            <w:pPr>
              <w:jc w:val="center"/>
              <w:rPr>
                <w:rFonts w:hint="default" w:ascii="宋体" w:hAnsi="宋体" w:eastAsia="宋体" w:cs="宋体"/>
                <w:b/>
                <w:color w:val="FF0000"/>
                <w:szCs w:val="21"/>
                <w:lang w:val="en-US" w:eastAsia="zh-CN"/>
              </w:rPr>
            </w:pPr>
            <w:r>
              <w:rPr>
                <w:rFonts w:hint="eastAsia" w:ascii="宋体" w:hAnsi="宋体" w:cs="宋体"/>
                <w:b/>
                <w:color w:val="FF0000"/>
                <w:szCs w:val="21"/>
                <w:lang w:val="en-US" w:eastAsia="zh-CN"/>
              </w:rPr>
              <w:t>28</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09" w:type="dxa"/>
            <w:vMerge w:val="restart"/>
            <w:vAlign w:val="center"/>
          </w:tcPr>
          <w:p>
            <w:pPr>
              <w:keepNext/>
              <w:keepLines/>
              <w:spacing w:before="340" w:after="330"/>
              <w:jc w:val="center"/>
              <w:outlineLvl w:val="0"/>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422" w:type="dxa"/>
            <w:gridSpan w:val="2"/>
            <w:vAlign w:val="center"/>
          </w:tcPr>
          <w:p>
            <w:pPr>
              <w:jc w:val="center"/>
              <w:rPr>
                <w:rFonts w:ascii="宋体" w:hAnsi="宋体" w:cs="宋体"/>
                <w:b/>
                <w:szCs w:val="21"/>
              </w:rPr>
            </w:pPr>
            <w:r>
              <w:rPr>
                <w:rFonts w:hint="eastAsia" w:ascii="宋体" w:hAnsi="宋体" w:cs="宋体"/>
                <w:b/>
                <w:szCs w:val="21"/>
              </w:rPr>
              <w:t>评分因素</w:t>
            </w:r>
          </w:p>
        </w:tc>
        <w:tc>
          <w:tcPr>
            <w:tcW w:w="1431" w:type="dxa"/>
            <w:gridSpan w:val="2"/>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Merge w:val="continue"/>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422" w:type="dxa"/>
            <w:gridSpan w:val="2"/>
            <w:vAlign w:val="center"/>
          </w:tcPr>
          <w:p>
            <w:pPr>
              <w:adjustRightInd w:val="0"/>
              <w:snapToGrid w:val="0"/>
              <w:spacing w:line="360" w:lineRule="auto"/>
              <w:jc w:val="left"/>
              <w:rPr>
                <w:rFonts w:hint="eastAsia" w:ascii="宋体" w:hAnsi="宋体" w:eastAsia="宋体" w:cs="宋体"/>
                <w:szCs w:val="21"/>
              </w:rPr>
            </w:pPr>
            <w:r>
              <w:rPr>
                <w:rFonts w:hint="eastAsia" w:ascii="宋体" w:hAnsi="宋体" w:cs="宋体"/>
                <w:sz w:val="22"/>
                <w:szCs w:val="22"/>
              </w:rPr>
              <w:t>商务条款响应情况</w:t>
            </w:r>
          </w:p>
        </w:tc>
        <w:tc>
          <w:tcPr>
            <w:tcW w:w="1431" w:type="dxa"/>
            <w:gridSpan w:val="2"/>
            <w:vAlign w:val="center"/>
          </w:tcPr>
          <w:p>
            <w:pPr>
              <w:adjustRightInd w:val="0"/>
              <w:snapToGrid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4</w:t>
            </w:r>
          </w:p>
        </w:tc>
        <w:tc>
          <w:tcPr>
            <w:tcW w:w="4678" w:type="dxa"/>
            <w:vAlign w:val="center"/>
          </w:tcPr>
          <w:p>
            <w:pPr>
              <w:adjustRightInd w:val="0"/>
              <w:snapToGrid w:val="0"/>
              <w:spacing w:line="360" w:lineRule="auto"/>
              <w:jc w:val="left"/>
              <w:rPr>
                <w:rFonts w:hint="eastAsia" w:ascii="宋体" w:hAnsi="宋体" w:eastAsia="宋体" w:cs="宋体"/>
                <w:szCs w:val="21"/>
                <w:lang w:val="en-US"/>
              </w:rPr>
            </w:pPr>
            <w:r>
              <w:rPr>
                <w:rFonts w:hint="eastAsia" w:ascii="宋体" w:hAnsi="宋体" w:cs="宋体"/>
                <w:sz w:val="22"/>
                <w:szCs w:val="22"/>
              </w:rPr>
              <w:t>投标人应如实填写《商务需求偏离表》，完全满足招标文件要求</w:t>
            </w:r>
            <w:r>
              <w:rPr>
                <w:rFonts w:hint="eastAsia" w:ascii="宋体" w:hAnsi="宋体" w:cs="宋体"/>
                <w:sz w:val="22"/>
                <w:szCs w:val="22"/>
                <w:lang w:eastAsia="zh-CN"/>
              </w:rPr>
              <w:t>，</w:t>
            </w:r>
            <w:r>
              <w:rPr>
                <w:rFonts w:hint="eastAsia" w:ascii="宋体" w:hAnsi="宋体" w:cs="宋体"/>
                <w:sz w:val="22"/>
                <w:szCs w:val="22"/>
              </w:rPr>
              <w:t>得</w:t>
            </w:r>
            <w:r>
              <w:rPr>
                <w:rFonts w:hint="eastAsia" w:ascii="宋体" w:hAnsi="宋体" w:cs="宋体"/>
                <w:sz w:val="22"/>
                <w:szCs w:val="22"/>
                <w:lang w:val="en-US" w:eastAsia="zh-CN"/>
              </w:rPr>
              <w:t>4</w:t>
            </w:r>
            <w:r>
              <w:rPr>
                <w:rFonts w:hint="eastAsia" w:ascii="宋体" w:hAnsi="宋体" w:cs="宋体"/>
                <w:sz w:val="22"/>
                <w:szCs w:val="22"/>
              </w:rPr>
              <w:t>分；其中标注▲重要商务条款每负偏离一项</w:t>
            </w:r>
            <w:r>
              <w:rPr>
                <w:rFonts w:hint="eastAsia" w:ascii="宋体" w:hAnsi="宋体" w:cs="宋体"/>
                <w:sz w:val="22"/>
                <w:szCs w:val="22"/>
                <w:lang w:eastAsia="zh-CN"/>
              </w:rPr>
              <w:t>，</w:t>
            </w:r>
            <w:r>
              <w:rPr>
                <w:rFonts w:hint="eastAsia" w:ascii="宋体" w:hAnsi="宋体" w:cs="宋体"/>
                <w:sz w:val="22"/>
                <w:szCs w:val="22"/>
              </w:rPr>
              <w:t>扣1分；其他一般条款要求每负偏离一项</w:t>
            </w:r>
            <w:r>
              <w:rPr>
                <w:rFonts w:hint="eastAsia" w:ascii="宋体" w:hAnsi="宋体" w:cs="宋体"/>
                <w:sz w:val="22"/>
                <w:szCs w:val="22"/>
                <w:lang w:eastAsia="zh-CN"/>
              </w:rPr>
              <w:t>，</w:t>
            </w:r>
            <w:r>
              <w:rPr>
                <w:rFonts w:hint="eastAsia" w:ascii="宋体" w:hAnsi="宋体" w:cs="宋体"/>
                <w:sz w:val="22"/>
                <w:szCs w:val="22"/>
              </w:rPr>
              <w:t>扣0.5分</w:t>
            </w:r>
            <w:r>
              <w:rPr>
                <w:rFonts w:hint="eastAsia" w:ascii="宋体" w:hAnsi="宋体" w:cs="宋体"/>
                <w:sz w:val="22"/>
                <w:szCs w:val="22"/>
                <w:lang w:eastAsia="zh-CN"/>
              </w:rPr>
              <w:t>，</w:t>
            </w:r>
            <w:r>
              <w:rPr>
                <w:rFonts w:hint="eastAsia" w:ascii="宋体" w:hAnsi="宋体" w:cs="宋体"/>
                <w:sz w:val="22"/>
                <w:szCs w:val="22"/>
                <w:lang w:val="en-US" w:eastAsia="zh-CN"/>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1422" w:type="dxa"/>
            <w:gridSpan w:val="2"/>
            <w:vAlign w:val="center"/>
          </w:tcPr>
          <w:p>
            <w:pPr>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sz w:val="22"/>
                <w:szCs w:val="22"/>
              </w:rPr>
              <w:t>投标人通过相关认证情况</w:t>
            </w:r>
          </w:p>
        </w:tc>
        <w:tc>
          <w:tcPr>
            <w:tcW w:w="1431" w:type="dxa"/>
            <w:gridSpan w:val="2"/>
            <w:vAlign w:val="center"/>
          </w:tcPr>
          <w:p>
            <w:pPr>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sz w:val="22"/>
                <w:szCs w:val="22"/>
                <w:lang w:val="en-US" w:eastAsia="zh-CN"/>
              </w:rPr>
              <w:t>3</w:t>
            </w:r>
          </w:p>
        </w:tc>
        <w:tc>
          <w:tcPr>
            <w:tcW w:w="4678" w:type="dxa"/>
            <w:vAlign w:val="top"/>
          </w:tcPr>
          <w:p>
            <w:pPr>
              <w:adjustRightInd w:val="0"/>
              <w:snapToGrid w:val="0"/>
              <w:spacing w:line="360" w:lineRule="auto"/>
              <w:jc w:val="left"/>
              <w:rPr>
                <w:rFonts w:hint="eastAsia" w:ascii="宋体" w:hAnsi="宋体" w:cs="宋体"/>
                <w:b/>
                <w:bCs/>
                <w:sz w:val="22"/>
                <w:szCs w:val="22"/>
              </w:rPr>
            </w:pPr>
            <w:r>
              <w:rPr>
                <w:rFonts w:hint="eastAsia" w:ascii="宋体" w:hAnsi="宋体" w:cs="宋体"/>
                <w:b/>
                <w:bCs/>
                <w:sz w:val="22"/>
                <w:szCs w:val="22"/>
              </w:rPr>
              <w:t>评分内容：</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1.具有质量管理体系认证证书，得</w:t>
            </w:r>
            <w:r>
              <w:rPr>
                <w:rFonts w:ascii="宋体" w:hAnsi="宋体" w:cs="宋体"/>
                <w:sz w:val="22"/>
                <w:szCs w:val="22"/>
              </w:rPr>
              <w:t>1</w:t>
            </w:r>
            <w:r>
              <w:rPr>
                <w:rFonts w:hint="eastAsia" w:ascii="宋体" w:hAnsi="宋体" w:cs="宋体"/>
                <w:sz w:val="22"/>
                <w:szCs w:val="22"/>
              </w:rPr>
              <w:t>分；</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2.具有职业健康安全管理体系认证证书，得</w:t>
            </w:r>
            <w:r>
              <w:rPr>
                <w:rFonts w:hint="eastAsia" w:ascii="宋体" w:hAnsi="宋体" w:cs="宋体"/>
                <w:sz w:val="22"/>
                <w:szCs w:val="22"/>
                <w:lang w:val="en-US" w:eastAsia="zh-CN"/>
              </w:rPr>
              <w:t>1</w:t>
            </w:r>
            <w:r>
              <w:rPr>
                <w:rFonts w:hint="eastAsia" w:ascii="宋体" w:hAnsi="宋体" w:cs="宋体"/>
                <w:sz w:val="22"/>
                <w:szCs w:val="22"/>
              </w:rPr>
              <w:t>分；</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3.具有环境管理体系认证证书，得</w:t>
            </w:r>
            <w:r>
              <w:rPr>
                <w:rFonts w:hint="eastAsia" w:ascii="宋体" w:hAnsi="宋体" w:cs="宋体"/>
                <w:sz w:val="22"/>
                <w:szCs w:val="22"/>
                <w:lang w:val="en-US" w:eastAsia="zh-CN"/>
              </w:rPr>
              <w:t>1</w:t>
            </w:r>
            <w:r>
              <w:rPr>
                <w:rFonts w:hint="eastAsia" w:ascii="宋体" w:hAnsi="宋体" w:cs="宋体"/>
                <w:sz w:val="22"/>
                <w:szCs w:val="22"/>
              </w:rPr>
              <w:t>分；</w:t>
            </w:r>
          </w:p>
          <w:p>
            <w:pPr>
              <w:adjustRightInd w:val="0"/>
              <w:snapToGrid w:val="0"/>
              <w:spacing w:line="360" w:lineRule="auto"/>
              <w:jc w:val="left"/>
              <w:rPr>
                <w:rFonts w:hint="eastAsia" w:ascii="宋体" w:hAnsi="宋体" w:cs="宋体"/>
                <w:b/>
                <w:bCs/>
                <w:sz w:val="22"/>
                <w:szCs w:val="22"/>
              </w:rPr>
            </w:pPr>
            <w:r>
              <w:rPr>
                <w:rFonts w:hint="eastAsia" w:ascii="宋体" w:hAnsi="宋体" w:cs="宋体"/>
                <w:b/>
                <w:bCs/>
                <w:sz w:val="22"/>
                <w:szCs w:val="22"/>
              </w:rPr>
              <w:t>以上累计最多得</w:t>
            </w:r>
            <w:r>
              <w:rPr>
                <w:rFonts w:hint="eastAsia" w:ascii="宋体" w:hAnsi="宋体" w:cs="宋体"/>
                <w:b/>
                <w:bCs/>
                <w:sz w:val="22"/>
                <w:szCs w:val="22"/>
                <w:lang w:val="en-US" w:eastAsia="zh-CN"/>
              </w:rPr>
              <w:t>3</w:t>
            </w:r>
            <w:r>
              <w:rPr>
                <w:rFonts w:hint="eastAsia" w:ascii="宋体" w:hAnsi="宋体" w:cs="宋体"/>
                <w:b/>
                <w:bCs/>
                <w:sz w:val="22"/>
                <w:szCs w:val="22"/>
              </w:rPr>
              <w:t>分</w:t>
            </w:r>
          </w:p>
          <w:p>
            <w:pPr>
              <w:adjustRightInd w:val="0"/>
              <w:snapToGrid w:val="0"/>
              <w:spacing w:line="360" w:lineRule="auto"/>
              <w:jc w:val="left"/>
              <w:rPr>
                <w:rFonts w:hint="eastAsia" w:ascii="宋体" w:hAnsi="宋体" w:cs="宋体"/>
                <w:b/>
                <w:bCs/>
                <w:sz w:val="22"/>
                <w:szCs w:val="22"/>
              </w:rPr>
            </w:pPr>
            <w:r>
              <w:rPr>
                <w:rFonts w:hint="eastAsia" w:ascii="宋体" w:hAnsi="宋体" w:cs="宋体"/>
                <w:b/>
                <w:bCs/>
                <w:sz w:val="22"/>
                <w:szCs w:val="22"/>
              </w:rPr>
              <w:t>评分依据：</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同时提供以下材料，否则不得分：</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（1）国家认可的认证机构颁发的有效期内的认证证书；</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2）认证证书信息须可在国家认证认可监督管理委员会官方网站www.cnca.gov.cn查询。打印认证证书网站公布的链接信息资料截图（网址以http://cx.cnca.cn/CertECloud/index/index/page网站公布为准），资料证书状态须显示“有效”。</w:t>
            </w:r>
          </w:p>
          <w:p>
            <w:pPr>
              <w:adjustRightInd w:val="0"/>
              <w:snapToGrid w:val="0"/>
              <w:spacing w:line="360" w:lineRule="auto"/>
              <w:jc w:val="left"/>
              <w:rPr>
                <w:rFonts w:hint="eastAsia" w:ascii="宋体" w:hAnsi="宋体" w:eastAsia="宋体" w:cs="宋体"/>
                <w:szCs w:val="21"/>
              </w:rPr>
            </w:pPr>
            <w:r>
              <w:rPr>
                <w:rFonts w:hint="eastAsia" w:ascii="宋体" w:hAnsi="宋体" w:cs="宋体"/>
                <w:b/>
                <w:bCs/>
                <w:sz w:val="22"/>
                <w:szCs w:val="22"/>
              </w:rPr>
              <w:t>备注：</w:t>
            </w:r>
            <w:r>
              <w:rPr>
                <w:rFonts w:hint="eastAsia" w:ascii="宋体" w:hAnsi="宋体" w:cs="宋体"/>
                <w:sz w:val="22"/>
                <w:szCs w:val="22"/>
              </w:rPr>
              <w:t>提供有效期内的相关证明材料扫描件/复印件并加盖投标人公章作为得分依据，原件备查。未提供或提供的证明材料不清晰导致无法识别的不得分。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1422" w:type="dxa"/>
            <w:gridSpan w:val="2"/>
            <w:vAlign w:val="center"/>
          </w:tcPr>
          <w:p>
            <w:pPr>
              <w:adjustRightInd w:val="0"/>
              <w:snapToGrid w:val="0"/>
              <w:spacing w:line="360" w:lineRule="auto"/>
              <w:jc w:val="left"/>
              <w:rPr>
                <w:rFonts w:hint="eastAsia" w:ascii="宋体" w:hAnsi="宋体" w:eastAsia="宋体" w:cs="宋体"/>
                <w:b w:val="0"/>
                <w:bCs/>
                <w:color w:val="000000"/>
                <w:sz w:val="21"/>
                <w:szCs w:val="21"/>
                <w:highlight w:val="none"/>
              </w:rPr>
            </w:pPr>
            <w:r>
              <w:rPr>
                <w:rFonts w:hint="eastAsia" w:ascii="宋体" w:hAnsi="宋体" w:cs="宋体"/>
                <w:sz w:val="22"/>
                <w:szCs w:val="22"/>
              </w:rPr>
              <w:t>投标人同类项目业绩情况</w:t>
            </w:r>
          </w:p>
        </w:tc>
        <w:tc>
          <w:tcPr>
            <w:tcW w:w="1431" w:type="dxa"/>
            <w:gridSpan w:val="2"/>
            <w:vAlign w:val="center"/>
          </w:tcPr>
          <w:p>
            <w:pPr>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sz w:val="22"/>
                <w:szCs w:val="22"/>
                <w:lang w:val="en-US" w:eastAsia="zh-CN"/>
              </w:rPr>
              <w:t>6</w:t>
            </w:r>
          </w:p>
        </w:tc>
        <w:tc>
          <w:tcPr>
            <w:tcW w:w="4678" w:type="dxa"/>
            <w:vAlign w:val="top"/>
          </w:tcPr>
          <w:p>
            <w:pPr>
              <w:adjustRightInd w:val="0"/>
              <w:snapToGrid w:val="0"/>
              <w:spacing w:line="360" w:lineRule="auto"/>
              <w:jc w:val="left"/>
              <w:rPr>
                <w:rFonts w:hint="eastAsia" w:ascii="宋体" w:hAnsi="宋体" w:cs="宋体"/>
                <w:sz w:val="22"/>
                <w:szCs w:val="22"/>
              </w:rPr>
            </w:pPr>
            <w:r>
              <w:rPr>
                <w:rFonts w:hint="eastAsia" w:ascii="宋体" w:hAnsi="宋体" w:cs="宋体"/>
                <w:b/>
                <w:bCs/>
                <w:sz w:val="22"/>
                <w:szCs w:val="22"/>
              </w:rPr>
              <w:t>评分内容：</w:t>
            </w:r>
          </w:p>
          <w:p>
            <w:pPr>
              <w:numPr>
                <w:ilvl w:val="0"/>
                <w:numId w:val="0"/>
              </w:numPr>
              <w:adjustRightInd w:val="0"/>
              <w:snapToGrid w:val="0"/>
              <w:spacing w:line="360" w:lineRule="auto"/>
              <w:jc w:val="left"/>
              <w:rPr>
                <w:rFonts w:hint="eastAsia" w:ascii="宋体" w:hAnsi="宋体" w:cs="宋体"/>
                <w:sz w:val="22"/>
                <w:szCs w:val="22"/>
                <w:lang w:eastAsia="zh-CN"/>
              </w:rPr>
            </w:pPr>
            <w:r>
              <w:rPr>
                <w:rFonts w:hint="eastAsia" w:ascii="宋体" w:hAnsi="宋体" w:cs="宋体"/>
                <w:sz w:val="22"/>
                <w:szCs w:val="22"/>
                <w:lang w:val="en-US" w:eastAsia="zh-CN"/>
              </w:rPr>
              <w:t>投标人近三年以来：（</w:t>
            </w:r>
            <w:r>
              <w:rPr>
                <w:rFonts w:hint="eastAsia" w:ascii="宋体" w:hAnsi="宋体" w:cs="宋体"/>
                <w:sz w:val="22"/>
                <w:szCs w:val="22"/>
              </w:rPr>
              <w:t>2021年1月1日</w:t>
            </w:r>
            <w:r>
              <w:rPr>
                <w:rFonts w:hint="eastAsia" w:ascii="宋体" w:hAnsi="宋体" w:cs="宋体"/>
                <w:sz w:val="22"/>
                <w:szCs w:val="22"/>
                <w:lang w:val="en-US" w:eastAsia="zh-CN"/>
              </w:rPr>
              <w:t>至本项目投标截止日止，具体以合同签订日期为准。）</w:t>
            </w:r>
          </w:p>
          <w:p>
            <w:pPr>
              <w:numPr>
                <w:ilvl w:val="0"/>
                <w:numId w:val="1"/>
              </w:num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投标人所服务的作品获得教育部主办的全国职业院校教学能力大赛国赛一等奖，每个得1分，最高得</w:t>
            </w:r>
            <w:r>
              <w:rPr>
                <w:rFonts w:ascii="宋体" w:hAnsi="宋体" w:cs="宋体"/>
                <w:sz w:val="22"/>
                <w:szCs w:val="22"/>
              </w:rPr>
              <w:t>3</w:t>
            </w:r>
            <w:r>
              <w:rPr>
                <w:rFonts w:hint="eastAsia" w:ascii="宋体" w:hAnsi="宋体" w:cs="宋体"/>
                <w:sz w:val="22"/>
                <w:szCs w:val="22"/>
              </w:rPr>
              <w:t>分。</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2.具有独立承接全校教师教学能力比赛项目经验：拍摄制作的该校作品获教师教学能力大赛省赛一等奖（或省赛一等奖以上），每提供1个得</w:t>
            </w:r>
            <w:r>
              <w:rPr>
                <w:rFonts w:hint="eastAsia" w:ascii="宋体" w:hAnsi="宋体" w:cs="宋体"/>
                <w:sz w:val="22"/>
                <w:szCs w:val="22"/>
                <w:lang w:val="en-US" w:eastAsia="zh-CN"/>
              </w:rPr>
              <w:t>1</w:t>
            </w:r>
            <w:r>
              <w:rPr>
                <w:rFonts w:hint="eastAsia" w:ascii="宋体" w:hAnsi="宋体" w:cs="宋体"/>
                <w:sz w:val="22"/>
                <w:szCs w:val="22"/>
              </w:rPr>
              <w:t>分，最高</w:t>
            </w:r>
            <w:r>
              <w:rPr>
                <w:rFonts w:hint="eastAsia" w:ascii="宋体" w:hAnsi="宋体" w:cs="宋体"/>
                <w:sz w:val="22"/>
                <w:szCs w:val="22"/>
                <w:lang w:val="en-US" w:eastAsia="zh-CN"/>
              </w:rPr>
              <w:t>3</w:t>
            </w:r>
            <w:r>
              <w:rPr>
                <w:rFonts w:hint="eastAsia" w:ascii="宋体" w:hAnsi="宋体" w:cs="宋体"/>
                <w:sz w:val="22"/>
                <w:szCs w:val="22"/>
              </w:rPr>
              <w:t>分。不满足不得分。</w:t>
            </w:r>
          </w:p>
          <w:p>
            <w:pPr>
              <w:adjustRightInd w:val="0"/>
              <w:snapToGrid w:val="0"/>
              <w:spacing w:line="360" w:lineRule="auto"/>
              <w:jc w:val="left"/>
              <w:rPr>
                <w:rFonts w:hint="default" w:ascii="宋体" w:hAnsi="宋体" w:eastAsia="宋体" w:cs="宋体"/>
                <w:b/>
                <w:bCs/>
                <w:sz w:val="22"/>
                <w:szCs w:val="22"/>
                <w:lang w:val="en-US" w:eastAsia="zh-CN"/>
              </w:rPr>
            </w:pPr>
            <w:r>
              <w:rPr>
                <w:rFonts w:hint="eastAsia" w:ascii="宋体" w:hAnsi="宋体" w:cs="宋体"/>
                <w:b/>
                <w:bCs/>
                <w:sz w:val="22"/>
                <w:szCs w:val="22"/>
                <w:lang w:val="en-US" w:eastAsia="zh-CN"/>
              </w:rPr>
              <w:t>以上累计最多得6分</w:t>
            </w:r>
          </w:p>
          <w:p>
            <w:pPr>
              <w:adjustRightInd w:val="0"/>
              <w:snapToGrid w:val="0"/>
              <w:spacing w:line="360" w:lineRule="auto"/>
              <w:jc w:val="left"/>
              <w:rPr>
                <w:rFonts w:hint="eastAsia" w:ascii="宋体" w:hAnsi="宋体" w:cs="宋体"/>
                <w:b/>
                <w:bCs/>
                <w:sz w:val="22"/>
                <w:szCs w:val="22"/>
              </w:rPr>
            </w:pPr>
            <w:r>
              <w:rPr>
                <w:rFonts w:hint="eastAsia" w:ascii="宋体" w:hAnsi="宋体" w:cs="宋体"/>
                <w:b/>
                <w:bCs/>
                <w:sz w:val="22"/>
                <w:szCs w:val="22"/>
              </w:rPr>
              <w:t>评分依据：</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1.要求同时提供合同关键信息（含签订合同双方的单位名称、合同项目名称与含签订合同双方的落款盖章、签订日期的关键信息），并</w:t>
            </w:r>
            <w:r>
              <w:rPr>
                <w:rFonts w:hint="eastAsia" w:ascii="宋体" w:hAnsi="宋体" w:cs="宋体"/>
                <w:sz w:val="22"/>
                <w:szCs w:val="22"/>
                <w:lang w:val="en-US" w:eastAsia="zh-CN"/>
              </w:rPr>
              <w:t>提供获奖证书，</w:t>
            </w:r>
            <w:r>
              <w:rPr>
                <w:rFonts w:hint="eastAsia" w:ascii="宋体" w:hAnsi="宋体" w:cs="宋体"/>
                <w:sz w:val="22"/>
                <w:szCs w:val="22"/>
              </w:rPr>
              <w:t>视频</w:t>
            </w:r>
            <w:r>
              <w:rPr>
                <w:rFonts w:hint="eastAsia" w:ascii="宋体" w:hAnsi="宋体" w:cs="宋体"/>
                <w:sz w:val="22"/>
                <w:szCs w:val="22"/>
                <w:lang w:val="en-US" w:eastAsia="zh-CN"/>
              </w:rPr>
              <w:t>或</w:t>
            </w:r>
            <w:r>
              <w:rPr>
                <w:rFonts w:hint="eastAsia" w:ascii="宋体" w:hAnsi="宋体" w:cs="宋体"/>
                <w:sz w:val="22"/>
                <w:szCs w:val="22"/>
              </w:rPr>
              <w:t>文本截图等证明材料作为得分依据。</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2.通过合同关键信息无法判断是否得分的，还须同时提供能证明得分的其它证明资料，如项目报告或合同采购人出具的证明文件等。</w:t>
            </w:r>
          </w:p>
          <w:p>
            <w:pPr>
              <w:adjustRightInd w:val="0"/>
              <w:snapToGrid w:val="0"/>
              <w:spacing w:line="360" w:lineRule="auto"/>
              <w:jc w:val="left"/>
              <w:rPr>
                <w:rFonts w:hint="eastAsia" w:ascii="宋体" w:hAnsi="宋体" w:eastAsia="宋体" w:cs="宋体"/>
                <w:szCs w:val="21"/>
              </w:rPr>
            </w:pPr>
            <w:r>
              <w:rPr>
                <w:rFonts w:hint="eastAsia" w:ascii="宋体" w:hAnsi="宋体" w:cs="宋体"/>
                <w:sz w:val="22"/>
                <w:szCs w:val="22"/>
              </w:rPr>
              <w:t>3.以上资料均要求提供扫描件/复印件加盖投标人公章，原件备查。评分中出现无证明资料或专家无法凭所提供资料判断是否得分的情况，一律作不得分处理。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1422" w:type="dxa"/>
            <w:gridSpan w:val="2"/>
            <w:vAlign w:val="center"/>
          </w:tcPr>
          <w:p>
            <w:pPr>
              <w:adjustRightInd w:val="0"/>
              <w:snapToGrid w:val="0"/>
              <w:spacing w:line="360" w:lineRule="auto"/>
              <w:jc w:val="left"/>
              <w:rPr>
                <w:rFonts w:hint="eastAsia" w:ascii="宋体" w:hAnsi="宋体" w:eastAsia="宋体" w:cs="宋体"/>
                <w:b w:val="0"/>
                <w:bCs/>
                <w:color w:val="000000"/>
                <w:sz w:val="21"/>
                <w:szCs w:val="21"/>
                <w:highlight w:val="none"/>
              </w:rPr>
            </w:pPr>
            <w:r>
              <w:rPr>
                <w:rFonts w:hint="eastAsia" w:ascii="宋体" w:hAnsi="宋体" w:cs="宋体"/>
                <w:sz w:val="22"/>
                <w:szCs w:val="22"/>
              </w:rPr>
              <w:t>拟安排的项目负责人情况（仅限一人）</w:t>
            </w:r>
          </w:p>
        </w:tc>
        <w:tc>
          <w:tcPr>
            <w:tcW w:w="1431" w:type="dxa"/>
            <w:gridSpan w:val="2"/>
            <w:vAlign w:val="center"/>
          </w:tcPr>
          <w:p>
            <w:pPr>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sz w:val="22"/>
                <w:szCs w:val="22"/>
              </w:rPr>
              <w:t>6</w:t>
            </w:r>
          </w:p>
        </w:tc>
        <w:tc>
          <w:tcPr>
            <w:tcW w:w="4678" w:type="dxa"/>
            <w:vAlign w:val="top"/>
          </w:tcPr>
          <w:p>
            <w:pPr>
              <w:adjustRightInd w:val="0"/>
              <w:snapToGrid w:val="0"/>
              <w:spacing w:line="360" w:lineRule="auto"/>
              <w:jc w:val="left"/>
              <w:rPr>
                <w:rFonts w:hint="eastAsia" w:ascii="宋体" w:hAnsi="宋体" w:cs="宋体"/>
                <w:b/>
                <w:bCs/>
                <w:sz w:val="22"/>
                <w:szCs w:val="22"/>
              </w:rPr>
            </w:pPr>
            <w:r>
              <w:rPr>
                <w:rFonts w:hint="eastAsia" w:ascii="宋体" w:hAnsi="宋体" w:cs="宋体"/>
                <w:b/>
                <w:bCs/>
                <w:sz w:val="22"/>
                <w:szCs w:val="22"/>
              </w:rPr>
              <w:t>评分内容：</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1.项目负责人：</w:t>
            </w:r>
            <w:r>
              <w:rPr>
                <w:rFonts w:hint="eastAsia" w:ascii="宋体" w:hAnsi="宋体" w:cs="宋体"/>
                <w:sz w:val="22"/>
                <w:szCs w:val="22"/>
                <w:highlight w:val="yellow"/>
              </w:rPr>
              <w:t>具有硕士学</w:t>
            </w:r>
            <w:r>
              <w:rPr>
                <w:rFonts w:hint="eastAsia" w:ascii="宋体" w:hAnsi="宋体" w:cs="宋体"/>
                <w:sz w:val="22"/>
                <w:szCs w:val="22"/>
                <w:highlight w:val="yellow"/>
                <w:lang w:val="en-US" w:eastAsia="zh-CN"/>
              </w:rPr>
              <w:t>位</w:t>
            </w:r>
            <w:r>
              <w:rPr>
                <w:rFonts w:hint="eastAsia" w:ascii="宋体" w:hAnsi="宋体" w:cs="宋体"/>
                <w:sz w:val="22"/>
                <w:szCs w:val="22"/>
                <w:highlight w:val="yellow"/>
              </w:rPr>
              <w:t>且所学专业为教育技术学或教育学相关专业得6分；</w:t>
            </w:r>
          </w:p>
          <w:p>
            <w:pPr>
              <w:adjustRightInd w:val="0"/>
              <w:snapToGrid w:val="0"/>
              <w:spacing w:line="360" w:lineRule="auto"/>
              <w:jc w:val="left"/>
              <w:rPr>
                <w:rFonts w:ascii="宋体" w:hAnsi="宋体" w:cs="宋体"/>
                <w:sz w:val="22"/>
                <w:szCs w:val="22"/>
              </w:rPr>
            </w:pPr>
            <w:r>
              <w:rPr>
                <w:rFonts w:hint="eastAsia" w:ascii="宋体" w:hAnsi="宋体" w:cs="宋体"/>
                <w:sz w:val="22"/>
                <w:szCs w:val="22"/>
              </w:rPr>
              <w:t>2.具有本科学历，得</w:t>
            </w:r>
            <w:r>
              <w:rPr>
                <w:rFonts w:hint="eastAsia" w:ascii="宋体" w:hAnsi="宋体" w:cs="宋体"/>
                <w:sz w:val="22"/>
                <w:szCs w:val="22"/>
                <w:lang w:val="en-US" w:eastAsia="zh-CN"/>
              </w:rPr>
              <w:t>3</w:t>
            </w:r>
            <w:r>
              <w:rPr>
                <w:rFonts w:hint="eastAsia" w:ascii="宋体" w:hAnsi="宋体" w:cs="宋体"/>
                <w:sz w:val="22"/>
                <w:szCs w:val="22"/>
              </w:rPr>
              <w:t>分；</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3.本科（不含本科）以下学历不得分。</w:t>
            </w:r>
          </w:p>
          <w:p>
            <w:pPr>
              <w:adjustRightInd w:val="0"/>
              <w:snapToGrid w:val="0"/>
              <w:spacing w:line="360" w:lineRule="auto"/>
              <w:jc w:val="left"/>
              <w:rPr>
                <w:rFonts w:hint="eastAsia" w:ascii="宋体" w:hAnsi="宋体" w:cs="宋体"/>
                <w:b/>
                <w:bCs/>
                <w:sz w:val="22"/>
                <w:szCs w:val="22"/>
              </w:rPr>
            </w:pPr>
            <w:r>
              <w:rPr>
                <w:rFonts w:hint="eastAsia" w:ascii="宋体" w:hAnsi="宋体" w:cs="宋体"/>
                <w:b/>
                <w:bCs/>
                <w:sz w:val="22"/>
                <w:szCs w:val="22"/>
              </w:rPr>
              <w:t>评分依据：</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1.要求提供社保部门或税务部门出具的投标人为其缴纳的近</w:t>
            </w:r>
            <w:r>
              <w:rPr>
                <w:rFonts w:hint="eastAsia" w:ascii="宋体" w:hAnsi="宋体" w:cs="宋体"/>
                <w:sz w:val="22"/>
                <w:szCs w:val="22"/>
                <w:lang w:eastAsia="zh-CN"/>
              </w:rPr>
              <w:t>3个月社保</w:t>
            </w:r>
            <w:r>
              <w:rPr>
                <w:rFonts w:hint="eastAsia" w:ascii="宋体" w:hAnsi="宋体" w:cs="宋体"/>
                <w:sz w:val="22"/>
                <w:szCs w:val="22"/>
              </w:rPr>
              <w:t>证明文件，由于社保部门或税务部门原因最近</w:t>
            </w:r>
            <w:r>
              <w:rPr>
                <w:rFonts w:hint="eastAsia" w:ascii="宋体" w:hAnsi="宋体" w:cs="宋体"/>
                <w:sz w:val="22"/>
                <w:szCs w:val="22"/>
                <w:lang w:val="en-US" w:eastAsia="zh-CN"/>
              </w:rPr>
              <w:t>3</w:t>
            </w:r>
            <w:r>
              <w:rPr>
                <w:rFonts w:hint="eastAsia" w:ascii="宋体" w:hAnsi="宋体" w:cs="宋体"/>
                <w:sz w:val="22"/>
                <w:szCs w:val="22"/>
              </w:rPr>
              <w:t>个月的社保证明无法提供的，则可以往前顺延一个月；如投标人注册成立时间不足1个月的，可提供承诺函（格式自拟）；若为退休返聘人员，提供退休证明和返聘协议。如依法不需要缴纳社会保险的，应提供相应文件证明。</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2.提供上述相应的有效证书等证明文件复印件。职业技能证书须提供技能人才评价证书全国联网查询系统http://zscx.osta.org.cn/）查询截图；若技能人才评价证书全国联网查询系统无法查询的，颁发单位为国家人社部技能人才评价证书全国联网备案的机构或协会，可提供颁发单位满足要求的技能人才评价证书全国联网备案查询截图。</w:t>
            </w:r>
          </w:p>
          <w:p>
            <w:pPr>
              <w:adjustRightInd w:val="0"/>
              <w:snapToGrid w:val="0"/>
              <w:spacing w:line="360" w:lineRule="auto"/>
              <w:jc w:val="left"/>
              <w:rPr>
                <w:rFonts w:ascii="宋体" w:hAnsi="宋体" w:cs="宋体"/>
                <w:sz w:val="22"/>
                <w:szCs w:val="22"/>
              </w:rPr>
            </w:pPr>
            <w:r>
              <w:rPr>
                <w:rFonts w:hint="eastAsia" w:ascii="宋体" w:hAnsi="宋体" w:cs="宋体"/>
                <w:sz w:val="22"/>
                <w:szCs w:val="22"/>
              </w:rPr>
              <w:t>3.如涉及学历/学位证书，要求同时提供证书扫描件以及学信网查询记录。对于较早颁发的学历学位证书，学信网无法查询的，要求提供证书扫描件和其他佐证材料（如毕业院校、人社部门等颁发机构或监管机构等单位出具的证明）作为得分的依据。</w:t>
            </w:r>
          </w:p>
          <w:p>
            <w:pPr>
              <w:adjustRightInd w:val="0"/>
              <w:snapToGrid w:val="0"/>
              <w:spacing w:line="360" w:lineRule="auto"/>
              <w:jc w:val="left"/>
              <w:rPr>
                <w:rFonts w:hint="eastAsia" w:ascii="宋体" w:hAnsi="宋体" w:eastAsia="宋体" w:cs="宋体"/>
                <w:szCs w:val="21"/>
              </w:rPr>
            </w:pPr>
            <w:r>
              <w:rPr>
                <w:rFonts w:hint="eastAsia" w:ascii="宋体" w:hAnsi="宋体" w:cs="宋体"/>
                <w:b/>
                <w:bCs/>
                <w:sz w:val="22"/>
                <w:szCs w:val="22"/>
              </w:rPr>
              <w:t>备注：</w:t>
            </w:r>
            <w:r>
              <w:rPr>
                <w:rFonts w:hint="eastAsia" w:ascii="宋体" w:hAnsi="宋体" w:cs="宋体"/>
                <w:sz w:val="22"/>
                <w:szCs w:val="22"/>
              </w:rPr>
              <w:t>根据以上要求提供有效的证明材料扫描件/复印件并加盖投标人公章，原件备查。评分中出现无证明资料或专家无法凭所提供资料判断是否得分的情况，一律作不得分处理。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1422" w:type="dxa"/>
            <w:gridSpan w:val="2"/>
            <w:vAlign w:val="center"/>
          </w:tcPr>
          <w:p>
            <w:pPr>
              <w:adjustRightInd w:val="0"/>
              <w:snapToGrid w:val="0"/>
              <w:spacing w:line="360" w:lineRule="auto"/>
              <w:jc w:val="left"/>
              <w:rPr>
                <w:rFonts w:hint="eastAsia" w:ascii="宋体" w:hAnsi="宋体" w:eastAsia="宋体" w:cs="宋体"/>
                <w:szCs w:val="21"/>
              </w:rPr>
            </w:pPr>
            <w:r>
              <w:rPr>
                <w:rFonts w:hint="eastAsia" w:ascii="宋体" w:hAnsi="宋体" w:cs="宋体"/>
                <w:sz w:val="22"/>
                <w:szCs w:val="22"/>
              </w:rPr>
              <w:t>投标人自主知识产权产品（创新、设计）情况</w:t>
            </w:r>
          </w:p>
        </w:tc>
        <w:tc>
          <w:tcPr>
            <w:tcW w:w="1431" w:type="dxa"/>
            <w:gridSpan w:val="2"/>
            <w:vAlign w:val="center"/>
          </w:tcPr>
          <w:p>
            <w:pPr>
              <w:adjustRightInd w:val="0"/>
              <w:snapToGrid w:val="0"/>
              <w:spacing w:line="360" w:lineRule="auto"/>
              <w:jc w:val="center"/>
              <w:rPr>
                <w:rFonts w:hint="eastAsia" w:ascii="宋体" w:hAnsi="宋体" w:cs="宋体"/>
                <w:szCs w:val="21"/>
                <w:lang w:val="en-US" w:eastAsia="zh-CN"/>
              </w:rPr>
            </w:pPr>
            <w:r>
              <w:rPr>
                <w:rFonts w:hint="eastAsia" w:ascii="宋体" w:hAnsi="宋体" w:cs="宋体"/>
                <w:sz w:val="22"/>
                <w:szCs w:val="22"/>
                <w:lang w:val="en-US" w:eastAsia="zh-CN"/>
              </w:rPr>
              <w:t>3</w:t>
            </w:r>
          </w:p>
        </w:tc>
        <w:tc>
          <w:tcPr>
            <w:tcW w:w="4678" w:type="dxa"/>
            <w:vAlign w:val="top"/>
          </w:tcPr>
          <w:p>
            <w:pPr>
              <w:adjustRightInd w:val="0"/>
              <w:snapToGrid w:val="0"/>
              <w:spacing w:line="360" w:lineRule="auto"/>
              <w:jc w:val="left"/>
              <w:rPr>
                <w:rFonts w:hint="eastAsia" w:ascii="宋体" w:hAnsi="宋体" w:cs="宋体"/>
                <w:b/>
                <w:bCs/>
                <w:sz w:val="22"/>
                <w:szCs w:val="22"/>
              </w:rPr>
            </w:pPr>
            <w:r>
              <w:rPr>
                <w:rFonts w:hint="eastAsia" w:ascii="宋体" w:hAnsi="宋体" w:cs="宋体"/>
                <w:b/>
                <w:bCs/>
                <w:sz w:val="22"/>
                <w:szCs w:val="22"/>
              </w:rPr>
              <w:t>评分内容：</w:t>
            </w:r>
          </w:p>
          <w:p>
            <w:pPr>
              <w:pStyle w:val="7"/>
              <w:autoSpaceDE/>
              <w:autoSpaceDN/>
              <w:adjustRightInd/>
              <w:spacing w:line="360" w:lineRule="auto"/>
              <w:jc w:val="both"/>
              <w:rPr>
                <w:rFonts w:hint="eastAsia" w:ascii="宋体" w:hAnsi="宋体" w:cs="宋体"/>
                <w:b w:val="0"/>
                <w:bCs w:val="0"/>
                <w:sz w:val="22"/>
                <w:szCs w:val="22"/>
              </w:rPr>
            </w:pPr>
            <w:r>
              <w:rPr>
                <w:rFonts w:hint="eastAsia" w:ascii="宋体" w:hAnsi="宋体" w:cs="宋体"/>
                <w:b w:val="0"/>
                <w:bCs w:val="0"/>
                <w:sz w:val="22"/>
                <w:szCs w:val="22"/>
              </w:rPr>
              <w:t>1</w:t>
            </w:r>
            <w:r>
              <w:rPr>
                <w:rFonts w:hAnsi="宋体" w:cs="宋体"/>
                <w:b w:val="0"/>
                <w:bCs w:val="0"/>
                <w:sz w:val="22"/>
                <w:szCs w:val="22"/>
              </w:rPr>
              <w:t>.</w:t>
            </w:r>
            <w:r>
              <w:rPr>
                <w:rFonts w:hint="eastAsia" w:hAnsi="宋体" w:cs="宋体"/>
                <w:b w:val="0"/>
                <w:bCs w:val="0"/>
                <w:kern w:val="2"/>
                <w:sz w:val="22"/>
                <w:szCs w:val="22"/>
              </w:rPr>
              <w:t>提供</w:t>
            </w:r>
            <w:r>
              <w:rPr>
                <w:rFonts w:hint="eastAsia" w:ascii="宋体" w:hAnsi="宋体" w:cs="宋体"/>
                <w:b w:val="0"/>
                <w:bCs w:val="0"/>
                <w:sz w:val="22"/>
                <w:szCs w:val="22"/>
              </w:rPr>
              <w:t>学生综合评价管理系统</w:t>
            </w:r>
            <w:r>
              <w:rPr>
                <w:rFonts w:hint="eastAsia" w:hAnsi="宋体" w:cs="宋体"/>
                <w:b w:val="0"/>
                <w:bCs w:val="0"/>
                <w:kern w:val="2"/>
                <w:sz w:val="22"/>
                <w:szCs w:val="22"/>
              </w:rPr>
              <w:t>相关软件著作权证书得1分</w:t>
            </w:r>
            <w:r>
              <w:rPr>
                <w:rFonts w:hint="eastAsia" w:hAnsi="宋体" w:cs="宋体"/>
                <w:b w:val="0"/>
                <w:bCs w:val="0"/>
                <w:sz w:val="22"/>
                <w:szCs w:val="22"/>
              </w:rPr>
              <w:t>；</w:t>
            </w:r>
          </w:p>
          <w:p>
            <w:pPr>
              <w:pStyle w:val="7"/>
              <w:autoSpaceDE/>
              <w:autoSpaceDN/>
              <w:adjustRightInd/>
              <w:spacing w:line="360" w:lineRule="auto"/>
              <w:jc w:val="both"/>
              <w:rPr>
                <w:rFonts w:hAnsi="宋体" w:cs="宋体"/>
                <w:b w:val="0"/>
                <w:bCs w:val="0"/>
                <w:kern w:val="2"/>
                <w:sz w:val="22"/>
                <w:szCs w:val="22"/>
              </w:rPr>
            </w:pPr>
            <w:r>
              <w:rPr>
                <w:rFonts w:hAnsi="宋体" w:cs="宋体"/>
                <w:b w:val="0"/>
                <w:bCs w:val="0"/>
                <w:sz w:val="22"/>
                <w:szCs w:val="22"/>
              </w:rPr>
              <w:t>3.</w:t>
            </w:r>
            <w:r>
              <w:rPr>
                <w:rFonts w:hint="eastAsia" w:hAnsi="宋体" w:cs="宋体"/>
                <w:b w:val="0"/>
                <w:bCs w:val="0"/>
                <w:kern w:val="2"/>
                <w:sz w:val="22"/>
                <w:szCs w:val="22"/>
              </w:rPr>
              <w:t>提供</w:t>
            </w:r>
            <w:r>
              <w:rPr>
                <w:rFonts w:hAnsi="宋体" w:cs="宋体"/>
                <w:b w:val="0"/>
                <w:bCs w:val="0"/>
                <w:kern w:val="2"/>
                <w:sz w:val="22"/>
                <w:szCs w:val="22"/>
              </w:rPr>
              <w:t>课程思政教学管理系统</w:t>
            </w:r>
            <w:r>
              <w:rPr>
                <w:rFonts w:hint="eastAsia" w:hAnsi="宋体" w:cs="宋体"/>
                <w:b w:val="0"/>
                <w:bCs w:val="0"/>
                <w:kern w:val="2"/>
                <w:sz w:val="22"/>
                <w:szCs w:val="22"/>
              </w:rPr>
              <w:t>相关软件著作权证书得1分</w:t>
            </w:r>
            <w:r>
              <w:rPr>
                <w:rFonts w:hint="eastAsia" w:hAnsi="宋体" w:cs="宋体"/>
                <w:b w:val="0"/>
                <w:bCs w:val="0"/>
                <w:sz w:val="22"/>
                <w:szCs w:val="22"/>
              </w:rPr>
              <w:t>；</w:t>
            </w:r>
          </w:p>
          <w:p>
            <w:pPr>
              <w:pStyle w:val="7"/>
              <w:autoSpaceDE/>
              <w:autoSpaceDN/>
              <w:adjustRightInd/>
              <w:spacing w:line="360" w:lineRule="auto"/>
              <w:jc w:val="both"/>
              <w:rPr>
                <w:rFonts w:hint="eastAsia"/>
                <w:b w:val="0"/>
                <w:bCs w:val="0"/>
              </w:rPr>
            </w:pPr>
            <w:r>
              <w:rPr>
                <w:rFonts w:hint="eastAsia" w:hAnsi="宋体" w:cs="宋体"/>
                <w:b w:val="0"/>
                <w:bCs w:val="0"/>
                <w:kern w:val="2"/>
                <w:sz w:val="22"/>
                <w:szCs w:val="22"/>
              </w:rPr>
              <w:t>4</w:t>
            </w:r>
            <w:r>
              <w:rPr>
                <w:rFonts w:hAnsi="宋体" w:cs="宋体"/>
                <w:b w:val="0"/>
                <w:bCs w:val="0"/>
                <w:kern w:val="2"/>
                <w:sz w:val="22"/>
                <w:szCs w:val="22"/>
              </w:rPr>
              <w:t>.</w:t>
            </w:r>
            <w:r>
              <w:rPr>
                <w:rFonts w:hint="eastAsia" w:hAnsi="宋体" w:cs="宋体"/>
                <w:b w:val="0"/>
                <w:bCs w:val="0"/>
                <w:kern w:val="2"/>
                <w:sz w:val="22"/>
                <w:szCs w:val="22"/>
              </w:rPr>
              <w:t>提供</w:t>
            </w:r>
            <w:r>
              <w:rPr>
                <w:rFonts w:hAnsi="宋体" w:cs="宋体"/>
                <w:b w:val="0"/>
                <w:bCs w:val="0"/>
                <w:kern w:val="2"/>
                <w:sz w:val="22"/>
                <w:szCs w:val="22"/>
              </w:rPr>
              <w:t>微课辅助开发软件</w:t>
            </w:r>
            <w:r>
              <w:rPr>
                <w:rFonts w:hint="eastAsia" w:hAnsi="宋体" w:cs="宋体"/>
                <w:b w:val="0"/>
                <w:bCs w:val="0"/>
                <w:kern w:val="2"/>
                <w:sz w:val="22"/>
                <w:szCs w:val="22"/>
              </w:rPr>
              <w:t>相关软件著作权证书得1分</w:t>
            </w:r>
            <w:r>
              <w:rPr>
                <w:rFonts w:hint="eastAsia" w:hAnsi="宋体" w:cs="宋体"/>
                <w:b w:val="0"/>
                <w:bCs w:val="0"/>
                <w:sz w:val="22"/>
                <w:szCs w:val="22"/>
              </w:rPr>
              <w:t>；</w:t>
            </w:r>
          </w:p>
          <w:p>
            <w:pPr>
              <w:adjustRightInd w:val="0"/>
              <w:snapToGrid w:val="0"/>
              <w:spacing w:line="360" w:lineRule="auto"/>
              <w:jc w:val="left"/>
              <w:rPr>
                <w:rFonts w:hint="eastAsia" w:ascii="宋体" w:hAnsi="宋体" w:cs="宋体"/>
                <w:b w:val="0"/>
                <w:bCs w:val="0"/>
                <w:sz w:val="22"/>
                <w:szCs w:val="22"/>
              </w:rPr>
            </w:pPr>
            <w:r>
              <w:rPr>
                <w:rFonts w:hint="eastAsia" w:ascii="宋体" w:hAnsi="宋体" w:cs="宋体"/>
                <w:b w:val="0"/>
                <w:bCs w:val="0"/>
                <w:sz w:val="22"/>
                <w:szCs w:val="22"/>
              </w:rPr>
              <w:t>评分依据:</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 xml:space="preserve">（1）本项目投标截止之日前自主开发的软件系统，投标人须提供自主开发相关软件的由国家版权局颁发的计算机软件著作权登记证书的复印件； </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（2）本项目投标截止之日前购买的软件系统，投标人须同时提供由国家版权局颁发的计算机软件系统著作权登记证书和购买相关软件的合同及发票的复印件。</w:t>
            </w:r>
          </w:p>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rPr>
              <w:t>（3）本项目投标截止之日前租赁的软件系统，投标人须同时提供由国家版权局颁发的计算机软件系统著作权登记证书和租赁相关软件的合同（租赁期限至少包含本项目服务期限即2024年1月1日-2026年12月31日）及发票的复印件。</w:t>
            </w:r>
          </w:p>
          <w:p>
            <w:pPr>
              <w:adjustRightInd w:val="0"/>
              <w:snapToGrid w:val="0"/>
              <w:spacing w:line="360" w:lineRule="auto"/>
              <w:jc w:val="left"/>
              <w:rPr>
                <w:rFonts w:hint="eastAsia" w:ascii="宋体" w:hAnsi="宋体" w:eastAsia="宋体" w:cs="宋体"/>
                <w:kern w:val="0"/>
                <w:szCs w:val="21"/>
              </w:rPr>
            </w:pPr>
            <w:r>
              <w:rPr>
                <w:rFonts w:hint="eastAsia" w:ascii="宋体" w:hAnsi="宋体" w:cs="宋体"/>
                <w:sz w:val="22"/>
                <w:szCs w:val="22"/>
              </w:rPr>
              <w:t>备注：根据以上要求提供有效的相关证明材料并加盖投标人公章作为得分依据，原件备查。未提供或提供的证明材料不清晰导致无法识别的不得分。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spacing w:line="240" w:lineRule="exact"/>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1422" w:type="dxa"/>
            <w:gridSpan w:val="2"/>
            <w:vAlign w:val="center"/>
          </w:tcPr>
          <w:p>
            <w:pPr>
              <w:adjustRightInd w:val="0"/>
              <w:snapToGrid w:val="0"/>
              <w:spacing w:line="360" w:lineRule="auto"/>
              <w:jc w:val="left"/>
              <w:rPr>
                <w:rFonts w:hint="eastAsia" w:ascii="宋体" w:hAnsi="宋体" w:eastAsia="宋体" w:cs="宋体"/>
                <w:szCs w:val="21"/>
              </w:rPr>
            </w:pPr>
            <w:r>
              <w:rPr>
                <w:rFonts w:hint="eastAsia" w:ascii="宋体" w:hAnsi="宋体" w:cs="宋体"/>
                <w:szCs w:val="21"/>
              </w:rPr>
              <w:t>本地化服务能力</w:t>
            </w:r>
          </w:p>
        </w:tc>
        <w:tc>
          <w:tcPr>
            <w:tcW w:w="1431" w:type="dxa"/>
            <w:gridSpan w:val="2"/>
            <w:vAlign w:val="center"/>
          </w:tcPr>
          <w:p>
            <w:pPr>
              <w:adjustRightInd w:val="0"/>
              <w:snapToGrid w:val="0"/>
              <w:spacing w:line="360" w:lineRule="auto"/>
              <w:jc w:val="center"/>
              <w:rPr>
                <w:rFonts w:hint="eastAsia" w:ascii="宋体" w:hAnsi="宋体" w:cs="宋体"/>
                <w:szCs w:val="21"/>
                <w:lang w:val="en-US" w:eastAsia="zh-CN"/>
              </w:rPr>
            </w:pPr>
            <w:r>
              <w:rPr>
                <w:rFonts w:hint="eastAsia" w:ascii="宋体" w:hAnsi="宋体" w:cs="宋体"/>
                <w:sz w:val="22"/>
                <w:szCs w:val="22"/>
                <w:lang w:val="en-US" w:eastAsia="zh-CN"/>
              </w:rPr>
              <w:t>3</w:t>
            </w:r>
          </w:p>
        </w:tc>
        <w:tc>
          <w:tcPr>
            <w:tcW w:w="4678" w:type="dxa"/>
            <w:vAlign w:val="center"/>
          </w:tcPr>
          <w:p>
            <w:pPr>
              <w:adjustRightInd w:val="0"/>
              <w:snapToGrid w:val="0"/>
              <w:spacing w:line="360" w:lineRule="auto"/>
              <w:jc w:val="left"/>
              <w:rPr>
                <w:rFonts w:hint="eastAsia" w:ascii="宋体" w:hAnsi="宋体" w:cs="宋体"/>
                <w:b/>
                <w:bCs/>
                <w:sz w:val="22"/>
                <w:szCs w:val="22"/>
              </w:rPr>
            </w:pPr>
            <w:r>
              <w:rPr>
                <w:rFonts w:hint="eastAsia" w:ascii="宋体" w:hAnsi="宋体" w:cs="宋体"/>
                <w:b/>
                <w:bCs/>
                <w:sz w:val="22"/>
                <w:szCs w:val="22"/>
              </w:rPr>
              <w:t>评分内容：</w:t>
            </w:r>
          </w:p>
          <w:p>
            <w:pPr>
              <w:numPr>
                <w:ilvl w:val="0"/>
                <w:numId w:val="2"/>
              </w:numPr>
              <w:adjustRightInd w:val="0"/>
              <w:snapToGrid w:val="0"/>
              <w:spacing w:line="360" w:lineRule="auto"/>
              <w:jc w:val="left"/>
              <w:rPr>
                <w:kern w:val="2"/>
                <w:sz w:val="22"/>
                <w:szCs w:val="22"/>
              </w:rPr>
            </w:pPr>
            <w:r>
              <w:rPr>
                <w:kern w:val="2"/>
                <w:sz w:val="22"/>
                <w:szCs w:val="22"/>
              </w:rPr>
              <w:t>深圳供应商或非深圳供应商但在深圳有合法注册的分公司（或售后机构）</w:t>
            </w:r>
            <w:r>
              <w:rPr>
                <w:rFonts w:hint="eastAsia"/>
                <w:kern w:val="2"/>
                <w:sz w:val="22"/>
                <w:szCs w:val="22"/>
                <w:lang w:eastAsia="zh-CN"/>
              </w:rPr>
              <w:t>，</w:t>
            </w:r>
            <w:r>
              <w:rPr>
                <w:rFonts w:hint="eastAsia"/>
                <w:kern w:val="2"/>
                <w:sz w:val="22"/>
                <w:szCs w:val="22"/>
                <w:lang w:val="en-US" w:eastAsia="zh-CN"/>
              </w:rPr>
              <w:t>得3分</w:t>
            </w:r>
            <w:r>
              <w:rPr>
                <w:kern w:val="2"/>
                <w:sz w:val="22"/>
                <w:szCs w:val="22"/>
              </w:rPr>
              <w:t>（提供相关证明材料加盖投标人公章）；</w:t>
            </w:r>
          </w:p>
          <w:p>
            <w:pPr>
              <w:numPr>
                <w:ilvl w:val="0"/>
                <w:numId w:val="2"/>
              </w:numPr>
              <w:adjustRightInd w:val="0"/>
              <w:snapToGrid w:val="0"/>
              <w:spacing w:line="360" w:lineRule="auto"/>
              <w:jc w:val="left"/>
              <w:rPr>
                <w:rFonts w:hint="eastAsia" w:ascii="宋体" w:hAnsi="宋体" w:eastAsia="宋体" w:cs="宋体"/>
                <w:kern w:val="0"/>
                <w:szCs w:val="21"/>
              </w:rPr>
            </w:pPr>
            <w:r>
              <w:rPr>
                <w:b/>
                <w:bCs/>
                <w:kern w:val="2"/>
                <w:sz w:val="22"/>
                <w:szCs w:val="22"/>
              </w:rPr>
              <w:t>外地供应商承诺：</w:t>
            </w:r>
            <w:r>
              <w:rPr>
                <w:kern w:val="2"/>
                <w:sz w:val="22"/>
                <w:szCs w:val="22"/>
              </w:rPr>
              <w:t>中标后设立本地经营（服务）网点，提供承诺文件</w:t>
            </w:r>
            <w:r>
              <w:rPr>
                <w:rFonts w:hint="eastAsia"/>
                <w:kern w:val="2"/>
                <w:sz w:val="22"/>
                <w:szCs w:val="22"/>
                <w:lang w:val="en-US" w:eastAsia="zh-CN"/>
              </w:rPr>
              <w:t>加盖投标人公章</w:t>
            </w:r>
            <w:r>
              <w:rPr>
                <w:kern w:val="2"/>
                <w:sz w:val="22"/>
                <w:szCs w:val="22"/>
              </w:rPr>
              <w:t>（格式自定）</w:t>
            </w:r>
            <w:r>
              <w:rPr>
                <w:rFonts w:hint="eastAsia"/>
                <w:kern w:val="2"/>
                <w:sz w:val="22"/>
                <w:szCs w:val="22"/>
                <w:lang w:eastAsia="zh-CN"/>
              </w:rPr>
              <w:t>，</w:t>
            </w:r>
            <w:r>
              <w:rPr>
                <w:rFonts w:hint="eastAsia"/>
                <w:sz w:val="22"/>
                <w:szCs w:val="22"/>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709" w:type="dxa"/>
            <w:vAlign w:val="center"/>
          </w:tcPr>
          <w:p>
            <w:pPr>
              <w:keepNext/>
              <w:keepLines/>
              <w:spacing w:before="340" w:after="330"/>
              <w:jc w:val="center"/>
              <w:outlineLvl w:val="0"/>
              <w:rPr>
                <w:rFonts w:ascii="宋体" w:hAnsi="宋体" w:cs="宋体"/>
                <w:szCs w:val="21"/>
              </w:rPr>
            </w:pPr>
          </w:p>
        </w:tc>
        <w:tc>
          <w:tcPr>
            <w:tcW w:w="699" w:type="dxa"/>
            <w:vAlign w:val="center"/>
          </w:tcPr>
          <w:p>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422" w:type="dxa"/>
            <w:gridSpan w:val="2"/>
            <w:vAlign w:val="center"/>
          </w:tcPr>
          <w:p>
            <w:pPr>
              <w:adjustRightInd w:val="0"/>
              <w:snapToGrid w:val="0"/>
              <w:spacing w:line="360" w:lineRule="auto"/>
              <w:jc w:val="center"/>
              <w:rPr>
                <w:rFonts w:hint="eastAsia" w:ascii="宋体" w:hAnsi="宋体" w:eastAsia="宋体" w:cs="宋体"/>
                <w:b w:val="0"/>
                <w:bCs/>
                <w:color w:val="000000"/>
                <w:sz w:val="21"/>
                <w:szCs w:val="21"/>
                <w:highlight w:val="none"/>
              </w:rPr>
            </w:pPr>
            <w:r>
              <w:rPr>
                <w:rFonts w:hint="eastAsia" w:ascii="宋体" w:hAnsi="宋体" w:cs="宋体"/>
                <w:sz w:val="22"/>
                <w:szCs w:val="22"/>
              </w:rPr>
              <w:t>售后服务</w:t>
            </w:r>
            <w:r>
              <w:rPr>
                <w:rFonts w:hint="eastAsia" w:ascii="宋体" w:hAnsi="宋体" w:cs="宋体"/>
                <w:sz w:val="22"/>
                <w:szCs w:val="22"/>
                <w:lang w:val="en-US" w:eastAsia="zh-CN"/>
              </w:rPr>
              <w:t>响应</w:t>
            </w:r>
          </w:p>
        </w:tc>
        <w:tc>
          <w:tcPr>
            <w:tcW w:w="1431" w:type="dxa"/>
            <w:gridSpan w:val="2"/>
            <w:vAlign w:val="center"/>
          </w:tcPr>
          <w:p>
            <w:pPr>
              <w:adjustRightInd w:val="0"/>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 w:val="22"/>
                <w:szCs w:val="22"/>
                <w:lang w:val="en-US" w:eastAsia="zh-CN"/>
              </w:rPr>
              <w:t>3</w:t>
            </w:r>
          </w:p>
        </w:tc>
        <w:tc>
          <w:tcPr>
            <w:tcW w:w="4678" w:type="dxa"/>
            <w:vAlign w:val="top"/>
          </w:tcPr>
          <w:p>
            <w:pPr>
              <w:adjustRightInd w:val="0"/>
              <w:snapToGrid w:val="0"/>
              <w:spacing w:line="360" w:lineRule="auto"/>
              <w:jc w:val="left"/>
              <w:rPr>
                <w:rFonts w:hint="eastAsia" w:ascii="宋体" w:hAnsi="宋体" w:cs="宋体"/>
                <w:sz w:val="22"/>
                <w:szCs w:val="22"/>
              </w:rPr>
            </w:pPr>
            <w:r>
              <w:rPr>
                <w:rFonts w:hint="eastAsia" w:ascii="宋体" w:hAnsi="宋体" w:cs="宋体"/>
                <w:sz w:val="22"/>
                <w:szCs w:val="22"/>
                <w:lang w:val="en-US" w:eastAsia="zh-CN"/>
              </w:rPr>
              <w:t>考察</w:t>
            </w:r>
            <w:r>
              <w:rPr>
                <w:rFonts w:hint="eastAsia" w:ascii="宋体" w:hAnsi="宋体" w:cs="宋体"/>
                <w:sz w:val="22"/>
                <w:szCs w:val="22"/>
              </w:rPr>
              <w:t>投标人售后服务</w:t>
            </w:r>
            <w:r>
              <w:rPr>
                <w:rFonts w:hint="eastAsia" w:ascii="宋体" w:hAnsi="宋体" w:cs="宋体"/>
                <w:sz w:val="22"/>
                <w:szCs w:val="22"/>
                <w:lang w:val="en-US" w:eastAsia="zh-CN"/>
              </w:rPr>
              <w:t>响应情况</w:t>
            </w:r>
            <w:r>
              <w:rPr>
                <w:rFonts w:hint="eastAsia" w:ascii="宋体" w:hAnsi="宋体" w:cs="宋体"/>
                <w:sz w:val="22"/>
                <w:szCs w:val="22"/>
              </w:rPr>
              <w:t>，如接到通知2小时内</w:t>
            </w:r>
            <w:r>
              <w:rPr>
                <w:rFonts w:hint="eastAsia" w:ascii="宋体" w:hAnsi="宋体" w:cs="宋体"/>
                <w:sz w:val="22"/>
                <w:szCs w:val="22"/>
                <w:lang w:eastAsia="zh-CN"/>
              </w:rPr>
              <w:t>（</w:t>
            </w:r>
            <w:r>
              <w:rPr>
                <w:rFonts w:hint="eastAsia" w:ascii="宋体" w:hAnsi="宋体" w:cs="宋体"/>
                <w:sz w:val="22"/>
                <w:szCs w:val="22"/>
                <w:lang w:val="en-US" w:eastAsia="zh-CN"/>
              </w:rPr>
              <w:t>不含小时</w:t>
            </w:r>
            <w:r>
              <w:rPr>
                <w:rFonts w:hint="eastAsia" w:ascii="宋体" w:hAnsi="宋体" w:cs="宋体"/>
                <w:sz w:val="22"/>
                <w:szCs w:val="22"/>
                <w:lang w:eastAsia="zh-CN"/>
              </w:rPr>
              <w:t>）</w:t>
            </w:r>
            <w:r>
              <w:rPr>
                <w:rFonts w:hint="eastAsia" w:ascii="宋体" w:hAnsi="宋体" w:cs="宋体"/>
                <w:sz w:val="22"/>
                <w:szCs w:val="22"/>
              </w:rPr>
              <w:t>提供服务的，得</w:t>
            </w:r>
            <w:r>
              <w:rPr>
                <w:rFonts w:hint="eastAsia" w:ascii="宋体" w:hAnsi="宋体" w:cs="宋体"/>
                <w:sz w:val="22"/>
                <w:szCs w:val="22"/>
                <w:lang w:val="en-US" w:eastAsia="zh-CN"/>
              </w:rPr>
              <w:t>2</w:t>
            </w:r>
            <w:r>
              <w:rPr>
                <w:rFonts w:hint="eastAsia" w:ascii="宋体" w:hAnsi="宋体" w:cs="宋体"/>
                <w:sz w:val="22"/>
                <w:szCs w:val="22"/>
              </w:rPr>
              <w:t>分；接到通知</w:t>
            </w:r>
            <w:r>
              <w:rPr>
                <w:rFonts w:hint="eastAsia" w:ascii="宋体" w:hAnsi="宋体" w:cs="宋体"/>
                <w:sz w:val="22"/>
                <w:szCs w:val="22"/>
                <w:lang w:val="en-US" w:eastAsia="zh-CN"/>
              </w:rPr>
              <w:t>2小时（含）-</w:t>
            </w:r>
            <w:r>
              <w:rPr>
                <w:rFonts w:hint="eastAsia" w:ascii="宋体" w:hAnsi="宋体" w:cs="宋体"/>
                <w:sz w:val="22"/>
                <w:szCs w:val="22"/>
              </w:rPr>
              <w:t>4小时内</w:t>
            </w:r>
            <w:r>
              <w:rPr>
                <w:rFonts w:hint="eastAsia" w:ascii="宋体" w:hAnsi="宋体" w:cs="宋体"/>
                <w:sz w:val="22"/>
                <w:szCs w:val="22"/>
                <w:lang w:eastAsia="zh-CN"/>
              </w:rPr>
              <w:t>（</w:t>
            </w:r>
            <w:r>
              <w:rPr>
                <w:rFonts w:hint="eastAsia" w:ascii="宋体" w:hAnsi="宋体" w:cs="宋体"/>
                <w:sz w:val="22"/>
                <w:szCs w:val="22"/>
                <w:lang w:val="en-US" w:eastAsia="zh-CN"/>
              </w:rPr>
              <w:t>含4小时</w:t>
            </w:r>
            <w:r>
              <w:rPr>
                <w:rFonts w:hint="eastAsia" w:ascii="宋体" w:hAnsi="宋体" w:cs="宋体"/>
                <w:sz w:val="22"/>
                <w:szCs w:val="22"/>
                <w:lang w:eastAsia="zh-CN"/>
              </w:rPr>
              <w:t>）</w:t>
            </w:r>
            <w:r>
              <w:rPr>
                <w:rFonts w:hint="eastAsia" w:ascii="宋体" w:hAnsi="宋体" w:cs="宋体"/>
                <w:sz w:val="22"/>
                <w:szCs w:val="22"/>
              </w:rPr>
              <w:t>提供服务的，得</w:t>
            </w:r>
            <w:r>
              <w:rPr>
                <w:rFonts w:hint="eastAsia" w:ascii="宋体" w:hAnsi="宋体" w:cs="宋体"/>
                <w:sz w:val="22"/>
                <w:szCs w:val="22"/>
                <w:lang w:val="en-US" w:eastAsia="zh-CN"/>
              </w:rPr>
              <w:t>1</w:t>
            </w:r>
            <w:r>
              <w:rPr>
                <w:rFonts w:hint="eastAsia" w:ascii="宋体" w:hAnsi="宋体" w:cs="宋体"/>
                <w:sz w:val="22"/>
                <w:szCs w:val="22"/>
              </w:rPr>
              <w:t>分；超过4小时不得分。</w:t>
            </w:r>
          </w:p>
          <w:p>
            <w:pPr>
              <w:adjustRightInd w:val="0"/>
              <w:snapToGrid w:val="0"/>
              <w:spacing w:line="360" w:lineRule="auto"/>
              <w:jc w:val="left"/>
              <w:rPr>
                <w:rFonts w:hint="eastAsia" w:ascii="宋体" w:hAnsi="宋体" w:eastAsia="宋体" w:cs="宋体"/>
                <w:szCs w:val="21"/>
              </w:rPr>
            </w:pPr>
            <w:r>
              <w:rPr>
                <w:rFonts w:hint="eastAsia" w:ascii="宋体" w:hAnsi="宋体" w:cs="宋体"/>
                <w:b/>
                <w:bCs/>
                <w:sz w:val="22"/>
                <w:szCs w:val="22"/>
              </w:rPr>
              <w:t>备注：</w:t>
            </w:r>
            <w:r>
              <w:rPr>
                <w:rFonts w:hint="eastAsia" w:ascii="宋体" w:hAnsi="宋体" w:cs="宋体"/>
                <w:sz w:val="22"/>
                <w:szCs w:val="22"/>
              </w:rPr>
              <w:t>提供售后服务时间承诺及违约承诺（格式自定）加盖投标人公章作为证明材料，不提供或不清晰的不得分。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09" w:type="dxa"/>
            <w:vAlign w:val="center"/>
          </w:tcPr>
          <w:p>
            <w:pPr>
              <w:jc w:val="center"/>
              <w:rPr>
                <w:rFonts w:ascii="宋体" w:hAnsi="宋体" w:cs="宋体"/>
                <w:b/>
                <w:szCs w:val="21"/>
              </w:rPr>
            </w:pPr>
            <w:r>
              <w:rPr>
                <w:rFonts w:hint="eastAsia" w:ascii="宋体" w:hAnsi="宋体" w:cs="宋体"/>
                <w:b/>
                <w:szCs w:val="21"/>
              </w:rPr>
              <w:t>4</w:t>
            </w:r>
          </w:p>
        </w:tc>
        <w:tc>
          <w:tcPr>
            <w:tcW w:w="3552" w:type="dxa"/>
            <w:gridSpan w:val="5"/>
            <w:vAlign w:val="center"/>
          </w:tcPr>
          <w:p>
            <w:pPr>
              <w:jc w:val="center"/>
              <w:rPr>
                <w:rFonts w:ascii="宋体" w:hAnsi="宋体" w:cs="宋体"/>
                <w:b/>
                <w:szCs w:val="21"/>
              </w:rPr>
            </w:pPr>
            <w:r>
              <w:rPr>
                <w:rFonts w:hint="eastAsia" w:ascii="宋体" w:hAnsi="宋体" w:cs="宋体"/>
                <w:b/>
                <w:szCs w:val="21"/>
              </w:rPr>
              <w:t>诚信情况</w:t>
            </w:r>
          </w:p>
        </w:tc>
        <w:tc>
          <w:tcPr>
            <w:tcW w:w="4678" w:type="dxa"/>
            <w:vAlign w:val="center"/>
          </w:tcPr>
          <w:p>
            <w:pPr>
              <w:pStyle w:val="12"/>
              <w:pBdr>
                <w:bottom w:val="none" w:color="auto" w:sz="0" w:space="0"/>
              </w:pBdr>
              <w:tabs>
                <w:tab w:val="clear" w:pos="4153"/>
                <w:tab w:val="clear" w:pos="8306"/>
              </w:tabs>
              <w:rPr>
                <w:rFonts w:ascii="宋体" w:hAnsi="宋体" w:cs="宋体"/>
                <w:b/>
                <w:color w:val="FF0000"/>
                <w:kern w:val="2"/>
                <w:sz w:val="21"/>
                <w:szCs w:val="21"/>
              </w:rPr>
            </w:pPr>
            <w:r>
              <w:rPr>
                <w:rFonts w:hint="eastAsia" w:ascii="宋体" w:hAnsi="宋体" w:cs="宋体"/>
                <w:b/>
                <w:color w:val="FF0000"/>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restart"/>
            <w:vAlign w:val="center"/>
          </w:tcPr>
          <w:p>
            <w:pPr>
              <w:jc w:val="center"/>
              <w:rPr>
                <w:rFonts w:ascii="宋体" w:hAnsi="宋体" w:cs="宋体"/>
                <w:b/>
                <w:szCs w:val="21"/>
              </w:rPr>
            </w:pPr>
          </w:p>
        </w:tc>
        <w:tc>
          <w:tcPr>
            <w:tcW w:w="699" w:type="dxa"/>
            <w:vAlign w:val="center"/>
          </w:tcPr>
          <w:p>
            <w:pPr>
              <w:jc w:val="center"/>
              <w:rPr>
                <w:rFonts w:ascii="宋体" w:hAnsi="宋体" w:cs="宋体"/>
                <w:b/>
                <w:szCs w:val="21"/>
              </w:rPr>
            </w:pPr>
            <w:r>
              <w:rPr>
                <w:rFonts w:hint="eastAsia" w:ascii="宋体" w:hAnsi="宋体" w:cs="宋体"/>
                <w:b/>
                <w:szCs w:val="21"/>
              </w:rPr>
              <w:t>序号</w:t>
            </w:r>
          </w:p>
        </w:tc>
        <w:tc>
          <w:tcPr>
            <w:tcW w:w="1394" w:type="dxa"/>
            <w:vAlign w:val="center"/>
          </w:tcPr>
          <w:p>
            <w:pPr>
              <w:jc w:val="center"/>
              <w:rPr>
                <w:rFonts w:ascii="宋体" w:hAnsi="宋体" w:cs="宋体"/>
                <w:b/>
                <w:szCs w:val="21"/>
              </w:rPr>
            </w:pPr>
            <w:r>
              <w:rPr>
                <w:rFonts w:hint="eastAsia" w:ascii="宋体" w:hAnsi="宋体" w:cs="宋体"/>
                <w:b/>
                <w:szCs w:val="21"/>
              </w:rPr>
              <w:t>评分因素</w:t>
            </w:r>
          </w:p>
        </w:tc>
        <w:tc>
          <w:tcPr>
            <w:tcW w:w="1459" w:type="dxa"/>
            <w:gridSpan w:val="3"/>
            <w:vAlign w:val="center"/>
          </w:tcPr>
          <w:p>
            <w:pPr>
              <w:jc w:val="center"/>
              <w:rPr>
                <w:rFonts w:ascii="宋体" w:hAnsi="宋体" w:cs="宋体"/>
                <w:b/>
                <w:szCs w:val="21"/>
              </w:rPr>
            </w:pPr>
            <w:r>
              <w:rPr>
                <w:rFonts w:hint="eastAsia" w:ascii="宋体" w:hAnsi="宋体" w:cs="宋体"/>
                <w:b/>
                <w:szCs w:val="21"/>
              </w:rPr>
              <w:t>权重</w:t>
            </w:r>
          </w:p>
        </w:tc>
        <w:tc>
          <w:tcPr>
            <w:tcW w:w="4678" w:type="dxa"/>
            <w:vAlign w:val="center"/>
          </w:tcPr>
          <w:p>
            <w:pPr>
              <w:jc w:val="center"/>
              <w:rPr>
                <w:rFonts w:ascii="宋体" w:hAnsi="宋体" w:cs="宋体"/>
                <w:b/>
                <w:szCs w:val="21"/>
              </w:rPr>
            </w:pPr>
            <w:r>
              <w:rPr>
                <w:rFonts w:hint="eastAsia" w:ascii="宋体" w:hAnsi="宋体" w:cs="宋体"/>
                <w:b/>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709" w:type="dxa"/>
            <w:vMerge w:val="continue"/>
            <w:vAlign w:val="center"/>
          </w:tcPr>
          <w:p>
            <w:pPr>
              <w:keepNext/>
              <w:keepLines/>
              <w:spacing w:before="340" w:after="330"/>
              <w:jc w:val="center"/>
              <w:outlineLvl w:val="0"/>
              <w:rPr>
                <w:rFonts w:ascii="宋体" w:hAnsi="宋体" w:cs="宋体"/>
                <w:szCs w:val="21"/>
                <w:highlight w:val="yellow"/>
              </w:rPr>
            </w:pPr>
          </w:p>
        </w:tc>
        <w:tc>
          <w:tcPr>
            <w:tcW w:w="699" w:type="dxa"/>
            <w:vAlign w:val="center"/>
          </w:tcPr>
          <w:p>
            <w:pPr>
              <w:jc w:val="center"/>
              <w:rPr>
                <w:rFonts w:ascii="宋体" w:hAnsi="宋体" w:cs="宋体"/>
                <w:szCs w:val="21"/>
              </w:rPr>
            </w:pPr>
            <w:r>
              <w:rPr>
                <w:rFonts w:hint="eastAsia" w:ascii="宋体" w:hAnsi="宋体" w:cs="宋体"/>
                <w:szCs w:val="21"/>
              </w:rPr>
              <w:t>1</w:t>
            </w:r>
          </w:p>
        </w:tc>
        <w:tc>
          <w:tcPr>
            <w:tcW w:w="1394" w:type="dxa"/>
            <w:vAlign w:val="center"/>
          </w:tcPr>
          <w:p>
            <w:pPr>
              <w:jc w:val="center"/>
              <w:rPr>
                <w:rFonts w:ascii="宋体" w:hAnsi="宋体" w:cs="宋体"/>
                <w:szCs w:val="21"/>
              </w:rPr>
            </w:pPr>
            <w:r>
              <w:rPr>
                <w:rFonts w:hint="eastAsia" w:ascii="宋体" w:hAnsi="宋体" w:cs="宋体"/>
                <w:szCs w:val="21"/>
              </w:rPr>
              <w:t>诚信评价</w:t>
            </w:r>
          </w:p>
        </w:tc>
        <w:tc>
          <w:tcPr>
            <w:tcW w:w="1459" w:type="dxa"/>
            <w:gridSpan w:val="3"/>
            <w:vAlign w:val="center"/>
          </w:tcPr>
          <w:p>
            <w:pPr>
              <w:jc w:val="center"/>
              <w:rPr>
                <w:rFonts w:ascii="宋体" w:hAnsi="宋体" w:cs="宋体"/>
                <w:szCs w:val="21"/>
              </w:rPr>
            </w:pPr>
            <w:r>
              <w:rPr>
                <w:rFonts w:hint="eastAsia" w:ascii="宋体" w:hAnsi="宋体" w:cs="宋体"/>
                <w:szCs w:val="21"/>
              </w:rPr>
              <w:t>5</w:t>
            </w:r>
          </w:p>
        </w:tc>
        <w:tc>
          <w:tcPr>
            <w:tcW w:w="4678" w:type="dxa"/>
          </w:tcPr>
          <w:p>
            <w:pPr>
              <w:jc w:val="center"/>
              <w:rPr>
                <w:rFonts w:ascii="宋体" w:hAnsi="宋体" w:cs="宋体"/>
                <w:szCs w:val="21"/>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投标人在参与政府采购活动中存在诚信相关问题且在主管部门相关处理措施实施期限内的，本项不得分，否则得满分。投标人无需提供任何证明材料，由评标工作人员向评委会提供相关信息。</w:t>
            </w:r>
          </w:p>
        </w:tc>
      </w:tr>
    </w:tbl>
    <w:p>
      <w:pPr>
        <w:pStyle w:val="2"/>
      </w:pPr>
      <w:r>
        <w:rPr>
          <w:rFonts w:hint="eastAsia"/>
        </w:rPr>
        <w:t>第二章  项目需求</w:t>
      </w:r>
    </w:p>
    <w:p>
      <w:pPr>
        <w:pStyle w:val="4"/>
        <w:spacing w:before="156" w:beforeLines="50" w:after="156" w:afterLines="50"/>
        <w:rPr>
          <w:rFonts w:cs="宋体"/>
          <w:b/>
          <w:bCs/>
          <w:sz w:val="28"/>
          <w:szCs w:val="28"/>
        </w:rPr>
      </w:pPr>
      <w:bookmarkStart w:id="0" w:name="_Toc60560625"/>
      <w:bookmarkStart w:id="1" w:name="_Toc101074876"/>
      <w:bookmarkStart w:id="2" w:name="_Toc73521547"/>
      <w:bookmarkStart w:id="3" w:name="_Toc73517639"/>
      <w:bookmarkStart w:id="4" w:name="_Toc60631620"/>
      <w:bookmarkStart w:id="5" w:name="_Toc100052364"/>
      <w:bookmarkStart w:id="6" w:name="_Toc73518117"/>
      <w:bookmarkStart w:id="7" w:name="_Toc73521635"/>
      <w:r>
        <w:rPr>
          <w:rFonts w:hint="eastAsia" w:cs="宋体"/>
          <w:b/>
          <w:bCs/>
          <w:sz w:val="28"/>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深圳市第一职业技术学校教师教学能力大赛作品拍摄服务项目。</w:t>
      </w:r>
    </w:p>
    <w:p>
      <w:pPr>
        <w:pStyle w:val="4"/>
        <w:spacing w:before="156" w:beforeLines="50" w:after="156" w:afterLines="50"/>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cs="宋体"/>
          <w:b/>
          <w:bCs/>
          <w:sz w:val="28"/>
          <w:szCs w:val="28"/>
          <w:lang w:eastAsia="zh-CN"/>
        </w:rPr>
        <w:t>服务</w:t>
      </w:r>
      <w:r>
        <w:rPr>
          <w:rFonts w:hint="eastAsia" w:ascii="宋体" w:hAnsi="宋体" w:eastAsia="宋体" w:cs="宋体"/>
          <w:b/>
          <w:bCs/>
          <w:sz w:val="28"/>
          <w:szCs w:val="28"/>
        </w:rPr>
        <w:t>清单</w:t>
      </w:r>
    </w:p>
    <w:tbl>
      <w:tblPr>
        <w:tblStyle w:val="15"/>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305"/>
        <w:gridCol w:w="1230"/>
        <w:gridCol w:w="1155"/>
        <w:gridCol w:w="1140"/>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64" w:type="dxa"/>
            <w:vAlign w:val="center"/>
          </w:tcPr>
          <w:p>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line="360" w:lineRule="auto"/>
              <w:jc w:val="center"/>
              <w:rPr>
                <w:rFonts w:ascii="宋体" w:hAnsi="宋体" w:cs="宋体"/>
                <w:bCs/>
                <w:szCs w:val="21"/>
              </w:rPr>
            </w:pPr>
            <w:r>
              <w:rPr>
                <w:rFonts w:hint="eastAsia" w:ascii="仿宋" w:hAnsi="仿宋" w:eastAsia="仿宋" w:cs="宋体"/>
                <w:b/>
                <w:szCs w:val="21"/>
              </w:rPr>
              <w:t>序号</w:t>
            </w:r>
          </w:p>
        </w:tc>
        <w:tc>
          <w:tcPr>
            <w:tcW w:w="1305" w:type="dxa"/>
            <w:vAlign w:val="center"/>
          </w:tcPr>
          <w:p>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Cs/>
                <w:szCs w:val="21"/>
              </w:rPr>
            </w:pPr>
            <w:r>
              <w:rPr>
                <w:rFonts w:hint="eastAsia" w:ascii="仿宋" w:hAnsi="仿宋" w:eastAsia="仿宋" w:cs="宋体"/>
                <w:b/>
                <w:szCs w:val="21"/>
              </w:rPr>
              <w:t>货物名称</w:t>
            </w:r>
          </w:p>
        </w:tc>
        <w:tc>
          <w:tcPr>
            <w:tcW w:w="1230" w:type="dxa"/>
            <w:vAlign w:val="center"/>
          </w:tcPr>
          <w:p>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360" w:lineRule="auto"/>
              <w:jc w:val="center"/>
              <w:rPr>
                <w:rFonts w:ascii="宋体" w:hAnsi="宋体" w:cs="宋体"/>
                <w:bCs/>
                <w:szCs w:val="21"/>
              </w:rPr>
            </w:pPr>
            <w:r>
              <w:rPr>
                <w:rFonts w:hint="eastAsia" w:ascii="仿宋" w:hAnsi="仿宋" w:eastAsia="仿宋" w:cs="宋体"/>
                <w:b/>
                <w:szCs w:val="21"/>
              </w:rPr>
              <w:t>数量</w:t>
            </w:r>
          </w:p>
        </w:tc>
        <w:tc>
          <w:tcPr>
            <w:tcW w:w="1155" w:type="dxa"/>
            <w:vAlign w:val="center"/>
          </w:tcPr>
          <w:p>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Cs/>
                <w:szCs w:val="21"/>
              </w:rPr>
            </w:pPr>
            <w:r>
              <w:rPr>
                <w:rFonts w:hint="eastAsia" w:ascii="仿宋" w:hAnsi="仿宋" w:eastAsia="仿宋" w:cs="宋体"/>
                <w:b/>
                <w:szCs w:val="21"/>
              </w:rPr>
              <w:t>单位</w:t>
            </w:r>
          </w:p>
        </w:tc>
        <w:tc>
          <w:tcPr>
            <w:tcW w:w="1140" w:type="dxa"/>
            <w:vAlign w:val="center"/>
          </w:tcPr>
          <w:p>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ascii="宋体" w:hAnsi="宋体" w:cs="宋体"/>
                <w:b/>
                <w:bCs/>
                <w:szCs w:val="21"/>
              </w:rPr>
            </w:pPr>
            <w:r>
              <w:rPr>
                <w:rFonts w:hint="eastAsia" w:ascii="仿宋" w:hAnsi="仿宋" w:eastAsia="仿宋" w:cs="宋体"/>
                <w:b/>
                <w:szCs w:val="21"/>
              </w:rPr>
              <w:t>备注</w:t>
            </w:r>
          </w:p>
        </w:tc>
        <w:tc>
          <w:tcPr>
            <w:tcW w:w="2717" w:type="dxa"/>
            <w:vAlign w:val="center"/>
          </w:tcPr>
          <w:p>
            <w:pPr>
              <w:tabs>
                <w:tab w:val="left" w:pos="612"/>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s>
              <w:spacing w:line="360" w:lineRule="auto"/>
              <w:jc w:val="center"/>
              <w:rPr>
                <w:rFonts w:hint="eastAsia" w:ascii="仿宋" w:hAnsi="仿宋" w:eastAsia="仿宋" w:cs="宋体"/>
                <w:b/>
                <w:kern w:val="2"/>
                <w:sz w:val="21"/>
                <w:szCs w:val="21"/>
                <w:lang w:val="en-US" w:eastAsia="zh-CN" w:bidi="ar-SA"/>
              </w:rPr>
            </w:pPr>
            <w:r>
              <w:rPr>
                <w:rFonts w:hint="eastAsia" w:ascii="仿宋" w:hAnsi="仿宋" w:eastAsia="仿宋" w:cs="宋体"/>
                <w:b/>
                <w:szCs w:val="21"/>
              </w:rPr>
              <w:t>预算</w:t>
            </w:r>
            <w:r>
              <w:rPr>
                <w:rFonts w:hint="eastAsia" w:ascii="仿宋" w:hAnsi="仿宋" w:eastAsia="仿宋" w:cs="宋体"/>
                <w:b/>
                <w:szCs w:val="21"/>
                <w:lang w:eastAsia="zh-CN"/>
              </w:rPr>
              <w:t>总</w:t>
            </w:r>
            <w:r>
              <w:rPr>
                <w:rFonts w:hint="eastAsia" w:ascii="仿宋" w:hAnsi="仿宋" w:eastAsia="仿宋" w:cs="宋体"/>
                <w:b/>
                <w:szCs w:val="21"/>
              </w:rPr>
              <w:t>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4" w:type="dxa"/>
            <w:vAlign w:val="top"/>
          </w:tcPr>
          <w:p>
            <w:pPr>
              <w:rPr>
                <w:rFonts w:hint="eastAsia" w:ascii="宋体" w:hAnsi="宋体" w:eastAsia="宋体" w:cs="宋体"/>
                <w:szCs w:val="21"/>
              </w:rPr>
            </w:pPr>
            <w:r>
              <w:rPr>
                <w:rFonts w:hint="eastAsia" w:ascii="宋体" w:hAnsi="宋体" w:eastAsia="宋体" w:cs="宋体"/>
                <w:szCs w:val="21"/>
              </w:rPr>
              <w:t>1</w:t>
            </w:r>
          </w:p>
        </w:tc>
        <w:tc>
          <w:tcPr>
            <w:tcW w:w="1305" w:type="dxa"/>
            <w:vAlign w:val="top"/>
          </w:tcPr>
          <w:p>
            <w:pPr>
              <w:rPr>
                <w:rFonts w:hint="eastAsia" w:ascii="宋体" w:hAnsi="宋体" w:eastAsia="宋体" w:cs="宋体"/>
                <w:szCs w:val="21"/>
              </w:rPr>
            </w:pPr>
            <w:r>
              <w:rPr>
                <w:rFonts w:hint="eastAsia" w:ascii="宋体" w:hAnsi="宋体" w:eastAsia="宋体" w:cs="宋体"/>
                <w:szCs w:val="21"/>
              </w:rPr>
              <w:t>教师教学能力大赛作品拍摄服务</w:t>
            </w:r>
          </w:p>
        </w:tc>
        <w:tc>
          <w:tcPr>
            <w:tcW w:w="1230" w:type="dxa"/>
            <w:vAlign w:val="top"/>
          </w:tcPr>
          <w:p>
            <w:pPr>
              <w:rPr>
                <w:rFonts w:hint="eastAsia" w:ascii="宋体" w:hAnsi="宋体" w:eastAsia="宋体" w:cs="宋体"/>
                <w:szCs w:val="21"/>
              </w:rPr>
            </w:pPr>
            <w:r>
              <w:rPr>
                <w:rFonts w:hint="eastAsia" w:ascii="宋体" w:hAnsi="宋体" w:eastAsia="宋体" w:cs="宋体"/>
                <w:szCs w:val="21"/>
              </w:rPr>
              <w:t>1</w:t>
            </w:r>
          </w:p>
        </w:tc>
        <w:tc>
          <w:tcPr>
            <w:tcW w:w="1155" w:type="dxa"/>
            <w:vAlign w:val="top"/>
          </w:tcPr>
          <w:p>
            <w:pPr>
              <w:rPr>
                <w:rFonts w:hint="eastAsia" w:ascii="宋体" w:hAnsi="宋体" w:eastAsia="宋体" w:cs="宋体"/>
                <w:szCs w:val="21"/>
                <w:lang w:val="en-US" w:eastAsia="zh-CN"/>
              </w:rPr>
            </w:pPr>
            <w:r>
              <w:rPr>
                <w:rFonts w:hint="eastAsia" w:ascii="宋体" w:hAnsi="宋体" w:cs="宋体"/>
                <w:szCs w:val="21"/>
                <w:lang w:eastAsia="zh-CN"/>
              </w:rPr>
              <w:t>项</w:t>
            </w:r>
          </w:p>
        </w:tc>
        <w:tc>
          <w:tcPr>
            <w:tcW w:w="1140" w:type="dxa"/>
            <w:vAlign w:val="top"/>
          </w:tcPr>
          <w:p>
            <w:pPr>
              <w:rPr>
                <w:rFonts w:hint="eastAsia" w:ascii="宋体" w:hAnsi="宋体" w:eastAsia="宋体" w:cs="宋体"/>
                <w:szCs w:val="21"/>
                <w:lang w:eastAsia="zh-CN"/>
              </w:rPr>
            </w:pPr>
            <w:r>
              <w:rPr>
                <w:rFonts w:hint="eastAsia" w:ascii="宋体" w:hAnsi="宋体" w:eastAsia="宋体" w:cs="宋体"/>
                <w:szCs w:val="21"/>
              </w:rPr>
              <w:t>拒绝进口</w:t>
            </w:r>
          </w:p>
        </w:tc>
        <w:tc>
          <w:tcPr>
            <w:tcW w:w="2717" w:type="dxa"/>
            <w:vAlign w:val="top"/>
          </w:tcPr>
          <w:p>
            <w:pPr>
              <w:rPr>
                <w:rFonts w:hint="eastAsia" w:ascii="宋体" w:hAnsi="宋体" w:eastAsia="宋体" w:cs="宋体"/>
                <w:szCs w:val="21"/>
                <w:lang w:val="en-US" w:eastAsia="zh-CN"/>
              </w:rPr>
            </w:pPr>
            <w:r>
              <w:rPr>
                <w:rFonts w:hint="eastAsia" w:ascii="宋体" w:hAnsi="宋体" w:cs="宋体"/>
                <w:szCs w:val="21"/>
                <w:lang w:val="en-US" w:eastAsia="zh-CN"/>
              </w:rPr>
              <w:t>15</w:t>
            </w:r>
            <w:r>
              <w:rPr>
                <w:rFonts w:hint="eastAsia" w:ascii="宋体" w:hAnsi="宋体" w:eastAsia="宋体" w:cs="宋体"/>
                <w:szCs w:val="21"/>
              </w:rPr>
              <w:t>0</w:t>
            </w:r>
            <w:r>
              <w:rPr>
                <w:rFonts w:hint="eastAsia" w:ascii="宋体" w:hAnsi="宋体" w:eastAsia="宋体" w:cs="宋体"/>
                <w:szCs w:val="21"/>
                <w:lang w:val="en-US" w:eastAsia="zh-CN"/>
              </w:rPr>
              <w:t>,</w:t>
            </w:r>
            <w:r>
              <w:rPr>
                <w:rFonts w:hint="eastAsia" w:ascii="宋体" w:hAnsi="宋体" w:eastAsia="宋体" w:cs="宋体"/>
                <w:szCs w:val="21"/>
              </w:rPr>
              <w:t>000.00</w:t>
            </w:r>
          </w:p>
        </w:tc>
      </w:tr>
    </w:tbl>
    <w:p>
      <w:pPr>
        <w:pStyle w:val="4"/>
        <w:spacing w:before="156" w:beforeLines="50" w:after="156" w:afterLines="50"/>
        <w:rPr>
          <w:rFonts w:hint="eastAsia" w:ascii="宋体" w:hAnsi="宋体" w:eastAsia="宋体" w:cs="宋体"/>
          <w:b/>
          <w:bCs/>
          <w:sz w:val="28"/>
          <w:szCs w:val="28"/>
          <w:lang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1"/>
        <w:rPr>
          <w:rFonts w:hint="eastAsia" w:ascii="宋体" w:hAnsi="宋体" w:eastAsia="宋体" w:cs="宋体"/>
          <w:b/>
          <w:sz w:val="28"/>
          <w:szCs w:val="28"/>
        </w:rPr>
      </w:pPr>
      <w:r>
        <w:rPr>
          <w:rFonts w:hint="eastAsia" w:ascii="宋体" w:hAnsi="宋体" w:cs="宋体"/>
          <w:b/>
          <w:sz w:val="28"/>
          <w:szCs w:val="28"/>
          <w:lang w:eastAsia="zh-CN"/>
        </w:rPr>
        <w:t>（一）</w:t>
      </w:r>
      <w:r>
        <w:rPr>
          <w:rFonts w:hint="eastAsia" w:ascii="宋体" w:hAnsi="宋体" w:eastAsia="宋体" w:cs="宋体"/>
          <w:b/>
          <w:sz w:val="28"/>
          <w:szCs w:val="28"/>
        </w:rPr>
        <w:t>建设服务内容及标准</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1.拍摄场地</w:t>
      </w:r>
      <w:r>
        <w:rPr>
          <w:rFonts w:hint="eastAsia" w:ascii="宋体" w:hAnsi="宋体" w:eastAsia="宋体" w:cs="宋体"/>
          <w:sz w:val="28"/>
          <w:szCs w:val="28"/>
        </w:rPr>
        <w:t>服务</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提供场地勘察服务</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针对作品拍摄流程、拍摄内容、拍摄人数，拍摄前对现有环境情况提出布置设计建议，并与拍摄老师沟通流程。</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2提供拍摄环境优化服务</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针对</w:t>
      </w:r>
      <w:r>
        <w:rPr>
          <w:rFonts w:hint="eastAsia" w:ascii="宋体" w:hAnsi="宋体" w:eastAsia="宋体" w:cs="宋体"/>
          <w:sz w:val="28"/>
          <w:szCs w:val="28"/>
          <w:lang w:val="en-US" w:eastAsia="zh-CN"/>
        </w:rPr>
        <w:t>不够完善</w:t>
      </w:r>
      <w:r>
        <w:rPr>
          <w:rFonts w:hint="eastAsia" w:ascii="宋体" w:hAnsi="宋体" w:eastAsia="宋体" w:cs="宋体"/>
          <w:sz w:val="28"/>
          <w:szCs w:val="28"/>
        </w:rPr>
        <w:t>的拍摄环境，协助提供</w:t>
      </w:r>
      <w:r>
        <w:rPr>
          <w:rFonts w:hint="eastAsia" w:ascii="宋体" w:hAnsi="宋体" w:eastAsia="宋体" w:cs="宋体"/>
          <w:sz w:val="28"/>
          <w:szCs w:val="28"/>
          <w:lang w:val="en-US" w:eastAsia="zh-CN"/>
        </w:rPr>
        <w:t>优</w:t>
      </w:r>
      <w:r>
        <w:rPr>
          <w:rFonts w:hint="eastAsia" w:ascii="宋体" w:hAnsi="宋体" w:eastAsia="宋体" w:cs="宋体"/>
          <w:sz w:val="28"/>
          <w:szCs w:val="28"/>
        </w:rPr>
        <w:t>化服务</w:t>
      </w:r>
      <w:r>
        <w:rPr>
          <w:rFonts w:hint="eastAsia" w:ascii="宋体" w:hAnsi="宋体" w:eastAsia="宋体" w:cs="宋体"/>
          <w:sz w:val="28"/>
          <w:szCs w:val="28"/>
          <w:lang w:eastAsia="zh-CN"/>
        </w:rPr>
        <w:t>。</w:t>
      </w:r>
      <w:r>
        <w:rPr>
          <w:rFonts w:hint="eastAsia" w:ascii="宋体" w:hAnsi="宋体" w:eastAsia="宋体" w:cs="宋体"/>
          <w:sz w:val="28"/>
          <w:szCs w:val="28"/>
        </w:rPr>
        <w:t>包括标识设计、环境优化建议、拍摄服装建议等。</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2.提供</w:t>
      </w:r>
      <w:r>
        <w:rPr>
          <w:rFonts w:hint="eastAsia" w:ascii="宋体" w:hAnsi="宋体" w:eastAsia="宋体" w:cs="宋体"/>
          <w:sz w:val="28"/>
          <w:szCs w:val="28"/>
        </w:rPr>
        <w:t>3机位全程连续</w:t>
      </w:r>
      <w:r>
        <w:rPr>
          <w:rFonts w:hint="eastAsia" w:ascii="宋体" w:hAnsi="宋体" w:eastAsia="宋体" w:cs="宋体"/>
          <w:sz w:val="28"/>
          <w:szCs w:val="28"/>
          <w:lang w:val="en-US" w:eastAsia="zh-CN"/>
        </w:rPr>
        <w:t>视频</w:t>
      </w:r>
      <w:r>
        <w:rPr>
          <w:rFonts w:hint="eastAsia" w:ascii="宋体" w:hAnsi="宋体" w:eastAsia="宋体" w:cs="宋体"/>
          <w:sz w:val="28"/>
          <w:szCs w:val="28"/>
        </w:rPr>
        <w:t>录制</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2.1机位要求</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根据比赛要求，须</w:t>
      </w:r>
      <w:r>
        <w:rPr>
          <w:rFonts w:hint="eastAsia" w:ascii="宋体" w:hAnsi="宋体" w:eastAsia="宋体" w:cs="宋体"/>
          <w:sz w:val="28"/>
          <w:szCs w:val="28"/>
        </w:rPr>
        <w:t>镜头固定，其中一个机位对准黑板和屏幕，另两个机位根据教学实际固定镜头位置，覆盖教室全景（1学时教学需要两个教学场所的，每个教学场所均须安放固定镜头）。3机位须同步录制，保证音视频准确同步。</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录课过程中拍摄及其他人员不在场，提交的视频从拍摄人员离场开始到拍摄人员停机为止（1学时之外的录制时长不超过2分钟）。所有机位拍摄的视频须保证音轨连续，不另行剪辑及配音，不加片头片尾、字幕注解。</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2.2视频要求</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视频采用MP4格式封装，单个视频文件大小不超过500M。</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视频</w:t>
      </w:r>
      <w:r>
        <w:rPr>
          <w:rFonts w:hint="eastAsia" w:ascii="宋体" w:hAnsi="宋体" w:eastAsia="宋体" w:cs="宋体"/>
          <w:sz w:val="28"/>
          <w:szCs w:val="28"/>
          <w:lang w:val="en-US" w:eastAsia="zh-CN"/>
        </w:rPr>
        <w:t>须</w:t>
      </w:r>
      <w:r>
        <w:rPr>
          <w:rFonts w:hint="eastAsia" w:ascii="宋体" w:hAnsi="宋体" w:eastAsia="宋体" w:cs="宋体"/>
          <w:sz w:val="28"/>
          <w:szCs w:val="28"/>
        </w:rPr>
        <w:t>采用H.264/AVC 编码格式压缩，动态比特率（码流）不低于1024Kbps，分辨率设定为1280*720，采用逐行扫描，帧速率为25帧/秒。音频采用AAC格式压缩，采样率48KHz，19比特率（码流）128Kbps(恒定)。</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both"/>
        <w:textAlignment w:val="auto"/>
        <w:rPr>
          <w:rFonts w:hint="eastAsia" w:ascii="宋体" w:hAnsi="宋体" w:cs="宋体"/>
          <w:sz w:val="28"/>
          <w:szCs w:val="28"/>
          <w:lang w:val="zh-CN"/>
        </w:rPr>
      </w:pPr>
      <w:r>
        <w:rPr>
          <w:rFonts w:hint="eastAsia" w:ascii="宋体" w:hAnsi="宋体" w:eastAsia="宋体" w:cs="宋体"/>
          <w:sz w:val="28"/>
          <w:szCs w:val="28"/>
        </w:rPr>
        <w:t>如比赛要求的视频录制方式有变化，则按最新要求执行。</w:t>
      </w:r>
    </w:p>
    <w:p>
      <w:pPr>
        <w:keepNext w:val="0"/>
        <w:keepLines w:val="0"/>
        <w:pageBreakBefore w:val="0"/>
        <w:widowControl/>
        <w:numPr>
          <w:numId w:val="0"/>
        </w:numPr>
        <w:kinsoku/>
        <w:wordWrap/>
        <w:overflowPunct/>
        <w:topLinePunct w:val="0"/>
        <w:autoSpaceDE/>
        <w:autoSpaceDN/>
        <w:bidi w:val="0"/>
        <w:spacing w:line="560" w:lineRule="exact"/>
        <w:jc w:val="both"/>
        <w:textAlignment w:val="auto"/>
        <w:rPr>
          <w:rFonts w:hint="default" w:eastAsia="宋体"/>
          <w:b/>
          <w:bCs/>
          <w:sz w:val="28"/>
          <w:szCs w:val="28"/>
          <w:lang w:val="en-US" w:eastAsia="zh-CN"/>
        </w:rPr>
      </w:pPr>
      <w:r>
        <w:rPr>
          <w:rFonts w:hint="eastAsia" w:ascii="宋体" w:hAnsi="宋体" w:cs="宋体"/>
          <w:b/>
          <w:sz w:val="28"/>
          <w:szCs w:val="28"/>
          <w:lang w:val="zh-CN" w:eastAsia="zh-CN"/>
        </w:rPr>
        <w:t>（二）具体</w:t>
      </w:r>
      <w:r>
        <w:rPr>
          <w:rFonts w:hint="eastAsia" w:ascii="宋体" w:hAnsi="Calibri" w:cs="宋体"/>
          <w:b/>
          <w:bCs/>
          <w:kern w:val="0"/>
          <w:sz w:val="28"/>
          <w:szCs w:val="28"/>
          <w:lang w:val="zh-CN"/>
        </w:rPr>
        <w:t>工作内容</w:t>
      </w:r>
    </w:p>
    <w:tbl>
      <w:tblPr>
        <w:tblStyle w:val="15"/>
        <w:tblpPr w:leftFromText="180" w:rightFromText="180" w:vertAnchor="text" w:horzAnchor="page" w:tblpXSpec="center" w:tblpY="276"/>
        <w:tblOverlap w:val="never"/>
        <w:tblW w:w="43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2589"/>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80" w:type="pct"/>
            <w:tcBorders>
              <w:top w:val="single" w:color="auto" w:sz="12" w:space="0"/>
              <w:bottom w:val="single" w:color="auto" w:sz="12" w:space="0"/>
            </w:tcBorders>
            <w:noWrap w:val="0"/>
            <w:vAlign w:val="center"/>
          </w:tcPr>
          <w:p>
            <w:pPr>
              <w:spacing w:before="156" w:after="156"/>
              <w:jc w:val="center"/>
              <w:rPr>
                <w:rFonts w:hint="default" w:eastAsia="宋体"/>
                <w:b/>
                <w:bCs/>
                <w:sz w:val="24"/>
                <w:szCs w:val="24"/>
                <w:highlight w:val="none"/>
                <w:lang w:val="en-US" w:eastAsia="zh-CN"/>
              </w:rPr>
            </w:pPr>
            <w:r>
              <w:rPr>
                <w:rFonts w:hint="eastAsia"/>
                <w:b/>
                <w:bCs/>
                <w:sz w:val="24"/>
                <w:szCs w:val="24"/>
                <w:highlight w:val="none"/>
                <w:lang w:val="en-US" w:eastAsia="zh-CN"/>
              </w:rPr>
              <w:t>组别</w:t>
            </w:r>
          </w:p>
        </w:tc>
        <w:tc>
          <w:tcPr>
            <w:tcW w:w="1747" w:type="pct"/>
            <w:tcBorders>
              <w:top w:val="single" w:color="auto" w:sz="12" w:space="0"/>
              <w:bottom w:val="single" w:color="auto" w:sz="12" w:space="0"/>
            </w:tcBorders>
            <w:noWrap w:val="0"/>
            <w:vAlign w:val="center"/>
          </w:tcPr>
          <w:p>
            <w:pPr>
              <w:spacing w:before="156" w:after="156"/>
              <w:jc w:val="center"/>
              <w:rPr>
                <w:rFonts w:hint="default" w:eastAsia="宋体"/>
                <w:b/>
                <w:bCs/>
                <w:sz w:val="24"/>
                <w:szCs w:val="24"/>
                <w:highlight w:val="none"/>
                <w:lang w:val="en-US" w:eastAsia="zh-CN"/>
              </w:rPr>
            </w:pPr>
            <w:r>
              <w:rPr>
                <w:rFonts w:hint="eastAsia"/>
                <w:b/>
                <w:bCs/>
                <w:sz w:val="24"/>
                <w:szCs w:val="24"/>
                <w:highlight w:val="none"/>
                <w:lang w:val="en-US" w:eastAsia="zh-CN"/>
              </w:rPr>
              <w:t>服务项目</w:t>
            </w:r>
          </w:p>
        </w:tc>
        <w:tc>
          <w:tcPr>
            <w:tcW w:w="1371" w:type="pct"/>
            <w:tcBorders>
              <w:top w:val="single" w:color="auto" w:sz="12" w:space="0"/>
              <w:bottom w:val="single" w:color="auto" w:sz="12" w:space="0"/>
            </w:tcBorders>
            <w:noWrap w:val="0"/>
            <w:vAlign w:val="center"/>
          </w:tcPr>
          <w:p>
            <w:pPr>
              <w:spacing w:before="156" w:after="156"/>
              <w:jc w:val="center"/>
              <w:rPr>
                <w:rFonts w:hint="eastAsia" w:eastAsia="宋体"/>
                <w:b/>
                <w:bCs/>
                <w:sz w:val="24"/>
                <w:szCs w:val="24"/>
                <w:highlight w:val="none"/>
                <w:lang w:val="en-US" w:eastAsia="zh-CN"/>
              </w:rPr>
            </w:pPr>
            <w:r>
              <w:rPr>
                <w:rFonts w:hint="eastAsia"/>
                <w:b/>
                <w:bCs/>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80" w:type="pct"/>
            <w:vMerge w:val="restart"/>
            <w:tcBorders>
              <w:top w:val="single" w:color="auto" w:sz="12" w:space="0"/>
            </w:tcBorders>
            <w:noWrap w:val="0"/>
            <w:vAlign w:val="center"/>
          </w:tcPr>
          <w:p>
            <w:pPr>
              <w:spacing w:before="156" w:after="156"/>
              <w:jc w:val="center"/>
              <w:rPr>
                <w:rFonts w:hint="eastAsia"/>
                <w:sz w:val="24"/>
                <w:szCs w:val="24"/>
                <w:highlight w:val="none"/>
                <w:lang w:val="en-US" w:eastAsia="zh-CN"/>
              </w:rPr>
            </w:pPr>
            <w:r>
              <w:rPr>
                <w:rFonts w:hint="eastAsia"/>
                <w:sz w:val="24"/>
                <w:szCs w:val="24"/>
                <w:highlight w:val="none"/>
                <w:lang w:val="en-US" w:eastAsia="zh-CN"/>
              </w:rPr>
              <w:t>公共基础：</w:t>
            </w:r>
          </w:p>
          <w:p>
            <w:pPr>
              <w:spacing w:before="156" w:after="156"/>
              <w:jc w:val="center"/>
              <w:rPr>
                <w:rFonts w:hint="eastAsia" w:ascii="Times New Roman" w:hAnsi="Times New Roman" w:eastAsia="宋体" w:cs="Times New Roman"/>
                <w:kern w:val="2"/>
                <w:sz w:val="24"/>
                <w:szCs w:val="24"/>
                <w:highlight w:val="none"/>
                <w:lang w:val="en-US" w:eastAsia="zh-CN" w:bidi="ar-SA"/>
              </w:rPr>
            </w:pPr>
            <w:r>
              <w:rPr>
                <w:rFonts w:hint="eastAsia"/>
                <w:sz w:val="24"/>
                <w:szCs w:val="24"/>
                <w:highlight w:val="none"/>
                <w:lang w:val="en-US" w:eastAsia="zh-CN"/>
              </w:rPr>
              <w:t>英语</w:t>
            </w:r>
          </w:p>
        </w:tc>
        <w:tc>
          <w:tcPr>
            <w:tcW w:w="1747" w:type="pct"/>
            <w:tcBorders>
              <w:top w:val="single" w:color="auto" w:sz="12" w:space="0"/>
            </w:tcBorders>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视频录制</w:t>
            </w:r>
          </w:p>
        </w:tc>
        <w:tc>
          <w:tcPr>
            <w:tcW w:w="1371" w:type="pct"/>
            <w:tcBorders>
              <w:top w:val="single" w:color="auto" w:sz="12" w:space="0"/>
            </w:tcBorders>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80" w:type="pct"/>
            <w:vMerge w:val="continue"/>
            <w:noWrap w:val="0"/>
            <w:vAlign w:val="top"/>
          </w:tcPr>
          <w:p>
            <w:pPr>
              <w:spacing w:before="156" w:after="156"/>
              <w:jc w:val="center"/>
              <w:rPr>
                <w:rFonts w:hint="eastAsia"/>
                <w:sz w:val="24"/>
                <w:szCs w:val="24"/>
                <w:highlight w:val="none"/>
                <w:lang w:val="en-US" w:eastAsia="zh-CN"/>
              </w:rPr>
            </w:pPr>
          </w:p>
        </w:tc>
        <w:tc>
          <w:tcPr>
            <w:tcW w:w="1747"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课件优化</w:t>
            </w:r>
          </w:p>
        </w:tc>
        <w:tc>
          <w:tcPr>
            <w:tcW w:w="1371"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80" w:type="pct"/>
            <w:vMerge w:val="continue"/>
            <w:noWrap w:val="0"/>
            <w:vAlign w:val="top"/>
          </w:tcPr>
          <w:p>
            <w:pPr>
              <w:spacing w:before="156" w:after="156"/>
              <w:jc w:val="center"/>
              <w:rPr>
                <w:rFonts w:hint="eastAsia"/>
                <w:sz w:val="24"/>
                <w:szCs w:val="24"/>
                <w:highlight w:val="none"/>
                <w:lang w:val="en-US" w:eastAsia="zh-CN"/>
              </w:rPr>
            </w:pPr>
          </w:p>
        </w:tc>
        <w:tc>
          <w:tcPr>
            <w:tcW w:w="1747" w:type="pct"/>
            <w:noWrap w:val="0"/>
            <w:vAlign w:val="center"/>
          </w:tcPr>
          <w:p>
            <w:pPr>
              <w:spacing w:before="156" w:after="156"/>
              <w:jc w:val="center"/>
              <w:rPr>
                <w:rFonts w:hint="default"/>
                <w:bCs/>
                <w:sz w:val="24"/>
                <w:szCs w:val="24"/>
                <w:highlight w:val="none"/>
                <w:lang w:val="en-US" w:eastAsia="zh-CN"/>
              </w:rPr>
            </w:pPr>
            <w:r>
              <w:rPr>
                <w:rFonts w:hint="eastAsia"/>
                <w:bCs/>
                <w:sz w:val="24"/>
                <w:szCs w:val="24"/>
                <w:highlight w:val="none"/>
                <w:lang w:val="en-US" w:eastAsia="zh-CN"/>
              </w:rPr>
              <w:t>实施报告优化</w:t>
            </w:r>
          </w:p>
        </w:tc>
        <w:tc>
          <w:tcPr>
            <w:tcW w:w="1371" w:type="pct"/>
            <w:noWrap w:val="0"/>
            <w:vAlign w:val="center"/>
          </w:tcPr>
          <w:p>
            <w:pPr>
              <w:spacing w:before="156" w:after="156"/>
              <w:jc w:val="center"/>
              <w:rPr>
                <w:rFonts w:hint="default"/>
                <w:bCs/>
                <w:sz w:val="24"/>
                <w:szCs w:val="24"/>
                <w:highlight w:val="none"/>
                <w:lang w:val="en-US" w:eastAsia="zh-CN"/>
              </w:rPr>
            </w:pPr>
            <w:r>
              <w:rPr>
                <w:rFonts w:hint="eastAsia"/>
                <w:bCs/>
                <w:sz w:val="24"/>
                <w:szCs w:val="24"/>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880" w:type="pct"/>
            <w:vMerge w:val="restart"/>
            <w:noWrap w:val="0"/>
            <w:vAlign w:val="center"/>
          </w:tcPr>
          <w:p>
            <w:pPr>
              <w:spacing w:before="156" w:after="156"/>
              <w:jc w:val="center"/>
              <w:rPr>
                <w:rFonts w:hint="eastAsia" w:ascii="宋体" w:hAnsi="宋体" w:cs="宋体"/>
                <w:kern w:val="0"/>
                <w:sz w:val="24"/>
                <w:szCs w:val="24"/>
                <w:highlight w:val="none"/>
                <w:lang w:eastAsia="zh-CN"/>
              </w:rPr>
            </w:pPr>
            <w:r>
              <w:rPr>
                <w:rFonts w:hint="eastAsia" w:ascii="宋体" w:hAnsi="宋体" w:cs="宋体"/>
                <w:kern w:val="0"/>
                <w:sz w:val="24"/>
                <w:szCs w:val="24"/>
                <w:highlight w:val="none"/>
              </w:rPr>
              <w:t>专业</w:t>
            </w:r>
            <w:r>
              <w:rPr>
                <w:rFonts w:hint="eastAsia" w:ascii="宋体" w:hAnsi="宋体" w:cs="宋体"/>
                <w:kern w:val="0"/>
                <w:sz w:val="24"/>
                <w:szCs w:val="24"/>
                <w:highlight w:val="none"/>
                <w:lang w:val="en-US" w:eastAsia="zh-CN"/>
              </w:rPr>
              <w:t>一组</w:t>
            </w:r>
            <w:r>
              <w:rPr>
                <w:rFonts w:hint="eastAsia" w:ascii="宋体" w:hAnsi="宋体" w:cs="宋体"/>
                <w:kern w:val="0"/>
                <w:sz w:val="24"/>
                <w:szCs w:val="24"/>
                <w:highlight w:val="none"/>
                <w:lang w:eastAsia="zh-CN"/>
              </w:rPr>
              <w:t>：</w:t>
            </w:r>
          </w:p>
          <w:p>
            <w:pPr>
              <w:pStyle w:val="7"/>
              <w:jc w:val="center"/>
              <w:rPr>
                <w:rFonts w:hint="eastAsia" w:ascii="宋体" w:hAnsi="Times New Roman" w:eastAsia="宋体" w:cs="Times New Roman"/>
                <w:kern w:val="0"/>
                <w:sz w:val="24"/>
                <w:szCs w:val="24"/>
                <w:lang w:val="en-US" w:eastAsia="zh-CN" w:bidi="ar-SA"/>
              </w:rPr>
            </w:pPr>
            <w:r>
              <w:rPr>
                <w:rFonts w:hint="eastAsia" w:hAnsi="宋体" w:cs="宋体"/>
                <w:b w:val="0"/>
                <w:bCs w:val="0"/>
                <w:kern w:val="0"/>
                <w:sz w:val="24"/>
                <w:szCs w:val="24"/>
                <w:highlight w:val="none"/>
                <w:lang w:val="en-US" w:eastAsia="zh-CN"/>
              </w:rPr>
              <w:t>艺术设计</w:t>
            </w:r>
          </w:p>
        </w:tc>
        <w:tc>
          <w:tcPr>
            <w:tcW w:w="1747"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视频录制</w:t>
            </w:r>
          </w:p>
        </w:tc>
        <w:tc>
          <w:tcPr>
            <w:tcW w:w="1371"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80" w:type="pct"/>
            <w:vMerge w:val="continue"/>
            <w:noWrap w:val="0"/>
            <w:vAlign w:val="top"/>
          </w:tcPr>
          <w:p>
            <w:pPr>
              <w:spacing w:before="156" w:after="156"/>
              <w:jc w:val="center"/>
              <w:rPr>
                <w:rFonts w:hint="eastAsia"/>
                <w:sz w:val="24"/>
                <w:szCs w:val="24"/>
                <w:highlight w:val="none"/>
                <w:lang w:val="en-US" w:eastAsia="zh-CN"/>
              </w:rPr>
            </w:pPr>
          </w:p>
        </w:tc>
        <w:tc>
          <w:tcPr>
            <w:tcW w:w="1747"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课件优化</w:t>
            </w:r>
          </w:p>
        </w:tc>
        <w:tc>
          <w:tcPr>
            <w:tcW w:w="1371"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80" w:type="pct"/>
            <w:vMerge w:val="continue"/>
            <w:noWrap w:val="0"/>
            <w:vAlign w:val="top"/>
          </w:tcPr>
          <w:p>
            <w:pPr>
              <w:spacing w:before="156" w:after="156"/>
              <w:jc w:val="center"/>
              <w:rPr>
                <w:rFonts w:hint="eastAsia"/>
                <w:sz w:val="24"/>
                <w:szCs w:val="24"/>
                <w:highlight w:val="none"/>
                <w:lang w:val="en-US" w:eastAsia="zh-CN"/>
              </w:rPr>
            </w:pPr>
          </w:p>
        </w:tc>
        <w:tc>
          <w:tcPr>
            <w:tcW w:w="1747" w:type="pct"/>
            <w:noWrap w:val="0"/>
            <w:vAlign w:val="center"/>
          </w:tcPr>
          <w:p>
            <w:pPr>
              <w:spacing w:before="156" w:after="156"/>
              <w:jc w:val="center"/>
              <w:rPr>
                <w:rFonts w:hint="default"/>
                <w:bCs/>
                <w:kern w:val="2"/>
                <w:sz w:val="24"/>
                <w:szCs w:val="24"/>
                <w:highlight w:val="none"/>
                <w:lang w:val="en-US" w:eastAsia="zh-CN" w:bidi="ar-SA"/>
              </w:rPr>
            </w:pPr>
            <w:r>
              <w:rPr>
                <w:rFonts w:hint="eastAsia"/>
                <w:bCs/>
                <w:sz w:val="24"/>
                <w:szCs w:val="24"/>
                <w:highlight w:val="none"/>
                <w:lang w:val="en-US" w:eastAsia="zh-CN"/>
              </w:rPr>
              <w:t>实施报告优化</w:t>
            </w:r>
          </w:p>
        </w:tc>
        <w:tc>
          <w:tcPr>
            <w:tcW w:w="1371" w:type="pct"/>
            <w:noWrap w:val="0"/>
            <w:vAlign w:val="center"/>
          </w:tcPr>
          <w:p>
            <w:pPr>
              <w:spacing w:before="156" w:after="156"/>
              <w:jc w:val="center"/>
              <w:rPr>
                <w:rFonts w:hint="eastAsia"/>
                <w:bCs/>
                <w:kern w:val="2"/>
                <w:sz w:val="24"/>
                <w:szCs w:val="24"/>
                <w:highlight w:val="none"/>
                <w:lang w:val="en-US" w:eastAsia="zh-CN" w:bidi="ar-SA"/>
              </w:rPr>
            </w:pPr>
            <w:r>
              <w:rPr>
                <w:rFonts w:hint="eastAsia"/>
                <w:bCs/>
                <w:sz w:val="24"/>
                <w:szCs w:val="24"/>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80" w:type="pct"/>
            <w:vMerge w:val="restart"/>
            <w:noWrap w:val="0"/>
            <w:vAlign w:val="center"/>
          </w:tcPr>
          <w:p>
            <w:pPr>
              <w:spacing w:before="156" w:after="156"/>
              <w:jc w:val="center"/>
              <w:rPr>
                <w:rFonts w:hint="eastAsia" w:ascii="宋体" w:hAnsi="宋体" w:cs="宋体"/>
                <w:kern w:val="0"/>
                <w:sz w:val="24"/>
                <w:szCs w:val="24"/>
                <w:highlight w:val="none"/>
                <w:lang w:eastAsia="zh-CN"/>
              </w:rPr>
            </w:pPr>
            <w:r>
              <w:rPr>
                <w:rFonts w:hint="eastAsia" w:ascii="宋体" w:hAnsi="宋体" w:cs="宋体"/>
                <w:kern w:val="0"/>
                <w:sz w:val="24"/>
                <w:szCs w:val="24"/>
                <w:highlight w:val="none"/>
              </w:rPr>
              <w:t>专业</w:t>
            </w:r>
            <w:r>
              <w:rPr>
                <w:rFonts w:hint="eastAsia" w:ascii="宋体" w:hAnsi="宋体" w:cs="宋体"/>
                <w:kern w:val="0"/>
                <w:sz w:val="24"/>
                <w:szCs w:val="24"/>
                <w:highlight w:val="none"/>
                <w:lang w:val="en-US" w:eastAsia="zh-CN"/>
              </w:rPr>
              <w:t>二</w:t>
            </w:r>
            <w:r>
              <w:rPr>
                <w:rFonts w:hint="eastAsia" w:ascii="宋体" w:hAnsi="宋体" w:cs="宋体"/>
                <w:kern w:val="0"/>
                <w:sz w:val="24"/>
                <w:szCs w:val="24"/>
                <w:highlight w:val="none"/>
              </w:rPr>
              <w:t>组</w:t>
            </w:r>
            <w:r>
              <w:rPr>
                <w:rFonts w:hint="eastAsia" w:ascii="宋体" w:hAnsi="宋体" w:cs="宋体"/>
                <w:kern w:val="0"/>
                <w:sz w:val="24"/>
                <w:szCs w:val="24"/>
                <w:highlight w:val="none"/>
                <w:lang w:eastAsia="zh-CN"/>
              </w:rPr>
              <w:t>：</w:t>
            </w:r>
          </w:p>
          <w:p>
            <w:pPr>
              <w:spacing w:before="156" w:after="156"/>
              <w:jc w:val="center"/>
              <w:rPr>
                <w:rFonts w:hint="default" w:ascii="Times New Roman" w:hAnsi="Times New Roman" w:eastAsia="宋体" w:cs="Times New Roman"/>
                <w:kern w:val="2"/>
                <w:sz w:val="24"/>
                <w:szCs w:val="24"/>
                <w:highlight w:val="none"/>
                <w:lang w:val="en-US" w:eastAsia="zh-CN" w:bidi="ar-SA"/>
              </w:rPr>
            </w:pPr>
            <w:r>
              <w:rPr>
                <w:rFonts w:hint="eastAsia" w:hAnsi="宋体" w:cs="宋体"/>
                <w:kern w:val="0"/>
                <w:sz w:val="24"/>
                <w:szCs w:val="24"/>
                <w:highlight w:val="none"/>
                <w:lang w:val="en-US" w:eastAsia="zh-CN"/>
              </w:rPr>
              <w:t>环境与检测</w:t>
            </w:r>
          </w:p>
        </w:tc>
        <w:tc>
          <w:tcPr>
            <w:tcW w:w="1747"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视频录制</w:t>
            </w:r>
          </w:p>
        </w:tc>
        <w:tc>
          <w:tcPr>
            <w:tcW w:w="1371"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880" w:type="pct"/>
            <w:vMerge w:val="continue"/>
            <w:noWrap w:val="0"/>
            <w:vAlign w:val="top"/>
          </w:tcPr>
          <w:p>
            <w:pPr>
              <w:spacing w:before="156" w:after="156"/>
              <w:jc w:val="center"/>
              <w:rPr>
                <w:rFonts w:hint="eastAsia"/>
                <w:sz w:val="24"/>
                <w:szCs w:val="24"/>
                <w:highlight w:val="none"/>
                <w:lang w:val="en-US" w:eastAsia="zh-CN"/>
              </w:rPr>
            </w:pPr>
          </w:p>
        </w:tc>
        <w:tc>
          <w:tcPr>
            <w:tcW w:w="1747"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课件优化</w:t>
            </w:r>
          </w:p>
        </w:tc>
        <w:tc>
          <w:tcPr>
            <w:tcW w:w="1371"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880" w:type="pct"/>
            <w:vMerge w:val="continue"/>
            <w:noWrap w:val="0"/>
            <w:vAlign w:val="top"/>
          </w:tcPr>
          <w:p>
            <w:pPr>
              <w:spacing w:before="156" w:after="156"/>
              <w:jc w:val="center"/>
              <w:rPr>
                <w:rFonts w:hint="eastAsia"/>
                <w:sz w:val="24"/>
                <w:szCs w:val="24"/>
                <w:highlight w:val="none"/>
                <w:lang w:val="en-US" w:eastAsia="zh-CN"/>
              </w:rPr>
            </w:pPr>
          </w:p>
        </w:tc>
        <w:tc>
          <w:tcPr>
            <w:tcW w:w="1747" w:type="pct"/>
            <w:noWrap w:val="0"/>
            <w:vAlign w:val="center"/>
          </w:tcPr>
          <w:p>
            <w:pPr>
              <w:spacing w:before="156" w:after="156"/>
              <w:jc w:val="center"/>
              <w:rPr>
                <w:rFonts w:hint="default"/>
                <w:bCs/>
                <w:kern w:val="2"/>
                <w:sz w:val="24"/>
                <w:szCs w:val="24"/>
                <w:highlight w:val="none"/>
                <w:lang w:val="en-US" w:eastAsia="zh-CN" w:bidi="ar-SA"/>
              </w:rPr>
            </w:pPr>
            <w:r>
              <w:rPr>
                <w:rFonts w:hint="eastAsia"/>
                <w:bCs/>
                <w:sz w:val="24"/>
                <w:szCs w:val="24"/>
                <w:highlight w:val="none"/>
                <w:lang w:val="en-US" w:eastAsia="zh-CN"/>
              </w:rPr>
              <w:t>实施报告优化</w:t>
            </w:r>
          </w:p>
        </w:tc>
        <w:tc>
          <w:tcPr>
            <w:tcW w:w="1371" w:type="pct"/>
            <w:noWrap w:val="0"/>
            <w:vAlign w:val="center"/>
          </w:tcPr>
          <w:p>
            <w:pPr>
              <w:spacing w:before="156" w:after="156"/>
              <w:jc w:val="center"/>
              <w:rPr>
                <w:rFonts w:hint="eastAsia"/>
                <w:bCs/>
                <w:kern w:val="2"/>
                <w:sz w:val="24"/>
                <w:szCs w:val="24"/>
                <w:highlight w:val="none"/>
                <w:lang w:val="en-US" w:eastAsia="zh-CN" w:bidi="ar-SA"/>
              </w:rPr>
            </w:pPr>
            <w:r>
              <w:rPr>
                <w:rFonts w:hint="eastAsia"/>
                <w:bCs/>
                <w:sz w:val="24"/>
                <w:szCs w:val="24"/>
                <w:highlight w:val="no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80" w:type="pct"/>
            <w:vMerge w:val="restart"/>
            <w:noWrap w:val="0"/>
            <w:vAlign w:val="center"/>
          </w:tcPr>
          <w:p>
            <w:pPr>
              <w:spacing w:before="156" w:after="156"/>
              <w:jc w:val="center"/>
              <w:rPr>
                <w:rFonts w:hint="eastAsia"/>
                <w:sz w:val="24"/>
                <w:szCs w:val="24"/>
                <w:highlight w:val="none"/>
                <w:lang w:val="en-US" w:eastAsia="zh-CN"/>
              </w:rPr>
            </w:pPr>
            <w:r>
              <w:rPr>
                <w:rFonts w:hint="eastAsia"/>
                <w:sz w:val="24"/>
                <w:szCs w:val="24"/>
                <w:highlight w:val="none"/>
                <w:lang w:val="en-US" w:eastAsia="zh-CN"/>
              </w:rPr>
              <w:t>思政组：</w:t>
            </w:r>
          </w:p>
          <w:p>
            <w:pPr>
              <w:spacing w:before="156" w:after="156"/>
              <w:jc w:val="center"/>
              <w:rPr>
                <w:rFonts w:hint="default"/>
                <w:sz w:val="24"/>
                <w:szCs w:val="24"/>
                <w:highlight w:val="none"/>
                <w:lang w:val="en-US" w:eastAsia="zh-CN"/>
              </w:rPr>
            </w:pPr>
            <w:r>
              <w:rPr>
                <w:rFonts w:hint="eastAsia"/>
                <w:sz w:val="24"/>
                <w:szCs w:val="24"/>
                <w:highlight w:val="none"/>
                <w:lang w:val="en-US" w:eastAsia="zh-CN"/>
              </w:rPr>
              <w:t>生涯规划与心理健康</w:t>
            </w:r>
          </w:p>
        </w:tc>
        <w:tc>
          <w:tcPr>
            <w:tcW w:w="1747"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视频录制</w:t>
            </w:r>
          </w:p>
        </w:tc>
        <w:tc>
          <w:tcPr>
            <w:tcW w:w="1371"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80" w:type="pct"/>
            <w:vMerge w:val="continue"/>
            <w:noWrap w:val="0"/>
            <w:vAlign w:val="top"/>
          </w:tcPr>
          <w:p>
            <w:pPr>
              <w:spacing w:before="156" w:after="156"/>
              <w:jc w:val="center"/>
              <w:rPr>
                <w:rFonts w:hint="eastAsia"/>
                <w:sz w:val="24"/>
                <w:szCs w:val="24"/>
                <w:highlight w:val="none"/>
                <w:lang w:val="en-US" w:eastAsia="zh-CN"/>
              </w:rPr>
            </w:pPr>
          </w:p>
        </w:tc>
        <w:tc>
          <w:tcPr>
            <w:tcW w:w="1747"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课件优化</w:t>
            </w:r>
          </w:p>
        </w:tc>
        <w:tc>
          <w:tcPr>
            <w:tcW w:w="1371" w:type="pct"/>
            <w:noWrap w:val="0"/>
            <w:vAlign w:val="center"/>
          </w:tcPr>
          <w:p>
            <w:pPr>
              <w:spacing w:before="156" w:after="156"/>
              <w:jc w:val="center"/>
              <w:rPr>
                <w:rFonts w:hint="eastAsia" w:ascii="Times New Roman" w:hAnsi="Times New Roman" w:eastAsia="宋体" w:cs="Times New Roman"/>
                <w:bCs/>
                <w:kern w:val="2"/>
                <w:sz w:val="24"/>
                <w:szCs w:val="24"/>
                <w:highlight w:val="none"/>
                <w:lang w:val="en-US" w:eastAsia="zh-CN" w:bidi="ar-SA"/>
              </w:rPr>
            </w:pPr>
            <w:r>
              <w:rPr>
                <w:rFonts w:hint="eastAsia"/>
                <w:bCs/>
                <w:sz w:val="24"/>
                <w:szCs w:val="24"/>
                <w:highlight w:val="no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80" w:type="pct"/>
            <w:vMerge w:val="continue"/>
            <w:noWrap w:val="0"/>
            <w:vAlign w:val="top"/>
          </w:tcPr>
          <w:p>
            <w:pPr>
              <w:spacing w:before="156" w:after="156"/>
              <w:jc w:val="center"/>
              <w:rPr>
                <w:rFonts w:hint="eastAsia"/>
                <w:sz w:val="24"/>
                <w:szCs w:val="24"/>
                <w:highlight w:val="none"/>
                <w:lang w:val="en-US" w:eastAsia="zh-CN"/>
              </w:rPr>
            </w:pPr>
          </w:p>
        </w:tc>
        <w:tc>
          <w:tcPr>
            <w:tcW w:w="1747" w:type="pct"/>
            <w:noWrap w:val="0"/>
            <w:vAlign w:val="center"/>
          </w:tcPr>
          <w:p>
            <w:pPr>
              <w:spacing w:before="156" w:after="156"/>
              <w:jc w:val="center"/>
              <w:rPr>
                <w:rFonts w:hint="default"/>
                <w:bCs/>
                <w:kern w:val="2"/>
                <w:sz w:val="24"/>
                <w:szCs w:val="24"/>
                <w:highlight w:val="none"/>
                <w:lang w:val="en-US" w:eastAsia="zh-CN" w:bidi="ar-SA"/>
              </w:rPr>
            </w:pPr>
            <w:r>
              <w:rPr>
                <w:rFonts w:hint="eastAsia"/>
                <w:bCs/>
                <w:sz w:val="24"/>
                <w:szCs w:val="24"/>
                <w:highlight w:val="none"/>
                <w:lang w:val="en-US" w:eastAsia="zh-CN"/>
              </w:rPr>
              <w:t>实施报告优化</w:t>
            </w:r>
          </w:p>
        </w:tc>
        <w:tc>
          <w:tcPr>
            <w:tcW w:w="1371" w:type="pct"/>
            <w:noWrap w:val="0"/>
            <w:vAlign w:val="center"/>
          </w:tcPr>
          <w:p>
            <w:pPr>
              <w:spacing w:before="156" w:after="156"/>
              <w:jc w:val="center"/>
              <w:rPr>
                <w:rFonts w:hint="eastAsia"/>
                <w:bCs/>
                <w:kern w:val="2"/>
                <w:sz w:val="24"/>
                <w:szCs w:val="24"/>
                <w:highlight w:val="none"/>
                <w:lang w:val="en-US" w:eastAsia="zh-CN" w:bidi="ar-SA"/>
              </w:rPr>
            </w:pPr>
            <w:r>
              <w:rPr>
                <w:rFonts w:hint="eastAsia"/>
                <w:bCs/>
                <w:sz w:val="24"/>
                <w:szCs w:val="24"/>
                <w:highlight w:val="none"/>
                <w:lang w:val="en-US" w:eastAsia="zh-CN"/>
              </w:rPr>
              <w:t>1个</w:t>
            </w:r>
          </w:p>
        </w:tc>
      </w:tr>
    </w:tbl>
    <w:p>
      <w:pPr>
        <w:pStyle w:val="4"/>
        <w:spacing w:before="156" w:beforeLines="50" w:after="156" w:afterLines="5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三、具体技术要求</w:t>
      </w:r>
    </w:p>
    <w:p>
      <w:pPr>
        <w:ind w:firstLine="205" w:firstLineChars="98"/>
        <w:rPr>
          <w:rFonts w:ascii="仿宋" w:hAnsi="仿宋" w:eastAsia="仿宋"/>
          <w:bCs/>
          <w:snapToGrid w:val="0"/>
          <w:color w:val="auto"/>
          <w:kern w:val="0"/>
          <w:szCs w:val="21"/>
          <w:highlight w:val="none"/>
        </w:rPr>
      </w:pPr>
      <w:r>
        <w:rPr>
          <w:rFonts w:hint="eastAsia" w:ascii="仿宋" w:hAnsi="仿宋" w:eastAsia="仿宋"/>
          <w:bCs/>
          <w:snapToGrid w:val="0"/>
          <w:color w:val="auto"/>
          <w:kern w:val="0"/>
          <w:szCs w:val="21"/>
          <w:highlight w:val="none"/>
        </w:rPr>
        <w:t>说明：</w:t>
      </w:r>
    </w:p>
    <w:p>
      <w:pPr>
        <w:numPr>
          <w:ilvl w:val="0"/>
          <w:numId w:val="3"/>
        </w:numPr>
        <w:ind w:firstLine="205" w:firstLineChars="98"/>
        <w:rPr>
          <w:rFonts w:ascii="仿宋" w:hAnsi="仿宋" w:eastAsia="仿宋"/>
          <w:bCs/>
          <w:snapToGrid w:val="0"/>
          <w:color w:val="auto"/>
          <w:kern w:val="0"/>
          <w:szCs w:val="21"/>
          <w:highlight w:val="none"/>
        </w:rPr>
      </w:pPr>
      <w:r>
        <w:rPr>
          <w:rFonts w:hint="eastAsia" w:ascii="仿宋" w:hAnsi="仿宋" w:eastAsia="仿宋"/>
          <w:bCs/>
          <w:snapToGrid w:val="0"/>
          <w:color w:val="auto"/>
          <w:kern w:val="0"/>
          <w:szCs w:val="21"/>
          <w:highlight w:val="none"/>
        </w:rPr>
        <w:t>本项目技术需求中要求提供的各项证明材料均提供扫描件，原件备查。如投标人未按要求提供的，或提供的材料未能证明所投产品响应情况的，则该参数视为没有满足招标文件要求，进行负偏离扣分。</w:t>
      </w:r>
    </w:p>
    <w:p>
      <w:pPr>
        <w:numPr>
          <w:ilvl w:val="0"/>
          <w:numId w:val="3"/>
        </w:numPr>
        <w:ind w:firstLine="205" w:firstLineChars="98"/>
        <w:rPr>
          <w:rFonts w:ascii="仿宋" w:hAnsi="仿宋" w:eastAsia="仿宋" w:cs="Times New Roman"/>
          <w:bCs/>
          <w:snapToGrid w:val="0"/>
          <w:color w:val="auto"/>
          <w:kern w:val="0"/>
          <w:szCs w:val="21"/>
          <w:highlight w:val="none"/>
        </w:rPr>
      </w:pPr>
      <w:r>
        <w:rPr>
          <w:rFonts w:hint="eastAsia" w:ascii="仿宋" w:hAnsi="仿宋" w:eastAsia="仿宋" w:cs="Times New Roman"/>
          <w:bCs/>
          <w:snapToGrid w:val="0"/>
          <w:color w:val="auto"/>
          <w:kern w:val="0"/>
          <w:szCs w:val="21"/>
          <w:highlight w:val="none"/>
        </w:rPr>
        <w:t>投标人须对本项目的采购标的或服务内容进行整体响应，任何只对采购标的或服务内容其中一部分内容进行的响应都被视为无效投标。</w:t>
      </w:r>
    </w:p>
    <w:p>
      <w:pPr>
        <w:numPr>
          <w:ilvl w:val="0"/>
          <w:numId w:val="3"/>
        </w:numPr>
        <w:ind w:firstLine="205" w:firstLineChars="98"/>
        <w:rPr>
          <w:color w:val="auto"/>
          <w:highlight w:val="none"/>
        </w:rPr>
      </w:pPr>
      <w:r>
        <w:rPr>
          <w:rFonts w:hint="eastAsia" w:ascii="仿宋" w:hAnsi="仿宋" w:eastAsia="仿宋" w:cs="Times New Roman"/>
          <w:bCs/>
          <w:snapToGrid w:val="0"/>
          <w:color w:val="auto"/>
          <w:kern w:val="0"/>
          <w:szCs w:val="21"/>
          <w:highlight w:val="none"/>
        </w:rPr>
        <w:t>如项目技术要求中设置了“▲”号参数的，则该项参数为重要技术指标，将在评分项中作为重点评价指标。</w:t>
      </w:r>
    </w:p>
    <w:p>
      <w:pPr>
        <w:widowControl w:val="0"/>
        <w:numPr>
          <w:numId w:val="0"/>
        </w:numPr>
        <w:jc w:val="both"/>
        <w:rPr>
          <w:rFonts w:hint="eastAsia" w:ascii="仿宋" w:hAnsi="仿宋" w:eastAsia="仿宋" w:cs="Times New Roman"/>
          <w:bCs/>
          <w:snapToGrid w:val="0"/>
          <w:color w:val="auto"/>
          <w:kern w:val="0"/>
          <w:szCs w:val="21"/>
          <w:highlight w:val="none"/>
        </w:rPr>
      </w:pPr>
    </w:p>
    <w:p>
      <w:pPr>
        <w:widowControl w:val="0"/>
        <w:numPr>
          <w:numId w:val="0"/>
        </w:numPr>
        <w:jc w:val="both"/>
        <w:rPr>
          <w:rFonts w:hint="eastAsia" w:ascii="仿宋" w:hAnsi="仿宋" w:eastAsia="仿宋" w:cs="Times New Roman"/>
          <w:bCs/>
          <w:snapToGrid w:val="0"/>
          <w:color w:val="auto"/>
          <w:kern w:val="0"/>
          <w:szCs w:val="21"/>
          <w:highlight w:val="none"/>
        </w:rPr>
      </w:pPr>
    </w:p>
    <w:p>
      <w:pPr>
        <w:widowControl w:val="0"/>
        <w:numPr>
          <w:numId w:val="0"/>
        </w:numPr>
        <w:jc w:val="both"/>
        <w:rPr>
          <w:rFonts w:hint="eastAsia" w:ascii="仿宋" w:hAnsi="仿宋" w:eastAsia="仿宋" w:cs="Times New Roman"/>
          <w:bCs/>
          <w:snapToGrid w:val="0"/>
          <w:color w:val="auto"/>
          <w:kern w:val="0"/>
          <w:szCs w:val="21"/>
          <w:highlight w:val="none"/>
        </w:rPr>
      </w:pPr>
    </w:p>
    <w:p>
      <w:pPr>
        <w:widowControl w:val="0"/>
        <w:numPr>
          <w:numId w:val="0"/>
        </w:numPr>
        <w:jc w:val="both"/>
        <w:rPr>
          <w:rFonts w:hint="eastAsia" w:ascii="仿宋" w:hAnsi="仿宋" w:eastAsia="仿宋" w:cs="Times New Roman"/>
          <w:bCs/>
          <w:snapToGrid w:val="0"/>
          <w:color w:val="auto"/>
          <w:kern w:val="0"/>
          <w:szCs w:val="21"/>
          <w:highlight w:val="none"/>
        </w:rPr>
      </w:pPr>
    </w:p>
    <w:tbl>
      <w:tblPr>
        <w:tblStyle w:val="15"/>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1582"/>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2" w:hRule="atLeast"/>
          <w:jc w:val="center"/>
        </w:trPr>
        <w:tc>
          <w:tcPr>
            <w:tcW w:w="1582" w:type="dxa"/>
            <w:shd w:val="clear" w:color="auto" w:fill="CFCECE"/>
            <w:noWrap w:val="0"/>
            <w:vAlign w:val="center"/>
          </w:tcPr>
          <w:p>
            <w:pPr>
              <w:adjustRightInd w:val="0"/>
              <w:snapToGrid w:val="0"/>
              <w:spacing w:line="360" w:lineRule="auto"/>
              <w:jc w:val="center"/>
              <w:rPr>
                <w:rFonts w:hint="eastAsia" w:ascii="宋体" w:hAnsi="宋体" w:cs="宋体"/>
                <w:b/>
                <w:bCs/>
                <w:kern w:val="0"/>
                <w:sz w:val="24"/>
                <w:szCs w:val="24"/>
              </w:rPr>
            </w:pPr>
            <w:r>
              <w:rPr>
                <w:rFonts w:hint="eastAsia" w:ascii="宋体" w:hAnsi="宋体" w:cs="宋体"/>
                <w:b/>
                <w:bCs/>
                <w:sz w:val="24"/>
                <w:szCs w:val="24"/>
              </w:rPr>
              <w:t>服务类别</w:t>
            </w:r>
          </w:p>
        </w:tc>
        <w:tc>
          <w:tcPr>
            <w:tcW w:w="6897" w:type="dxa"/>
            <w:shd w:val="clear" w:color="auto" w:fill="CFCECE"/>
            <w:noWrap w:val="0"/>
            <w:vAlign w:val="center"/>
          </w:tcPr>
          <w:p>
            <w:pPr>
              <w:adjustRightInd w:val="0"/>
              <w:snapToGrid w:val="0"/>
              <w:spacing w:line="360" w:lineRule="auto"/>
              <w:jc w:val="center"/>
              <w:rPr>
                <w:rFonts w:hint="eastAsia" w:ascii="宋体" w:hAnsi="宋体" w:cs="宋体"/>
                <w:b/>
                <w:bCs/>
                <w:kern w:val="0"/>
                <w:sz w:val="24"/>
                <w:szCs w:val="24"/>
              </w:rPr>
            </w:pPr>
            <w:r>
              <w:rPr>
                <w:rFonts w:hint="eastAsia" w:ascii="宋体" w:hAnsi="宋体" w:cs="宋体"/>
                <w:b/>
                <w:bCs/>
                <w:sz w:val="24"/>
                <w:szCs w:val="24"/>
              </w:rPr>
              <w:t>分项明细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25" w:hRule="atLeast"/>
          <w:jc w:val="center"/>
        </w:trPr>
        <w:tc>
          <w:tcPr>
            <w:tcW w:w="1582" w:type="dxa"/>
            <w:noWrap w:val="0"/>
            <w:vAlign w:val="center"/>
          </w:tcPr>
          <w:p>
            <w:pPr>
              <w:adjustRightInd w:val="0"/>
              <w:snapToGrid w:val="0"/>
              <w:spacing w:line="360" w:lineRule="auto"/>
              <w:jc w:val="center"/>
              <w:rPr>
                <w:rFonts w:hint="eastAsia" w:ascii="宋体" w:hAnsi="宋体" w:cs="宋体"/>
                <w:color w:val="000000"/>
                <w:sz w:val="22"/>
                <w:szCs w:val="22"/>
                <w:lang w:bidi="zh-TW"/>
              </w:rPr>
            </w:pPr>
            <w:r>
              <w:rPr>
                <w:rFonts w:hint="eastAsia" w:ascii="宋体" w:hAnsi="宋体" w:cs="宋体"/>
                <w:color w:val="000000"/>
                <w:sz w:val="22"/>
                <w:szCs w:val="22"/>
                <w:lang w:bidi="zh-TW"/>
              </w:rPr>
              <w:t>课堂实录</w:t>
            </w:r>
          </w:p>
          <w:p>
            <w:pPr>
              <w:adjustRightInd w:val="0"/>
              <w:snapToGrid w:val="0"/>
              <w:spacing w:line="360" w:lineRule="auto"/>
              <w:jc w:val="center"/>
              <w:rPr>
                <w:rFonts w:hint="eastAsia" w:ascii="宋体" w:hAnsi="宋体" w:cs="宋体"/>
                <w:color w:val="000000"/>
                <w:sz w:val="22"/>
                <w:szCs w:val="22"/>
                <w:lang w:bidi="zh-TW"/>
              </w:rPr>
            </w:pPr>
            <w:r>
              <w:rPr>
                <w:rFonts w:hint="eastAsia" w:ascii="宋体" w:hAnsi="宋体" w:cs="宋体"/>
                <w:color w:val="000000"/>
                <w:sz w:val="22"/>
                <w:szCs w:val="22"/>
                <w:lang w:bidi="zh-TW"/>
              </w:rPr>
              <w:t>视频拍摄</w:t>
            </w:r>
          </w:p>
          <w:p>
            <w:pPr>
              <w:adjustRightInd w:val="0"/>
              <w:snapToGrid w:val="0"/>
              <w:spacing w:line="360" w:lineRule="auto"/>
              <w:jc w:val="center"/>
              <w:rPr>
                <w:rFonts w:hint="eastAsia" w:ascii="宋体" w:hAnsi="宋体" w:cs="宋体"/>
                <w:color w:val="000000"/>
                <w:sz w:val="22"/>
                <w:szCs w:val="22"/>
                <w:lang w:bidi="zh-TW"/>
              </w:rPr>
            </w:pPr>
            <w:r>
              <w:rPr>
                <w:rFonts w:hint="eastAsia" w:ascii="宋体" w:hAnsi="宋体" w:cs="宋体"/>
                <w:color w:val="000000"/>
                <w:sz w:val="22"/>
                <w:szCs w:val="22"/>
                <w:lang w:bidi="zh-TW"/>
              </w:rPr>
              <w:t>及</w:t>
            </w:r>
          </w:p>
          <w:p>
            <w:pPr>
              <w:adjustRightInd w:val="0"/>
              <w:snapToGrid w:val="0"/>
              <w:spacing w:line="360" w:lineRule="auto"/>
              <w:jc w:val="center"/>
              <w:rPr>
                <w:rFonts w:hint="eastAsia" w:ascii="宋体" w:hAnsi="宋体" w:cs="宋体"/>
                <w:color w:val="000000"/>
                <w:sz w:val="22"/>
                <w:szCs w:val="22"/>
                <w:lang w:bidi="zh-TW"/>
              </w:rPr>
            </w:pPr>
            <w:r>
              <w:rPr>
                <w:rFonts w:hint="eastAsia" w:ascii="宋体" w:hAnsi="宋体" w:cs="宋体"/>
                <w:color w:val="000000"/>
                <w:sz w:val="22"/>
                <w:szCs w:val="22"/>
                <w:lang w:bidi="zh-TW"/>
              </w:rPr>
              <w:t>视频处理</w:t>
            </w:r>
          </w:p>
        </w:tc>
        <w:tc>
          <w:tcPr>
            <w:tcW w:w="6897" w:type="dxa"/>
            <w:noWrap w:val="0"/>
            <w:vAlign w:val="center"/>
          </w:tcPr>
          <w:p>
            <w:pPr>
              <w:adjustRightInd w:val="0"/>
              <w:snapToGrid w:val="0"/>
              <w:spacing w:line="360" w:lineRule="auto"/>
              <w:jc w:val="left"/>
              <w:rPr>
                <w:rFonts w:hint="eastAsia" w:ascii="宋体" w:hAnsi="宋体" w:cs="宋体"/>
                <w:color w:val="000000"/>
                <w:sz w:val="22"/>
                <w:szCs w:val="22"/>
                <w:lang w:bidi="zh-TW"/>
              </w:rPr>
            </w:pPr>
            <w:r>
              <w:rPr>
                <w:rFonts w:hint="eastAsia" w:ascii="宋体" w:hAnsi="宋体" w:cs="宋体"/>
                <w:color w:val="000000"/>
                <w:sz w:val="22"/>
                <w:szCs w:val="22"/>
                <w:lang w:bidi="zh-TW"/>
              </w:rPr>
              <w:t>根据教学能力大赛比赛要求内容，拍摄并制作符合比赛要求的视频。团队成员各录制1学时（40-50分钟）课堂教学实录。</w:t>
            </w:r>
          </w:p>
          <w:p>
            <w:pPr>
              <w:adjustRightInd w:val="0"/>
              <w:snapToGrid w:val="0"/>
              <w:spacing w:line="360" w:lineRule="auto"/>
              <w:jc w:val="left"/>
              <w:rPr>
                <w:rFonts w:hint="eastAsia" w:ascii="宋体" w:hAnsi="宋体" w:cs="宋体"/>
                <w:color w:val="000000"/>
                <w:sz w:val="22"/>
                <w:szCs w:val="22"/>
                <w:lang w:bidi="zh-TW"/>
              </w:rPr>
            </w:pPr>
            <w:r>
              <w:rPr>
                <w:rFonts w:hint="eastAsia" w:ascii="宋体" w:hAnsi="宋体" w:cs="宋体"/>
                <w:color w:val="000000"/>
                <w:sz w:val="22"/>
                <w:szCs w:val="22"/>
                <w:lang w:bidi="zh-TW"/>
              </w:rPr>
              <w:t>（1）课堂实录视频采用3机位全程连续录制，镜头固定，其中一个机位对准黑板和屏幕，另两个机位根据教学实际固定镜头位置，须覆盖教室全景（1学时教学需要两个教学场所的，每个教学场所均须安放固定镜头，机位总数为3个）。</w:t>
            </w:r>
          </w:p>
          <w:p>
            <w:pPr>
              <w:adjustRightInd w:val="0"/>
              <w:snapToGrid w:val="0"/>
              <w:spacing w:line="360" w:lineRule="auto"/>
              <w:jc w:val="left"/>
              <w:rPr>
                <w:rFonts w:hint="eastAsia" w:ascii="宋体" w:hAnsi="宋体" w:cs="宋体"/>
                <w:color w:val="000000"/>
                <w:sz w:val="22"/>
                <w:szCs w:val="22"/>
                <w:lang w:bidi="zh-TW"/>
              </w:rPr>
            </w:pPr>
            <w:r>
              <w:rPr>
                <w:rFonts w:hint="eastAsia" w:ascii="宋体" w:hAnsi="宋体" w:cs="宋体"/>
                <w:color w:val="000000"/>
                <w:sz w:val="22"/>
                <w:szCs w:val="22"/>
                <w:lang w:bidi="zh-TW"/>
              </w:rPr>
              <w:t>（2）3机位须同步录制，保证音视频准确同步。录课过程中拍摄及其他人员不在场，提交的视频从拍摄人员离场开始到拍摄人员停机为止（1学时之外的录制时长不超过2分钟）。所有机位拍摄的视频须保证音轨连续，不另行剪辑及配音，不加片头片尾、字幕注解。</w:t>
            </w:r>
          </w:p>
          <w:p>
            <w:pPr>
              <w:adjustRightInd w:val="0"/>
              <w:snapToGrid w:val="0"/>
              <w:spacing w:line="360" w:lineRule="auto"/>
              <w:jc w:val="left"/>
              <w:rPr>
                <w:rFonts w:hint="eastAsia" w:ascii="宋体" w:hAnsi="宋体" w:cs="宋体"/>
                <w:color w:val="000000"/>
                <w:sz w:val="22"/>
                <w:szCs w:val="22"/>
                <w:lang w:bidi="zh-TW"/>
              </w:rPr>
            </w:pPr>
            <w:r>
              <w:rPr>
                <w:rFonts w:hint="eastAsia" w:ascii="宋体" w:hAnsi="宋体" w:cs="宋体"/>
                <w:color w:val="000000"/>
                <w:sz w:val="22"/>
                <w:szCs w:val="22"/>
                <w:lang w:bidi="zh-TW"/>
              </w:rPr>
              <w:t>（3）视频采用 MP4 格式封装，单个视频文件大小不超过500M 。每段视频文件以“教案序号+ 第几学时+教案页码+教学环节名称”来命名（其中教案页码以教案PDF文件顶部显示的页码为准），含教师实操演示与教学指导的视频文件以“教案序号+第几学时+教案页码+教学环节名称+实操起始时间n'm" -实操结束时间 n'm"”来命名（实操起止时间可以多段，用“+”连接）。</w:t>
            </w:r>
          </w:p>
          <w:p>
            <w:pPr>
              <w:adjustRightInd w:val="0"/>
              <w:snapToGrid w:val="0"/>
              <w:spacing w:line="360" w:lineRule="auto"/>
              <w:jc w:val="left"/>
              <w:rPr>
                <w:rFonts w:hint="eastAsia" w:ascii="宋体" w:hAnsi="宋体" w:cs="宋体"/>
                <w:color w:val="000000"/>
                <w:sz w:val="22"/>
                <w:szCs w:val="22"/>
                <w:lang w:bidi="zh-TW"/>
              </w:rPr>
            </w:pPr>
            <w:r>
              <w:rPr>
                <w:rFonts w:hint="eastAsia" w:ascii="宋体" w:hAnsi="宋体" w:cs="宋体"/>
                <w:color w:val="000000"/>
                <w:sz w:val="22"/>
                <w:szCs w:val="22"/>
                <w:lang w:bidi="zh-TW"/>
              </w:rPr>
              <w:t>（4）提供教师化妆服务，要求根据参赛课程需要，选择适合的服装、发型及妆容；要求自然、优雅、协调。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25" w:hRule="atLeast"/>
          <w:jc w:val="center"/>
        </w:trPr>
        <w:tc>
          <w:tcPr>
            <w:tcW w:w="1582" w:type="dxa"/>
            <w:noWrap w:val="0"/>
            <w:vAlign w:val="center"/>
          </w:tcPr>
          <w:p>
            <w:pPr>
              <w:adjustRightInd w:val="0"/>
              <w:snapToGrid w:val="0"/>
              <w:spacing w:line="360" w:lineRule="auto"/>
              <w:jc w:val="center"/>
              <w:rPr>
                <w:rFonts w:hint="eastAsia" w:ascii="宋体" w:hAnsi="宋体" w:eastAsia="宋体" w:cs="宋体"/>
                <w:color w:val="000000"/>
                <w:kern w:val="2"/>
                <w:sz w:val="22"/>
                <w:szCs w:val="22"/>
                <w:lang w:val="en-US" w:eastAsia="zh-CN" w:bidi="zh-TW"/>
              </w:rPr>
            </w:pPr>
            <w:r>
              <w:rPr>
                <w:rFonts w:hint="eastAsia" w:ascii="宋体" w:hAnsi="宋体" w:cs="宋体"/>
                <w:color w:val="000000"/>
                <w:sz w:val="22"/>
                <w:szCs w:val="22"/>
                <w:lang w:val="en-US" w:eastAsia="zh-CN" w:bidi="zh-TW"/>
              </w:rPr>
              <w:t>PPT课件优化</w:t>
            </w:r>
          </w:p>
        </w:tc>
        <w:tc>
          <w:tcPr>
            <w:tcW w:w="6897" w:type="dxa"/>
            <w:noWrap w:val="0"/>
            <w:vAlign w:val="center"/>
          </w:tcPr>
          <w:p>
            <w:pPr>
              <w:spacing w:before="240" w:after="240"/>
              <w:rPr>
                <w:rFonts w:ascii="宋体" w:hAnsi="宋体"/>
                <w:szCs w:val="21"/>
              </w:rPr>
            </w:pPr>
            <w:r>
              <w:rPr>
                <w:rFonts w:hint="eastAsia" w:ascii="宋体" w:hAnsi="宋体"/>
                <w:szCs w:val="21"/>
              </w:rPr>
              <w:t>根据比赛要求，对参赛选手的P</w:t>
            </w:r>
            <w:r>
              <w:rPr>
                <w:rFonts w:ascii="宋体" w:hAnsi="宋体"/>
                <w:szCs w:val="21"/>
              </w:rPr>
              <w:t>PT</w:t>
            </w:r>
            <w:r>
              <w:rPr>
                <w:rFonts w:hint="eastAsia" w:ascii="宋体" w:hAnsi="宋体"/>
                <w:szCs w:val="21"/>
              </w:rPr>
              <w:t>内容进行美化设计。</w:t>
            </w:r>
          </w:p>
          <w:p>
            <w:pPr>
              <w:adjustRightInd w:val="0"/>
              <w:snapToGrid w:val="0"/>
              <w:spacing w:line="360" w:lineRule="auto"/>
              <w:jc w:val="left"/>
              <w:rPr>
                <w:rFonts w:hint="eastAsia" w:ascii="宋体" w:hAnsi="宋体" w:cs="宋体"/>
                <w:color w:val="000000"/>
                <w:kern w:val="2"/>
                <w:sz w:val="22"/>
                <w:szCs w:val="22"/>
                <w:lang w:val="en-US" w:eastAsia="zh-CN" w:bidi="zh-TW"/>
              </w:rPr>
            </w:pPr>
            <w:r>
              <w:rPr>
                <w:rFonts w:hint="eastAsia" w:ascii="宋体" w:hAnsi="宋体"/>
                <w:szCs w:val="21"/>
              </w:rPr>
              <w:t>美化设计要求：根据课件内容</w:t>
            </w:r>
            <w:r>
              <w:rPr>
                <w:rFonts w:ascii="宋体" w:hAnsi="宋体"/>
                <w:szCs w:val="21"/>
              </w:rPr>
              <w:t>,对作品进行设计优化,根据</w:t>
            </w:r>
            <w:r>
              <w:rPr>
                <w:rFonts w:hint="eastAsia" w:ascii="宋体" w:hAnsi="宋体"/>
                <w:szCs w:val="21"/>
              </w:rPr>
              <w:t>内容</w:t>
            </w:r>
            <w:r>
              <w:rPr>
                <w:rFonts w:ascii="宋体" w:hAnsi="宋体"/>
                <w:szCs w:val="21"/>
              </w:rPr>
              <w:t>特色和比赛要求</w:t>
            </w:r>
            <w:r>
              <w:rPr>
                <w:rFonts w:hint="eastAsia" w:ascii="宋体" w:hAnsi="宋体"/>
                <w:szCs w:val="21"/>
              </w:rPr>
              <w:t>设计</w:t>
            </w:r>
            <w:r>
              <w:rPr>
                <w:rFonts w:ascii="宋体" w:hAnsi="宋体"/>
                <w:szCs w:val="21"/>
              </w:rPr>
              <w:t>模板、</w:t>
            </w:r>
            <w:r>
              <w:rPr>
                <w:rFonts w:hint="eastAsia" w:ascii="宋体" w:hAnsi="宋体"/>
                <w:szCs w:val="21"/>
                <w:lang w:val="en-US" w:eastAsia="zh-CN"/>
              </w:rPr>
              <w:t>导航</w:t>
            </w:r>
            <w:r>
              <w:rPr>
                <w:rFonts w:hint="eastAsia" w:ascii="宋体" w:hAnsi="宋体"/>
                <w:szCs w:val="21"/>
                <w:lang w:eastAsia="zh-CN"/>
              </w:rPr>
              <w:t>、</w:t>
            </w:r>
            <w:r>
              <w:rPr>
                <w:rFonts w:ascii="宋体" w:hAnsi="宋体"/>
                <w:szCs w:val="21"/>
              </w:rPr>
              <w:t>文字、色彩、风格、制图等设计</w:t>
            </w:r>
            <w:r>
              <w:rPr>
                <w:rFonts w:hint="eastAsia" w:ascii="宋体" w:hAnsi="宋体"/>
                <w:szCs w:val="21"/>
              </w:rPr>
              <w:t>，突出重点、逻辑清晰、美观大方。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66" w:hRule="atLeast"/>
          <w:jc w:val="center"/>
        </w:trPr>
        <w:tc>
          <w:tcPr>
            <w:tcW w:w="1582" w:type="dxa"/>
            <w:noWrap w:val="0"/>
            <w:vAlign w:val="center"/>
          </w:tcPr>
          <w:p>
            <w:pPr>
              <w:adjustRightInd w:val="0"/>
              <w:snapToGrid w:val="0"/>
              <w:spacing w:line="360" w:lineRule="auto"/>
              <w:jc w:val="center"/>
              <w:rPr>
                <w:rFonts w:hint="eastAsia" w:ascii="宋体" w:hAnsi="宋体" w:cs="宋体"/>
                <w:kern w:val="0"/>
                <w:sz w:val="22"/>
                <w:szCs w:val="22"/>
              </w:rPr>
            </w:pPr>
            <w:r>
              <w:rPr>
                <w:rFonts w:hint="eastAsia" w:ascii="宋体" w:hAnsi="宋体" w:cs="宋体"/>
                <w:color w:val="000000"/>
                <w:sz w:val="22"/>
                <w:szCs w:val="22"/>
                <w:lang w:bidi="zh-TW"/>
              </w:rPr>
              <w:t>视频素材资源拍摄</w:t>
            </w:r>
          </w:p>
        </w:tc>
        <w:tc>
          <w:tcPr>
            <w:tcW w:w="6897" w:type="dxa"/>
            <w:noWrap w:val="0"/>
            <w:vAlign w:val="center"/>
          </w:tcPr>
          <w:p>
            <w:pPr>
              <w:adjustRightInd w:val="0"/>
              <w:snapToGrid w:val="0"/>
              <w:spacing w:line="360" w:lineRule="auto"/>
              <w:jc w:val="left"/>
              <w:rPr>
                <w:rFonts w:hint="eastAsia" w:ascii="宋体" w:hAnsi="宋体" w:cs="宋体"/>
                <w:b/>
                <w:bCs/>
                <w:color w:val="000000"/>
                <w:sz w:val="22"/>
                <w:szCs w:val="22"/>
                <w:lang w:bidi="zh-TW"/>
              </w:rPr>
            </w:pPr>
            <w:r>
              <w:rPr>
                <w:rFonts w:hint="eastAsia" w:ascii="宋体" w:hAnsi="宋体" w:cs="宋体"/>
                <w:b/>
                <w:bCs/>
                <w:color w:val="000000"/>
                <w:sz w:val="22"/>
                <w:szCs w:val="22"/>
                <w:lang w:bidi="zh-TW"/>
              </w:rPr>
              <w:t>（1）视频信号源</w:t>
            </w:r>
          </w:p>
          <w:p>
            <w:pPr>
              <w:numPr>
                <w:numId w:val="0"/>
              </w:numPr>
              <w:adjustRightInd w:val="0"/>
              <w:snapToGrid w:val="0"/>
              <w:spacing w:line="360" w:lineRule="auto"/>
              <w:ind w:leftChars="0"/>
              <w:jc w:val="left"/>
              <w:rPr>
                <w:rFonts w:hint="eastAsia" w:ascii="宋体" w:hAnsi="宋体" w:cs="宋体"/>
                <w:color w:val="000000"/>
                <w:sz w:val="22"/>
                <w:szCs w:val="22"/>
                <w:lang w:bidi="zh-TW"/>
              </w:rPr>
            </w:pPr>
            <w:r>
              <w:rPr>
                <w:rFonts w:hint="eastAsia" w:ascii="宋体" w:hAnsi="宋体" w:cs="宋体"/>
                <w:color w:val="000000"/>
                <w:sz w:val="22"/>
                <w:szCs w:val="22"/>
                <w:lang w:val="en-US" w:eastAsia="zh-CN" w:bidi="zh-TW"/>
              </w:rPr>
              <w:t>1.</w:t>
            </w:r>
            <w:r>
              <w:rPr>
                <w:rFonts w:hint="eastAsia" w:ascii="宋体" w:hAnsi="宋体" w:cs="宋体"/>
                <w:color w:val="000000"/>
                <w:sz w:val="22"/>
                <w:szCs w:val="22"/>
                <w:lang w:bidi="zh-TW"/>
              </w:rPr>
              <w:t>稳定性：全片图像同步性能稳定，无失帧现象，CTL同步控制信号必须连续；图像无抖动跳跃，色彩无突变，编辑点处图像稳定。</w:t>
            </w:r>
          </w:p>
          <w:p>
            <w:pPr>
              <w:numPr>
                <w:numId w:val="0"/>
              </w:numPr>
              <w:adjustRightInd w:val="0"/>
              <w:snapToGrid w:val="0"/>
              <w:spacing w:line="360" w:lineRule="auto"/>
              <w:ind w:leftChars="0"/>
              <w:jc w:val="left"/>
              <w:rPr>
                <w:rFonts w:hint="eastAsia" w:ascii="宋体" w:hAnsi="宋体" w:cs="宋体"/>
                <w:color w:val="000000"/>
                <w:sz w:val="22"/>
                <w:szCs w:val="22"/>
                <w:lang w:bidi="zh-TW"/>
              </w:rPr>
            </w:pPr>
            <w:r>
              <w:rPr>
                <w:rFonts w:hint="eastAsia" w:ascii="宋体" w:hAnsi="宋体" w:cs="宋体"/>
                <w:color w:val="000000"/>
                <w:sz w:val="22"/>
                <w:szCs w:val="22"/>
                <w:lang w:val="en-US" w:eastAsia="zh-CN" w:bidi="zh-TW"/>
              </w:rPr>
              <w:t>2.</w:t>
            </w:r>
            <w:r>
              <w:rPr>
                <w:rFonts w:hint="eastAsia" w:ascii="宋体" w:hAnsi="宋体" w:cs="宋体"/>
                <w:color w:val="000000"/>
                <w:sz w:val="22"/>
                <w:szCs w:val="22"/>
                <w:lang w:bidi="zh-TW"/>
              </w:rPr>
              <w:t>信噪比：图像信噪比不低于55dB，无明显杂波。</w:t>
            </w:r>
          </w:p>
          <w:p>
            <w:pPr>
              <w:numPr>
                <w:numId w:val="0"/>
              </w:numPr>
              <w:adjustRightInd w:val="0"/>
              <w:snapToGrid w:val="0"/>
              <w:spacing w:line="360" w:lineRule="auto"/>
              <w:ind w:leftChars="0"/>
              <w:jc w:val="left"/>
              <w:rPr>
                <w:rFonts w:hint="eastAsia" w:ascii="宋体" w:hAnsi="宋体" w:cs="宋体"/>
                <w:color w:val="000000"/>
                <w:sz w:val="22"/>
                <w:szCs w:val="22"/>
                <w:lang w:bidi="zh-TW"/>
              </w:rPr>
            </w:pPr>
            <w:r>
              <w:rPr>
                <w:rFonts w:hint="eastAsia" w:ascii="宋体" w:hAnsi="宋体" w:cs="宋体"/>
                <w:color w:val="000000"/>
                <w:sz w:val="22"/>
                <w:szCs w:val="22"/>
                <w:lang w:val="en-US" w:eastAsia="zh-CN" w:bidi="zh-TW"/>
              </w:rPr>
              <w:t>3.</w:t>
            </w:r>
            <w:r>
              <w:rPr>
                <w:rFonts w:hint="eastAsia" w:ascii="宋体" w:hAnsi="宋体" w:cs="宋体"/>
                <w:color w:val="000000"/>
                <w:sz w:val="22"/>
                <w:szCs w:val="22"/>
                <w:lang w:bidi="zh-TW"/>
              </w:rPr>
              <w:t>色调：白平衡正确，无明显偏色，多机拍摄的镜头衔接处无明显色差。</w:t>
            </w:r>
          </w:p>
          <w:p>
            <w:pPr>
              <w:numPr>
                <w:numId w:val="0"/>
              </w:numPr>
              <w:adjustRightInd w:val="0"/>
              <w:snapToGrid w:val="0"/>
              <w:spacing w:line="360" w:lineRule="auto"/>
              <w:ind w:leftChars="0"/>
              <w:jc w:val="left"/>
              <w:rPr>
                <w:rFonts w:hint="eastAsia" w:ascii="宋体" w:hAnsi="宋体" w:cs="宋体"/>
                <w:color w:val="000000"/>
                <w:sz w:val="22"/>
                <w:szCs w:val="22"/>
                <w:lang w:bidi="zh-TW"/>
              </w:rPr>
            </w:pPr>
            <w:r>
              <w:rPr>
                <w:rFonts w:hint="eastAsia" w:ascii="宋体" w:hAnsi="宋体" w:cs="宋体"/>
                <w:color w:val="000000"/>
                <w:sz w:val="22"/>
                <w:szCs w:val="22"/>
                <w:lang w:val="en-US" w:eastAsia="zh-CN" w:bidi="zh-TW"/>
              </w:rPr>
              <w:t>4.</w:t>
            </w:r>
            <w:r>
              <w:rPr>
                <w:rFonts w:hint="eastAsia" w:ascii="宋体" w:hAnsi="宋体" w:cs="宋体"/>
                <w:color w:val="000000"/>
                <w:sz w:val="22"/>
                <w:szCs w:val="22"/>
                <w:lang w:bidi="zh-TW"/>
              </w:rPr>
              <w:t>视频电平：视频全讯号幅度为1.0Ⅴp-p，最大不超过1.1Ⅴp-p。其中，消隐电平为0V时，白电平幅度0.7Ⅴp-p，同步信号-0.3V，色同步信号幅度0.3V p-p (以消隐线上下对称)，全片一致。</w:t>
            </w:r>
          </w:p>
          <w:p>
            <w:pPr>
              <w:adjustRightInd w:val="0"/>
              <w:snapToGrid w:val="0"/>
              <w:spacing w:line="360" w:lineRule="auto"/>
              <w:jc w:val="left"/>
              <w:rPr>
                <w:rFonts w:hint="eastAsia" w:ascii="宋体" w:hAnsi="宋体" w:cs="宋体"/>
                <w:b/>
                <w:bCs/>
                <w:color w:val="000000"/>
                <w:sz w:val="22"/>
                <w:szCs w:val="22"/>
                <w:lang w:bidi="zh-TW"/>
              </w:rPr>
            </w:pPr>
            <w:r>
              <w:rPr>
                <w:rFonts w:hint="eastAsia" w:ascii="宋体" w:hAnsi="宋体" w:cs="宋体"/>
                <w:b/>
                <w:bCs/>
                <w:color w:val="000000"/>
                <w:sz w:val="22"/>
                <w:szCs w:val="22"/>
                <w:lang w:bidi="zh-TW"/>
              </w:rPr>
              <w:t>（2）音频信号源</w:t>
            </w:r>
          </w:p>
          <w:p>
            <w:pPr>
              <w:numPr>
                <w:numId w:val="0"/>
              </w:numPr>
              <w:adjustRightInd w:val="0"/>
              <w:snapToGrid w:val="0"/>
              <w:spacing w:line="360" w:lineRule="auto"/>
              <w:ind w:leftChars="0"/>
              <w:jc w:val="left"/>
              <w:rPr>
                <w:rFonts w:hint="eastAsia" w:ascii="宋体" w:hAnsi="宋体" w:cs="宋体"/>
                <w:color w:val="000000"/>
                <w:sz w:val="22"/>
                <w:szCs w:val="22"/>
                <w:lang w:bidi="zh-TW"/>
              </w:rPr>
            </w:pPr>
            <w:r>
              <w:rPr>
                <w:rFonts w:hint="eastAsia" w:ascii="宋体" w:hAnsi="宋体" w:cs="宋体"/>
                <w:color w:val="000000"/>
                <w:sz w:val="22"/>
                <w:szCs w:val="22"/>
                <w:lang w:val="en-US" w:eastAsia="zh-CN" w:bidi="zh-TW"/>
              </w:rPr>
              <w:t>1.</w:t>
            </w:r>
            <w:r>
              <w:rPr>
                <w:rFonts w:hint="eastAsia" w:ascii="宋体" w:hAnsi="宋体" w:cs="宋体"/>
                <w:color w:val="000000"/>
                <w:sz w:val="22"/>
                <w:szCs w:val="22"/>
                <w:lang w:bidi="zh-TW"/>
              </w:rPr>
              <w:t>声道：中文内容音频信号记录于第1声道，音乐、音效、同期声记录于第2声道，若有其他文字解说记录于第3声道（如录音设备无第3声道，则录于第2声道）。</w:t>
            </w:r>
          </w:p>
          <w:p>
            <w:pPr>
              <w:numPr>
                <w:numId w:val="0"/>
              </w:numPr>
              <w:adjustRightInd w:val="0"/>
              <w:snapToGrid w:val="0"/>
              <w:spacing w:line="360" w:lineRule="auto"/>
              <w:ind w:leftChars="0"/>
              <w:jc w:val="left"/>
              <w:rPr>
                <w:rFonts w:hint="eastAsia" w:ascii="宋体" w:hAnsi="宋体" w:cs="宋体"/>
                <w:color w:val="000000"/>
                <w:sz w:val="22"/>
                <w:szCs w:val="22"/>
                <w:lang w:bidi="zh-TW"/>
              </w:rPr>
            </w:pPr>
            <w:r>
              <w:rPr>
                <w:rFonts w:hint="eastAsia" w:ascii="宋体" w:hAnsi="宋体" w:cs="宋体"/>
                <w:color w:val="000000"/>
                <w:sz w:val="22"/>
                <w:szCs w:val="22"/>
                <w:lang w:val="en-US" w:eastAsia="zh-CN" w:bidi="zh-TW"/>
              </w:rPr>
              <w:t>2.</w:t>
            </w:r>
            <w:r>
              <w:rPr>
                <w:rFonts w:hint="eastAsia" w:ascii="宋体" w:hAnsi="宋体" w:cs="宋体"/>
                <w:color w:val="000000"/>
                <w:sz w:val="22"/>
                <w:szCs w:val="22"/>
                <w:lang w:bidi="zh-TW"/>
              </w:rPr>
              <w:t>电平指标：-2db — -8db声音应无明显失真、放音过冲、过弱。</w:t>
            </w:r>
          </w:p>
          <w:p>
            <w:pPr>
              <w:numPr>
                <w:numId w:val="0"/>
              </w:numPr>
              <w:adjustRightInd w:val="0"/>
              <w:snapToGrid w:val="0"/>
              <w:spacing w:line="360" w:lineRule="auto"/>
              <w:ind w:leftChars="0"/>
              <w:jc w:val="left"/>
              <w:rPr>
                <w:rFonts w:hint="eastAsia" w:ascii="宋体" w:hAnsi="宋体" w:cs="宋体"/>
                <w:color w:val="000000"/>
                <w:sz w:val="22"/>
                <w:szCs w:val="22"/>
                <w:lang w:bidi="zh-TW"/>
              </w:rPr>
            </w:pPr>
            <w:r>
              <w:rPr>
                <w:rFonts w:hint="eastAsia" w:ascii="宋体" w:hAnsi="宋体" w:cs="宋体"/>
                <w:color w:val="000000"/>
                <w:sz w:val="22"/>
                <w:szCs w:val="22"/>
                <w:lang w:val="en-US" w:eastAsia="zh-CN" w:bidi="zh-TW"/>
              </w:rPr>
              <w:t>3.</w:t>
            </w:r>
            <w:r>
              <w:rPr>
                <w:rFonts w:hint="eastAsia" w:ascii="宋体" w:hAnsi="宋体" w:cs="宋体"/>
                <w:color w:val="000000"/>
                <w:sz w:val="22"/>
                <w:szCs w:val="22"/>
                <w:lang w:bidi="zh-TW"/>
              </w:rPr>
              <w:t>音频信噪比不低于48db。</w:t>
            </w:r>
          </w:p>
          <w:p>
            <w:pPr>
              <w:numPr>
                <w:numId w:val="0"/>
              </w:numPr>
              <w:adjustRightInd w:val="0"/>
              <w:snapToGrid w:val="0"/>
              <w:spacing w:line="360" w:lineRule="auto"/>
              <w:ind w:leftChars="0"/>
              <w:jc w:val="left"/>
              <w:rPr>
                <w:rFonts w:hint="eastAsia" w:ascii="宋体" w:hAnsi="宋体" w:cs="宋体"/>
                <w:color w:val="000000"/>
                <w:sz w:val="22"/>
                <w:szCs w:val="22"/>
                <w:lang w:bidi="zh-TW"/>
              </w:rPr>
            </w:pPr>
            <w:r>
              <w:rPr>
                <w:rFonts w:hint="eastAsia" w:ascii="宋体" w:hAnsi="宋体" w:cs="宋体"/>
                <w:color w:val="000000"/>
                <w:sz w:val="22"/>
                <w:szCs w:val="22"/>
                <w:lang w:val="en-US" w:eastAsia="zh-CN" w:bidi="zh-TW"/>
              </w:rPr>
              <w:t>4.</w:t>
            </w:r>
            <w:r>
              <w:rPr>
                <w:rFonts w:hint="eastAsia" w:ascii="宋体" w:hAnsi="宋体" w:cs="宋体"/>
                <w:color w:val="000000"/>
                <w:sz w:val="22"/>
                <w:szCs w:val="22"/>
                <w:lang w:bidi="zh-TW"/>
              </w:rPr>
              <w:t>声音和画面要求同步，无交流声或其他杂音等缺陷。</w:t>
            </w:r>
          </w:p>
          <w:p>
            <w:pPr>
              <w:numPr>
                <w:numId w:val="0"/>
              </w:numPr>
              <w:adjustRightInd w:val="0"/>
              <w:snapToGrid w:val="0"/>
              <w:spacing w:line="360" w:lineRule="auto"/>
              <w:ind w:leftChars="0"/>
              <w:jc w:val="left"/>
              <w:rPr>
                <w:rFonts w:hint="eastAsia" w:ascii="宋体" w:hAnsi="宋体" w:cs="宋体"/>
                <w:color w:val="000000"/>
                <w:sz w:val="22"/>
                <w:szCs w:val="22"/>
                <w:lang w:bidi="zh-TW"/>
              </w:rPr>
            </w:pPr>
            <w:r>
              <w:rPr>
                <w:rFonts w:hint="eastAsia" w:ascii="宋体" w:hAnsi="宋体" w:cs="宋体"/>
                <w:color w:val="000000"/>
                <w:sz w:val="22"/>
                <w:szCs w:val="22"/>
                <w:lang w:val="en-US" w:eastAsia="zh-CN" w:bidi="zh-TW"/>
              </w:rPr>
              <w:t>5.</w:t>
            </w:r>
            <w:r>
              <w:rPr>
                <w:rFonts w:hint="eastAsia" w:ascii="宋体" w:hAnsi="宋体" w:cs="宋体"/>
                <w:color w:val="000000"/>
                <w:sz w:val="22"/>
                <w:szCs w:val="22"/>
                <w:lang w:bidi="zh-TW"/>
              </w:rPr>
              <w:t>伴音清晰、饱满、圆润，无失真、噪声杂音干扰、音量忽大忽小现象。解说声与现场声无明显比例失调，解说声与背景音乐无明显比例失调。</w:t>
            </w:r>
          </w:p>
          <w:p>
            <w:pPr>
              <w:adjustRightInd w:val="0"/>
              <w:snapToGrid w:val="0"/>
              <w:spacing w:line="360" w:lineRule="auto"/>
              <w:jc w:val="left"/>
              <w:rPr>
                <w:rFonts w:hint="eastAsia" w:ascii="宋体" w:hAnsi="宋体" w:cs="宋体"/>
                <w:b/>
                <w:bCs/>
                <w:color w:val="000000"/>
                <w:sz w:val="22"/>
                <w:szCs w:val="22"/>
                <w:lang w:bidi="zh-TW"/>
              </w:rPr>
            </w:pPr>
            <w:r>
              <w:rPr>
                <w:rFonts w:hint="eastAsia" w:ascii="宋体" w:hAnsi="宋体" w:cs="宋体"/>
                <w:b/>
                <w:bCs/>
                <w:color w:val="000000"/>
                <w:sz w:val="22"/>
                <w:szCs w:val="22"/>
                <w:lang w:bidi="zh-TW"/>
              </w:rPr>
              <w:t>（3）视、音频交付文件交付载体：</w:t>
            </w:r>
          </w:p>
          <w:p>
            <w:pPr>
              <w:numPr>
                <w:numId w:val="0"/>
              </w:numPr>
              <w:adjustRightInd w:val="0"/>
              <w:snapToGrid w:val="0"/>
              <w:spacing w:line="360" w:lineRule="auto"/>
              <w:ind w:leftChars="0"/>
              <w:jc w:val="left"/>
              <w:rPr>
                <w:rFonts w:hint="eastAsia" w:ascii="宋体" w:hAnsi="宋体" w:cs="宋体"/>
                <w:color w:val="000000"/>
                <w:sz w:val="22"/>
                <w:szCs w:val="22"/>
                <w:lang w:bidi="zh-TW"/>
              </w:rPr>
            </w:pPr>
            <w:r>
              <w:rPr>
                <w:rFonts w:hint="eastAsia" w:ascii="宋体" w:hAnsi="宋体" w:cs="宋体"/>
                <w:color w:val="000000"/>
                <w:sz w:val="22"/>
                <w:szCs w:val="22"/>
                <w:lang w:val="en-US" w:eastAsia="zh-CN" w:bidi="zh-TW"/>
              </w:rPr>
              <w:t>1.</w:t>
            </w:r>
            <w:r>
              <w:rPr>
                <w:rFonts w:hint="eastAsia" w:ascii="宋体" w:hAnsi="宋体" w:cs="宋体"/>
                <w:color w:val="000000"/>
                <w:sz w:val="22"/>
                <w:szCs w:val="22"/>
                <w:lang w:bidi="zh-TW"/>
              </w:rPr>
              <w:t>所有视频文件以拷贝形式交付学校，并在文件上标记学校名称、课程名称、讲次及标题、主讲教师、时长等。公司保留全部母带级别文件，至少一年。</w:t>
            </w:r>
          </w:p>
          <w:p>
            <w:pPr>
              <w:numPr>
                <w:numId w:val="0"/>
              </w:numPr>
              <w:adjustRightInd w:val="0"/>
              <w:snapToGrid w:val="0"/>
              <w:spacing w:line="360" w:lineRule="auto"/>
              <w:ind w:leftChars="0"/>
              <w:jc w:val="left"/>
              <w:rPr>
                <w:rFonts w:hint="eastAsia" w:ascii="宋体" w:hAnsi="宋体" w:cs="宋体"/>
                <w:color w:val="000000"/>
                <w:sz w:val="22"/>
                <w:szCs w:val="22"/>
                <w:lang w:bidi="zh-TW"/>
              </w:rPr>
            </w:pPr>
            <w:r>
              <w:rPr>
                <w:rFonts w:hint="eastAsia" w:ascii="宋体" w:hAnsi="宋体" w:cs="宋体"/>
                <w:color w:val="000000"/>
                <w:sz w:val="22"/>
                <w:szCs w:val="22"/>
                <w:lang w:val="en-US" w:eastAsia="zh-CN" w:bidi="zh-TW"/>
              </w:rPr>
              <w:t>2.</w:t>
            </w:r>
            <w:r>
              <w:rPr>
                <w:rFonts w:hint="eastAsia" w:ascii="宋体" w:hAnsi="宋体" w:cs="宋体"/>
                <w:color w:val="000000"/>
                <w:sz w:val="22"/>
                <w:szCs w:val="22"/>
                <w:lang w:bidi="zh-TW"/>
              </w:rPr>
              <w:t>视频压缩格式及技术参数：视频压缩采用H.264(MPEG-4Part10：profile=main,level=3.0)编码、使用二次编码、不包含字幕的 MP4格式。视频码流率：码流率5000kbps以上。视频分辨率：前期采用高清16:9拍摄，分辨率为4096×2160。在同一课程中，各讲的视频分辨率统一，不得混用。视频画幅宽高比：录制视频宽高比为16:9。在同一课程中，各讲画幅的宽高比统一，不得混用。视频帧率为25帧/秒。扫描方式采用逐行扫描。</w:t>
            </w:r>
          </w:p>
          <w:p>
            <w:pPr>
              <w:numPr>
                <w:numId w:val="0"/>
              </w:numPr>
              <w:adjustRightInd w:val="0"/>
              <w:snapToGrid w:val="0"/>
              <w:spacing w:line="360" w:lineRule="auto"/>
              <w:ind w:leftChars="0"/>
              <w:jc w:val="left"/>
              <w:rPr>
                <w:rFonts w:hint="eastAsia" w:ascii="宋体" w:hAnsi="宋体" w:cs="宋体"/>
                <w:kern w:val="0"/>
                <w:sz w:val="22"/>
                <w:szCs w:val="22"/>
              </w:rPr>
            </w:pPr>
            <w:r>
              <w:rPr>
                <w:rFonts w:hint="eastAsia" w:ascii="宋体" w:hAnsi="宋体" w:cs="宋体"/>
                <w:color w:val="000000"/>
                <w:sz w:val="22"/>
                <w:szCs w:val="22"/>
                <w:lang w:val="en-US" w:eastAsia="zh-CN" w:bidi="zh-TW"/>
              </w:rPr>
              <w:t>3.</w:t>
            </w:r>
            <w:r>
              <w:rPr>
                <w:rFonts w:hint="eastAsia" w:ascii="宋体" w:hAnsi="宋体" w:cs="宋体"/>
                <w:color w:val="000000"/>
                <w:sz w:val="22"/>
                <w:szCs w:val="22"/>
                <w:lang w:bidi="zh-TW"/>
              </w:rPr>
              <w:t>音频压缩格式及技术参数：音频压缩采用AAC(MPEG4 Part3)格式，采样率48KHz，音频码流率256Kbps (恒定)，必须是双声道，必须做混音处理。</w:t>
            </w:r>
          </w:p>
        </w:tc>
      </w:tr>
    </w:tbl>
    <w:p>
      <w:pPr>
        <w:pStyle w:val="13"/>
        <w:widowControl/>
        <w:shd w:val="clear" w:color="auto" w:fill="FFFFFF"/>
        <w:spacing w:beforeAutospacing="0" w:afterAutospacing="0"/>
        <w:rPr>
          <w:rStyle w:val="17"/>
          <w:rFonts w:hint="eastAsia" w:ascii="宋体" w:hAnsi="宋体"/>
          <w:color w:val="auto"/>
          <w:sz w:val="32"/>
          <w:szCs w:val="32"/>
          <w:highlight w:val="none"/>
          <w:shd w:val="clear" w:color="auto" w:fill="FFFFFF"/>
        </w:rPr>
      </w:pPr>
    </w:p>
    <w:p>
      <w:pPr>
        <w:pStyle w:val="13"/>
        <w:widowControl/>
        <w:shd w:val="clear" w:color="auto" w:fill="FFFFFF"/>
        <w:spacing w:beforeAutospacing="0" w:afterAutospacing="0"/>
        <w:rPr>
          <w:rFonts w:ascii="微软雅黑" w:hAnsi="微软雅黑" w:eastAsia="微软雅黑" w:cs="微软雅黑"/>
          <w:color w:val="auto"/>
          <w:sz w:val="28"/>
          <w:szCs w:val="28"/>
          <w:highlight w:val="none"/>
        </w:rPr>
      </w:pPr>
      <w:r>
        <w:rPr>
          <w:rStyle w:val="17"/>
          <w:rFonts w:hint="eastAsia" w:ascii="宋体" w:hAnsi="宋体"/>
          <w:color w:val="auto"/>
          <w:sz w:val="32"/>
          <w:szCs w:val="32"/>
          <w:highlight w:val="none"/>
          <w:shd w:val="clear" w:color="auto" w:fill="FFFFFF"/>
        </w:rPr>
        <w:t> </w:t>
      </w:r>
      <w:r>
        <w:rPr>
          <w:rStyle w:val="17"/>
          <w:rFonts w:hint="eastAsia" w:ascii="宋体" w:hAnsi="宋体"/>
          <w:color w:val="auto"/>
          <w:sz w:val="32"/>
          <w:szCs w:val="32"/>
          <w:highlight w:val="none"/>
          <w:shd w:val="clear" w:color="auto" w:fill="FFFFFF"/>
          <w:lang w:val="en-US" w:eastAsia="zh-CN"/>
        </w:rPr>
        <w:t xml:space="preserve">                </w:t>
      </w:r>
      <w:r>
        <w:rPr>
          <w:rStyle w:val="17"/>
          <w:rFonts w:hint="eastAsia" w:ascii="宋体" w:hAnsi="宋体"/>
          <w:color w:val="auto"/>
          <w:sz w:val="28"/>
          <w:szCs w:val="28"/>
          <w:highlight w:val="none"/>
          <w:shd w:val="clear" w:color="auto" w:fill="FFFFFF"/>
          <w:lang w:val="en-US" w:eastAsia="zh-CN"/>
        </w:rPr>
        <w:t xml:space="preserve">  四</w:t>
      </w:r>
      <w:r>
        <w:rPr>
          <w:rStyle w:val="17"/>
          <w:rFonts w:hint="eastAsia" w:ascii="宋体" w:hAnsi="宋体"/>
          <w:color w:val="auto"/>
          <w:kern w:val="0"/>
          <w:sz w:val="28"/>
          <w:szCs w:val="28"/>
          <w:highlight w:val="none"/>
          <w:shd w:val="clear" w:color="auto" w:fill="FFFFFF"/>
        </w:rPr>
        <w:t>、商务需求</w:t>
      </w:r>
    </w:p>
    <w:p>
      <w:pPr>
        <w:spacing w:line="560" w:lineRule="exact"/>
        <w:rPr>
          <w:rFonts w:hint="eastAsia"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lang w:val="en-US" w:eastAsia="zh-CN"/>
        </w:rPr>
        <w:t>一</w:t>
      </w:r>
      <w:r>
        <w:rPr>
          <w:rFonts w:hint="eastAsia" w:ascii="宋体" w:hAnsi="宋体" w:cs="宋体"/>
          <w:sz w:val="28"/>
          <w:szCs w:val="28"/>
          <w:lang w:val="zh-CN"/>
        </w:rPr>
        <w:t>）实施要求</w:t>
      </w:r>
    </w:p>
    <w:p>
      <w:pPr>
        <w:spacing w:line="560" w:lineRule="exact"/>
        <w:ind w:firstLine="560" w:firstLineChars="200"/>
        <w:rPr>
          <w:rFonts w:hint="eastAsia" w:ascii="宋体" w:hAnsi="宋体" w:cs="宋体"/>
          <w:sz w:val="28"/>
          <w:szCs w:val="28"/>
          <w:lang w:val="zh-CN"/>
        </w:rPr>
      </w:pPr>
      <w:r>
        <w:rPr>
          <w:rFonts w:hint="eastAsia" w:ascii="宋体" w:hAnsi="宋体" w:cs="宋体"/>
          <w:sz w:val="28"/>
          <w:szCs w:val="28"/>
          <w:lang w:val="zh-CN"/>
        </w:rPr>
        <w:t>本次项目须严格按工期部署完成，并达到采购人的要求。本项目实施时间为合同签订之日起至202</w:t>
      </w:r>
      <w:r>
        <w:rPr>
          <w:rFonts w:hint="eastAsia" w:ascii="宋体" w:hAnsi="宋体" w:cs="宋体"/>
          <w:sz w:val="28"/>
          <w:szCs w:val="28"/>
          <w:lang w:val="en-US" w:eastAsia="zh-CN"/>
        </w:rPr>
        <w:t>4</w:t>
      </w:r>
      <w:r>
        <w:rPr>
          <w:rFonts w:hint="eastAsia" w:ascii="宋体" w:hAnsi="宋体" w:cs="宋体"/>
          <w:sz w:val="28"/>
          <w:szCs w:val="28"/>
          <w:lang w:val="zh-CN"/>
        </w:rPr>
        <w:t>年</w:t>
      </w:r>
      <w:r>
        <w:rPr>
          <w:rFonts w:hint="eastAsia" w:ascii="宋体" w:hAnsi="宋体" w:cs="宋体"/>
          <w:sz w:val="28"/>
          <w:szCs w:val="28"/>
          <w:lang w:val="en-US" w:eastAsia="zh-CN"/>
        </w:rPr>
        <w:t>6</w:t>
      </w:r>
      <w:r>
        <w:rPr>
          <w:rFonts w:hint="eastAsia" w:ascii="宋体" w:hAnsi="宋体" w:cs="宋体"/>
          <w:sz w:val="28"/>
          <w:szCs w:val="28"/>
          <w:lang w:val="zh-CN"/>
        </w:rPr>
        <w:t>月</w:t>
      </w:r>
      <w:r>
        <w:rPr>
          <w:rFonts w:hint="eastAsia" w:ascii="宋体" w:hAnsi="宋体" w:cs="宋体"/>
          <w:sz w:val="28"/>
          <w:szCs w:val="28"/>
          <w:lang w:val="en-US" w:eastAsia="zh-CN"/>
        </w:rPr>
        <w:t>30</w:t>
      </w:r>
      <w:r>
        <w:rPr>
          <w:rFonts w:hint="eastAsia" w:ascii="宋体" w:hAnsi="宋体" w:cs="宋体"/>
          <w:sz w:val="28"/>
          <w:szCs w:val="28"/>
          <w:lang w:val="zh-CN"/>
        </w:rPr>
        <w:t>日</w:t>
      </w:r>
      <w:r>
        <w:rPr>
          <w:rFonts w:hint="eastAsia" w:ascii="宋体" w:hAnsi="宋体" w:cs="宋体"/>
          <w:sz w:val="28"/>
          <w:szCs w:val="28"/>
          <w:lang w:val="zh-CN"/>
        </w:rPr>
        <w:t>。</w:t>
      </w:r>
    </w:p>
    <w:p>
      <w:pPr>
        <w:spacing w:line="560" w:lineRule="exact"/>
        <w:rPr>
          <w:rFonts w:hint="eastAsia"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lang w:val="en-US" w:eastAsia="zh-CN"/>
        </w:rPr>
        <w:t>二</w:t>
      </w:r>
      <w:r>
        <w:rPr>
          <w:rFonts w:hint="eastAsia" w:ascii="宋体" w:hAnsi="宋体" w:cs="宋体"/>
          <w:sz w:val="28"/>
          <w:szCs w:val="28"/>
          <w:lang w:val="zh-CN"/>
        </w:rPr>
        <w:t>）付款方式</w:t>
      </w:r>
    </w:p>
    <w:p>
      <w:pPr>
        <w:spacing w:line="560" w:lineRule="exact"/>
        <w:ind w:firstLine="280" w:firstLineChars="100"/>
        <w:rPr>
          <w:rFonts w:hint="eastAsia" w:ascii="宋体" w:hAnsi="宋体" w:cs="宋体"/>
          <w:sz w:val="28"/>
          <w:szCs w:val="28"/>
          <w:lang w:val="zh-CN"/>
        </w:rPr>
      </w:pPr>
      <w:r>
        <w:rPr>
          <w:rFonts w:hint="eastAsia" w:ascii="宋体" w:hAnsi="宋体" w:cs="宋体"/>
          <w:sz w:val="28"/>
          <w:szCs w:val="28"/>
          <w:lang w:val="zh-CN"/>
        </w:rPr>
        <w:t>合同签订后，甲方向乙方支付合同总额50%</w:t>
      </w:r>
      <w:r>
        <w:rPr>
          <w:rFonts w:hint="eastAsia" w:ascii="宋体" w:hAnsi="宋体" w:cs="宋体"/>
          <w:sz w:val="28"/>
          <w:szCs w:val="28"/>
          <w:lang w:val="zh-CN"/>
        </w:rPr>
        <w:t>的预付款；验收合格后，甲方一次性付清余款。</w:t>
      </w:r>
    </w:p>
    <w:p>
      <w:pPr>
        <w:spacing w:line="560" w:lineRule="exac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z w:val="28"/>
          <w:szCs w:val="28"/>
        </w:rPr>
        <w:t>知识产权</w:t>
      </w:r>
    </w:p>
    <w:p>
      <w:pPr>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▲1.本项目的所有中间成果、最终成果以及采购人提供的资料，成交供应商具有保密义务，且其所有权均属采购人，未经采购人同意，成交供应商不得外泄，否则采购人有权追究成交供应商的责任。</w:t>
      </w:r>
    </w:p>
    <w:p>
      <w:pPr>
        <w:spacing w:line="560" w:lineRule="exact"/>
        <w:ind w:firstLine="560" w:firstLineChars="200"/>
        <w:rPr>
          <w:rFonts w:hint="eastAsia" w:ascii="宋体" w:hAnsi="宋体" w:eastAsia="宋体" w:cs="宋体"/>
          <w:sz w:val="28"/>
          <w:szCs w:val="28"/>
          <w:lang w:val="zh-CN"/>
        </w:rPr>
      </w:pPr>
      <w:r>
        <w:rPr>
          <w:rFonts w:hint="eastAsia" w:ascii="宋体" w:hAnsi="宋体" w:eastAsia="宋体" w:cs="宋体"/>
          <w:sz w:val="28"/>
          <w:szCs w:val="28"/>
          <w:lang w:val="zh-CN"/>
        </w:rPr>
        <w:t>2.成交供应商在为服务过程中涉及到辖区内的秘密资料必须给予保密，不得自己使用或泄漏给任何第三人，否则采购人有权追究法律责任。本条款不因协议变更、修改、解除而失效。</w:t>
      </w:r>
    </w:p>
    <w:p>
      <w:pPr>
        <w:spacing w:line="560" w:lineRule="exact"/>
        <w:ind w:firstLine="560" w:firstLineChars="200"/>
        <w:rPr>
          <w:rFonts w:hint="eastAsia" w:ascii="宋体" w:hAnsi="宋体" w:eastAsia="宋体" w:cs="宋体"/>
          <w:sz w:val="28"/>
          <w:szCs w:val="28"/>
          <w:lang w:val="zh-CN"/>
        </w:rPr>
      </w:pPr>
      <w:r>
        <w:rPr>
          <w:rFonts w:hint="eastAsia" w:ascii="宋体" w:hAnsi="宋体" w:cs="宋体"/>
          <w:sz w:val="28"/>
          <w:szCs w:val="28"/>
          <w:lang w:val="zh-CN"/>
        </w:rPr>
        <w:t>（四）</w:t>
      </w:r>
      <w:r>
        <w:rPr>
          <w:rFonts w:hint="eastAsia" w:ascii="宋体" w:hAnsi="宋体" w:eastAsia="宋体" w:cs="宋体"/>
          <w:sz w:val="28"/>
          <w:szCs w:val="28"/>
          <w:lang w:val="zh-CN"/>
        </w:rPr>
        <w:t>售后服务</w:t>
      </w:r>
    </w:p>
    <w:p>
      <w:pPr>
        <w:spacing w:line="560" w:lineRule="exact"/>
        <w:ind w:firstLine="560" w:firstLineChars="200"/>
        <w:rPr>
          <w:rFonts w:hint="eastAsia" w:ascii="宋体" w:hAnsi="宋体" w:eastAsia="宋体" w:cs="宋体"/>
          <w:sz w:val="22"/>
          <w:szCs w:val="22"/>
        </w:rPr>
      </w:pPr>
      <w:r>
        <w:rPr>
          <w:rFonts w:hint="eastAsia" w:ascii="宋体" w:hAnsi="宋体" w:eastAsia="宋体" w:cs="宋体"/>
          <w:sz w:val="28"/>
          <w:szCs w:val="28"/>
          <w:lang w:val="zh-CN"/>
        </w:rPr>
        <w:t>▲</w:t>
      </w:r>
      <w:r>
        <w:rPr>
          <w:rFonts w:hint="eastAsia" w:ascii="宋体" w:hAnsi="宋体" w:cs="宋体"/>
          <w:sz w:val="28"/>
          <w:szCs w:val="28"/>
          <w:lang w:val="en-US" w:eastAsia="zh-CN"/>
        </w:rPr>
        <w:t>1.</w:t>
      </w:r>
      <w:r>
        <w:rPr>
          <w:rFonts w:hint="eastAsia" w:ascii="宋体" w:hAnsi="宋体" w:eastAsia="宋体" w:cs="宋体"/>
          <w:sz w:val="28"/>
          <w:szCs w:val="28"/>
          <w:lang w:val="zh-CN"/>
        </w:rPr>
        <w:t>能够提供完整的提交至平台或系统的最终参赛作品，所有视频和文档资料供学校留存，版权归学校所有。</w:t>
      </w:r>
    </w:p>
    <w:p>
      <w:pPr>
        <w:spacing w:line="560" w:lineRule="exact"/>
        <w:ind w:firstLine="280" w:firstLineChars="100"/>
        <w:rPr>
          <w:rFonts w:hint="eastAsia" w:ascii="宋体" w:hAnsi="宋体" w:eastAsia="宋体" w:cs="宋体"/>
          <w:sz w:val="28"/>
          <w:szCs w:val="28"/>
          <w:lang w:val="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zh-CN"/>
        </w:rPr>
        <w:t>▲</w:t>
      </w:r>
      <w:r>
        <w:rPr>
          <w:rFonts w:hint="eastAsia" w:ascii="宋体" w:hAnsi="宋体" w:cs="宋体"/>
          <w:sz w:val="28"/>
          <w:szCs w:val="28"/>
          <w:lang w:val="en-US" w:eastAsia="zh-CN"/>
        </w:rPr>
        <w:t>2.</w:t>
      </w:r>
      <w:r>
        <w:rPr>
          <w:rFonts w:hint="eastAsia" w:ascii="宋体" w:hAnsi="宋体" w:eastAsia="宋体" w:cs="宋体"/>
          <w:sz w:val="28"/>
          <w:szCs w:val="28"/>
          <w:lang w:val="zh-CN"/>
        </w:rPr>
        <w:t>参赛项目必须按照参赛教师要求，严格完成各个环节的工作，保障教师作品顺利参赛。组建专门服务采购人的专项技术团队保障本项目的实施质量及进度。如发生严重影响参赛，成交供应商须承担直接责任，项目合作合同由采购人发出终止合作通知函日起，终止执行。</w:t>
      </w:r>
    </w:p>
    <w:p>
      <w:pPr>
        <w:widowControl/>
        <w:shd w:val="clear" w:color="auto" w:fill="FFFFFF"/>
        <w:jc w:val="left"/>
        <w:rPr>
          <w:color w:val="auto"/>
          <w:highlight w:val="none"/>
        </w:rPr>
      </w:pPr>
      <w:r>
        <w:rPr>
          <w:rStyle w:val="17"/>
          <w:rFonts w:hint="eastAsia" w:ascii="微软雅黑" w:hAnsi="微软雅黑" w:eastAsia="微软雅黑" w:cs="微软雅黑"/>
          <w:color w:val="auto"/>
          <w:kern w:val="0"/>
          <w:sz w:val="22"/>
          <w:szCs w:val="22"/>
          <w:highlight w:val="none"/>
          <w:shd w:val="clear" w:color="auto" w:fill="FFFFFF"/>
        </w:rPr>
        <w:t> </w:t>
      </w:r>
      <w:bookmarkStart w:id="8" w:name="bt附件"/>
      <w:bookmarkEnd w:id="8"/>
      <w:bookmarkStart w:id="9" w:name="bt投标书"/>
      <w:bookmarkEnd w:id="9"/>
    </w:p>
    <w:p>
      <w:pPr>
        <w:pStyle w:val="2"/>
      </w:pPr>
      <w:r>
        <w:rPr>
          <w:rFonts w:hint="eastAsia"/>
        </w:rPr>
        <w:t>第三章  投标文件格式</w:t>
      </w:r>
    </w:p>
    <w:p>
      <w:pPr>
        <w:rPr>
          <w:rStyle w:val="22"/>
          <w:rFonts w:ascii="宋体" w:hAnsi="宋体" w:eastAsia="宋体" w:cs="宋体"/>
          <w:sz w:val="28"/>
          <w:szCs w:val="28"/>
        </w:rPr>
      </w:pPr>
      <w:r>
        <w:rPr>
          <w:rStyle w:val="22"/>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rPr>
        <w:t>投标一览表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rPr>
          <w:rFonts w:ascii="宋体" w:hAnsi="宋体" w:cs="宋体"/>
          <w:sz w:val="24"/>
        </w:rPr>
      </w:pPr>
      <w:r>
        <w:rPr>
          <w:rFonts w:hint="eastAsia" w:ascii="宋体" w:hAnsi="宋体" w:cs="宋体"/>
          <w:sz w:val="24"/>
        </w:rPr>
        <w:t>6、分项报价清单表</w:t>
      </w:r>
    </w:p>
    <w:p>
      <w:pPr>
        <w:rPr>
          <w:rFonts w:ascii="宋体" w:hAnsi="宋体" w:cs="宋体"/>
          <w:sz w:val="24"/>
        </w:rPr>
      </w:pPr>
      <w:r>
        <w:rPr>
          <w:rFonts w:hint="eastAsia" w:ascii="宋体" w:hAnsi="宋体" w:cs="宋体"/>
          <w:sz w:val="24"/>
          <w:lang w:val="en-US" w:eastAsia="zh-CN"/>
        </w:rPr>
        <w:t>7</w:t>
      </w:r>
      <w:r>
        <w:rPr>
          <w:rFonts w:hint="eastAsia" w:ascii="宋体" w:hAnsi="宋体" w:cs="宋体"/>
          <w:sz w:val="24"/>
        </w:rPr>
        <w:t>、技术规格偏离表</w:t>
      </w:r>
    </w:p>
    <w:p>
      <w:pPr>
        <w:rPr>
          <w:rFonts w:ascii="宋体" w:hAnsi="宋体" w:cs="宋体"/>
          <w:sz w:val="24"/>
        </w:rPr>
      </w:pPr>
      <w:r>
        <w:rPr>
          <w:rFonts w:hint="eastAsia" w:ascii="宋体" w:hAnsi="宋体" w:cs="宋体"/>
          <w:sz w:val="24"/>
          <w:lang w:val="en-US" w:eastAsia="zh-CN"/>
        </w:rPr>
        <w:t>8</w:t>
      </w:r>
      <w:r>
        <w:rPr>
          <w:rFonts w:hint="eastAsia" w:ascii="宋体" w:hAnsi="宋体" w:cs="宋体"/>
          <w:sz w:val="24"/>
        </w:rPr>
        <w:t>、商务需求偏离表</w:t>
      </w:r>
    </w:p>
    <w:p>
      <w:pPr>
        <w:rPr>
          <w:rFonts w:ascii="宋体" w:hAnsi="宋体" w:cs="宋体"/>
          <w:sz w:val="24"/>
        </w:rPr>
      </w:pPr>
      <w:r>
        <w:rPr>
          <w:rFonts w:hint="eastAsia" w:ascii="宋体" w:hAnsi="宋体" w:cs="宋体"/>
          <w:sz w:val="24"/>
          <w:lang w:val="en-US" w:eastAsia="zh-CN"/>
        </w:rPr>
        <w:t>9</w:t>
      </w:r>
      <w:r>
        <w:rPr>
          <w:rFonts w:hint="eastAsia" w:ascii="宋体" w:hAnsi="宋体" w:cs="宋体"/>
          <w:sz w:val="24"/>
        </w:rPr>
        <w:t>、技术保障措施</w:t>
      </w:r>
    </w:p>
    <w:p>
      <w:pPr>
        <w:rPr>
          <w:rFonts w:ascii="宋体" w:hAnsi="宋体" w:cs="宋体"/>
          <w:sz w:val="24"/>
        </w:rPr>
      </w:pPr>
      <w:r>
        <w:rPr>
          <w:rFonts w:hint="eastAsia" w:ascii="宋体" w:hAnsi="宋体" w:cs="宋体"/>
          <w:sz w:val="24"/>
          <w:lang w:val="en-US" w:eastAsia="zh-CN"/>
        </w:rPr>
        <w:t>10</w:t>
      </w:r>
      <w:r>
        <w:rPr>
          <w:rFonts w:hint="eastAsia" w:ascii="宋体" w:hAnsi="宋体" w:cs="宋体"/>
          <w:sz w:val="24"/>
        </w:rPr>
        <w:t>、项目实施方案</w:t>
      </w:r>
    </w:p>
    <w:p>
      <w:pPr>
        <w:rPr>
          <w:rFonts w:ascii="宋体" w:hAnsi="宋体" w:cs="宋体"/>
          <w:sz w:val="24"/>
        </w:rPr>
      </w:pPr>
      <w:r>
        <w:rPr>
          <w:rFonts w:hint="eastAsia" w:ascii="宋体" w:hAnsi="宋体" w:cs="宋体"/>
          <w:sz w:val="24"/>
          <w:lang w:val="en-US" w:eastAsia="zh-CN"/>
        </w:rPr>
        <w:t>11</w:t>
      </w:r>
      <w:r>
        <w:rPr>
          <w:rFonts w:hint="eastAsia" w:ascii="宋体" w:hAnsi="宋体" w:cs="宋体"/>
          <w:sz w:val="24"/>
        </w:rPr>
        <w:t>、售后服务方案</w:t>
      </w:r>
    </w:p>
    <w:p>
      <w:pPr>
        <w:rPr>
          <w:rFonts w:ascii="宋体" w:hAnsi="宋体" w:cs="宋体"/>
          <w:sz w:val="24"/>
        </w:rPr>
      </w:pP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rPr>
        <w:t>开标一览表</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hint="eastAsia"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rPr>
              <w:t>投标报价</w:t>
            </w:r>
            <w:r>
              <w:rPr>
                <w:rFonts w:hint="eastAsia" w:ascii="宋体" w:hAnsi="宋体" w:cs="宋体"/>
                <w:snapToGrid w:val="0"/>
                <w:color w:val="000000"/>
                <w:kern w:val="0"/>
                <w:szCs w:val="22"/>
                <w:lang w:val="en-US" w:eastAsia="zh-CN"/>
              </w:rPr>
              <w:t>/折扣率</w:t>
            </w:r>
          </w:p>
        </w:tc>
        <w:tc>
          <w:tcPr>
            <w:tcW w:w="2217"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交货期</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ascii="宋体" w:hAnsi="宋体" w:cs="宋体"/>
                <w:snapToGrid w:val="0"/>
                <w:color w:val="000000"/>
                <w:kern w:val="0"/>
                <w:szCs w:val="22"/>
                <w:u w:val="single"/>
              </w:rPr>
            </w:pPr>
          </w:p>
        </w:tc>
        <w:tc>
          <w:tcPr>
            <w:tcW w:w="2603" w:type="dxa"/>
            <w:tcBorders>
              <w:top w:val="single" w:color="auto" w:sz="4" w:space="0"/>
            </w:tcBorders>
            <w:vAlign w:val="center"/>
          </w:tcPr>
          <w:p>
            <w:pPr>
              <w:rPr>
                <w:rFonts w:ascii="宋体" w:hAnsi="宋体" w:cs="宋体"/>
                <w:szCs w:val="21"/>
              </w:rPr>
            </w:pPr>
            <w:r>
              <w:rPr>
                <w:rFonts w:hint="eastAsia" w:ascii="宋体" w:hAnsi="宋体" w:cs="宋体"/>
                <w:szCs w:val="21"/>
              </w:rPr>
              <w:t>大写：</w:t>
            </w:r>
          </w:p>
          <w:p>
            <w:pPr>
              <w:rPr>
                <w:rFonts w:ascii="宋体" w:hAnsi="宋体" w:cs="宋体"/>
                <w:color w:val="FF0000"/>
                <w:szCs w:val="21"/>
              </w:rPr>
            </w:pPr>
            <w:r>
              <w:rPr>
                <w:rFonts w:hint="eastAsia" w:ascii="宋体" w:hAnsi="宋体" w:cs="宋体"/>
                <w:szCs w:val="21"/>
              </w:rPr>
              <w:t>小写：</w:t>
            </w:r>
          </w:p>
        </w:tc>
        <w:tc>
          <w:tcPr>
            <w:tcW w:w="2217" w:type="dxa"/>
            <w:tcBorders>
              <w:top w:val="single" w:color="auto" w:sz="4" w:space="0"/>
            </w:tcBorders>
            <w:vAlign w:val="center"/>
          </w:tcPr>
          <w:p>
            <w:pPr>
              <w:ind w:firstLine="281" w:firstLineChars="100"/>
              <w:rPr>
                <w:rFonts w:ascii="宋体" w:hAnsi="宋体" w:cs="宋体"/>
                <w:color w:val="000000"/>
                <w:kern w:val="0"/>
                <w:szCs w:val="21"/>
                <w:lang w:val="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rPr>
              <w:t>日历日</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3、开标一览表和投标文件（含正本和副本）应分开独立密封包装。开标一览表未按规定密封、签字、盖章将导致废标。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3"/>
        <w:numPr>
          <w:ilvl w:val="0"/>
          <w:numId w:val="4"/>
        </w:numPr>
        <w:jc w:val="center"/>
        <w:rPr>
          <w:rFonts w:cs="宋体"/>
          <w:bCs w:val="0"/>
          <w:kern w:val="0"/>
          <w:szCs w:val="28"/>
        </w:rPr>
      </w:pPr>
      <w:r>
        <w:rPr>
          <w:rFonts w:hint="eastAsia" w:cs="宋体"/>
          <w:bCs w:val="0"/>
          <w:kern w:val="0"/>
          <w:szCs w:val="28"/>
        </w:rPr>
        <w:t>评标指引表</w:t>
      </w:r>
    </w:p>
    <w:tbl>
      <w:tblPr>
        <w:tblStyle w:val="15"/>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3"/>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3"/>
        <w:ind w:firstLine="2520"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5"/>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5"/>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六、分项报价清单</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项目报价表</w:t>
      </w:r>
    </w:p>
    <w:p>
      <w:pPr>
        <w:rPr>
          <w:rFonts w:ascii="宋体" w:hAnsi="宋体" w:cs="宋体"/>
          <w:b/>
          <w:sz w:val="24"/>
        </w:rPr>
      </w:pPr>
    </w:p>
    <w:tbl>
      <w:tblPr>
        <w:tblStyle w:val="15"/>
        <w:tblW w:w="959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257"/>
        <w:gridCol w:w="2592"/>
        <w:gridCol w:w="3522"/>
        <w:gridCol w:w="22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0" w:hRule="atLeast"/>
          <w:jc w:val="center"/>
        </w:trPr>
        <w:tc>
          <w:tcPr>
            <w:tcW w:w="1257" w:type="dxa"/>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序号</w:t>
            </w:r>
          </w:p>
        </w:tc>
        <w:tc>
          <w:tcPr>
            <w:tcW w:w="2592"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0000FF"/>
                <w:kern w:val="0"/>
                <w:sz w:val="22"/>
                <w:szCs w:val="22"/>
                <w:highlight w:val="none"/>
              </w:rPr>
              <w:t>项目名称</w:t>
            </w:r>
          </w:p>
        </w:tc>
        <w:tc>
          <w:tcPr>
            <w:tcW w:w="3522"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0000FF"/>
                <w:kern w:val="0"/>
                <w:sz w:val="22"/>
                <w:szCs w:val="22"/>
                <w:highlight w:val="none"/>
              </w:rPr>
              <w:t>投标</w:t>
            </w:r>
            <w:r>
              <w:rPr>
                <w:rFonts w:hint="eastAsia" w:ascii="宋体" w:hAnsi="宋体"/>
                <w:color w:val="0000FF"/>
                <w:kern w:val="0"/>
                <w:sz w:val="22"/>
                <w:szCs w:val="22"/>
                <w:highlight w:val="none"/>
                <w:lang w:eastAsia="zh-CN"/>
              </w:rPr>
              <w:t>折扣率</w:t>
            </w:r>
          </w:p>
        </w:tc>
        <w:tc>
          <w:tcPr>
            <w:tcW w:w="2227" w:type="dxa"/>
            <w:tcBorders>
              <w:top w:val="single" w:color="auto" w:sz="8" w:space="0"/>
              <w:left w:val="nil"/>
              <w:bottom w:val="single" w:color="auto" w:sz="8" w:space="0"/>
              <w:right w:val="single" w:color="auto" w:sz="8" w:space="0"/>
            </w:tcBorders>
            <w:shd w:val="clear" w:color="auto" w:fill="auto"/>
            <w:noWrap w:val="0"/>
            <w:tcMar>
              <w:left w:w="108" w:type="dxa"/>
              <w:right w:w="108" w:type="dxa"/>
            </w:tcMar>
            <w:vAlign w:val="center"/>
          </w:tcPr>
          <w:p>
            <w:pPr>
              <w:widowControl/>
              <w:spacing w:line="360" w:lineRule="atLeast"/>
              <w:jc w:val="center"/>
              <w:rPr>
                <w:color w:val="auto"/>
                <w:highlight w:val="none"/>
              </w:rPr>
            </w:pPr>
            <w:r>
              <w:rPr>
                <w:rFonts w:hint="eastAsia" w:ascii="宋体" w:hAnsi="宋体"/>
                <w:color w:val="auto"/>
                <w:kern w:val="0"/>
                <w:sz w:val="22"/>
                <w:szCs w:val="22"/>
                <w:highlight w:val="none"/>
              </w:rPr>
              <w:t>财政预算限额（元）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nil"/>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2592" w:type="dxa"/>
            <w:tcBorders>
              <w:top w:val="nil"/>
              <w:left w:val="nil"/>
              <w:bottom w:val="nil"/>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3522" w:type="dxa"/>
            <w:tcBorders>
              <w:top w:val="nil"/>
              <w:left w:val="nil"/>
              <w:bottom w:val="nil"/>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c>
          <w:tcPr>
            <w:tcW w:w="2227" w:type="dxa"/>
            <w:tcBorders>
              <w:top w:val="nil"/>
              <w:left w:val="nil"/>
              <w:bottom w:val="nil"/>
              <w:right w:val="single" w:color="auto" w:sz="8" w:space="0"/>
            </w:tcBorders>
            <w:shd w:val="clear" w:color="auto" w:fill="auto"/>
            <w:noWrap w:val="0"/>
            <w:tcMar>
              <w:left w:w="108" w:type="dxa"/>
              <w:right w:w="108" w:type="dxa"/>
            </w:tcMar>
            <w:vAlign w:val="top"/>
          </w:tcPr>
          <w:p>
            <w:pPr>
              <w:widowControl/>
              <w:spacing w:line="360" w:lineRule="atLeast"/>
              <w:jc w:val="left"/>
              <w:rPr>
                <w:color w:val="auto"/>
                <w:highlight w:val="none"/>
              </w:rPr>
            </w:pPr>
            <w:r>
              <w:rPr>
                <w:rFonts w:hint="eastAsia" w:ascii="宋体" w:hAnsi="宋体"/>
                <w:color w:val="auto"/>
                <w:kern w:val="0"/>
                <w:sz w:val="22"/>
                <w:szCs w:val="22"/>
                <w:highlight w:val="none"/>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257"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rFonts w:hint="eastAsia" w:ascii="宋体" w:hAnsi="宋体"/>
                <w:color w:val="auto"/>
                <w:kern w:val="0"/>
                <w:sz w:val="22"/>
                <w:szCs w:val="22"/>
                <w:highlight w:val="none"/>
              </w:rPr>
            </w:pPr>
          </w:p>
        </w:tc>
        <w:tc>
          <w:tcPr>
            <w:tcW w:w="259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rFonts w:hint="eastAsia" w:ascii="宋体" w:hAnsi="宋体"/>
                <w:color w:val="auto"/>
                <w:kern w:val="0"/>
                <w:sz w:val="22"/>
                <w:szCs w:val="22"/>
                <w:highlight w:val="none"/>
              </w:rPr>
            </w:pPr>
          </w:p>
        </w:tc>
        <w:tc>
          <w:tcPr>
            <w:tcW w:w="3522"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rFonts w:hint="eastAsia" w:ascii="宋体" w:hAnsi="宋体"/>
                <w:color w:val="auto"/>
                <w:kern w:val="0"/>
                <w:sz w:val="22"/>
                <w:szCs w:val="22"/>
                <w:highlight w:val="none"/>
              </w:rPr>
            </w:pPr>
          </w:p>
        </w:tc>
        <w:tc>
          <w:tcPr>
            <w:tcW w:w="2227" w:type="dxa"/>
            <w:tcBorders>
              <w:top w:val="nil"/>
              <w:left w:val="nil"/>
              <w:bottom w:val="single" w:color="auto" w:sz="8" w:space="0"/>
              <w:right w:val="single" w:color="auto" w:sz="8" w:space="0"/>
            </w:tcBorders>
            <w:shd w:val="clear" w:color="auto" w:fill="auto"/>
            <w:noWrap w:val="0"/>
            <w:tcMar>
              <w:left w:w="108" w:type="dxa"/>
              <w:right w:w="108" w:type="dxa"/>
            </w:tcMar>
            <w:vAlign w:val="top"/>
          </w:tcPr>
          <w:p>
            <w:pPr>
              <w:widowControl/>
              <w:spacing w:line="360" w:lineRule="atLeast"/>
              <w:jc w:val="left"/>
              <w:rPr>
                <w:rFonts w:hint="eastAsia" w:ascii="宋体" w:hAnsi="宋体"/>
                <w:color w:val="auto"/>
                <w:kern w:val="0"/>
                <w:sz w:val="22"/>
                <w:szCs w:val="22"/>
                <w:highlight w:val="none"/>
              </w:rPr>
            </w:pPr>
          </w:p>
        </w:tc>
      </w:tr>
    </w:tbl>
    <w:p>
      <w:pPr>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p>
    <w:p>
      <w:pPr>
        <w:rPr>
          <w:rFonts w:ascii="宋体" w:hAnsi="宋体" w:cs="宋体"/>
          <w:szCs w:val="21"/>
        </w:rPr>
      </w:pPr>
      <w:r>
        <w:rPr>
          <w:rFonts w:hint="eastAsia" w:ascii="宋体" w:hAnsi="宋体" w:cs="宋体"/>
          <w:szCs w:val="21"/>
        </w:rPr>
        <w:t>供应商代表姓名：</w:t>
      </w:r>
      <w:r>
        <w:rPr>
          <w:rFonts w:hint="eastAsia" w:ascii="宋体" w:hAnsi="宋体" w:cs="宋体"/>
          <w:szCs w:val="21"/>
          <w:u w:val="single"/>
        </w:rPr>
        <w:t xml:space="preserve">               </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注：1.所有价格应按“招标文件”中规定的货币单位填写；</w:t>
      </w:r>
    </w:p>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 xml:space="preserve">    2.投标总价应为以上各分项价格之和；</w:t>
      </w:r>
    </w:p>
    <w:p>
      <w:pPr>
        <w:widowControl/>
        <w:shd w:val="clear" w:color="auto" w:fill="FFFFFF"/>
        <w:spacing w:line="360" w:lineRule="atLeast"/>
        <w:ind w:firstLine="440" w:firstLineChars="200"/>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3.本表格式不得修改；</w:t>
      </w:r>
    </w:p>
    <w:p>
      <w:pPr>
        <w:widowControl/>
        <w:shd w:val="clear" w:color="auto" w:fill="FFFFFF"/>
        <w:spacing w:line="360" w:lineRule="atLeast"/>
        <w:ind w:firstLine="440" w:firstLineChars="200"/>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lang w:val="en-US" w:eastAsia="zh-CN"/>
        </w:rPr>
        <w:t>4</w:t>
      </w:r>
      <w:r>
        <w:rPr>
          <w:rFonts w:hint="eastAsia" w:ascii="宋体" w:hAnsi="宋体" w:cs="宋体"/>
          <w:kern w:val="0"/>
          <w:sz w:val="22"/>
          <w:szCs w:val="22"/>
          <w:shd w:val="clear" w:color="auto" w:fill="FFFFFF"/>
        </w:rPr>
        <w:t>.投标总价和项目报价表中单个采购预算条目报价均不得超过对应的财政预算限额，否则将导致废标。</w:t>
      </w:r>
    </w:p>
    <w:p>
      <w:pPr>
        <w:widowControl/>
        <w:shd w:val="clear" w:color="auto" w:fill="FFFFFF"/>
        <w:spacing w:line="360" w:lineRule="atLeast"/>
        <w:ind w:firstLine="440" w:firstLineChars="200"/>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lang w:val="en-US" w:eastAsia="zh-CN"/>
        </w:rPr>
        <w:t>5</w:t>
      </w:r>
      <w:r>
        <w:rPr>
          <w:rFonts w:hint="eastAsia" w:ascii="宋体" w:hAnsi="宋体" w:cs="宋体"/>
          <w:kern w:val="0"/>
          <w:sz w:val="22"/>
          <w:szCs w:val="22"/>
          <w:shd w:val="clear" w:color="auto" w:fill="FFFFFF"/>
        </w:rPr>
        <w:t>.开标一览表的投标总价必须与项目报价表的投标总价一致。</w:t>
      </w:r>
    </w:p>
    <w:p>
      <w:pPr>
        <w:widowControl/>
        <w:shd w:val="clear" w:color="auto" w:fill="FFFFFF"/>
        <w:spacing w:line="360" w:lineRule="atLeast"/>
        <w:ind w:firstLine="440" w:firstLineChars="200"/>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lang w:val="en-US" w:eastAsia="zh-CN"/>
        </w:rPr>
        <w:t>6</w:t>
      </w:r>
      <w:r>
        <w:rPr>
          <w:rFonts w:hint="eastAsia" w:ascii="宋体" w:hAnsi="宋体" w:cs="宋体"/>
          <w:kern w:val="0"/>
          <w:sz w:val="22"/>
          <w:szCs w:val="22"/>
          <w:shd w:val="clear" w:color="auto" w:fill="FFFFFF"/>
        </w:rPr>
        <w:t>.“原产地”是指该产品的实际生产加工地，而非品牌总公司所在地。</w:t>
      </w:r>
    </w:p>
    <w:p>
      <w:pPr>
        <w:widowControl/>
        <w:shd w:val="clear" w:color="auto" w:fill="FFFFFF"/>
        <w:spacing w:line="360" w:lineRule="atLeast"/>
        <w:jc w:val="left"/>
        <w:rPr>
          <w:rFonts w:ascii="宋体" w:hAnsi="宋体" w:cs="宋体"/>
          <w:kern w:val="0"/>
          <w:sz w:val="22"/>
          <w:szCs w:val="22"/>
          <w:shd w:val="clear" w:color="auto" w:fill="FFFFFF"/>
        </w:rPr>
      </w:pPr>
    </w:p>
    <w:p>
      <w:pPr>
        <w:rPr>
          <w:rFonts w:ascii="宋体" w:hAnsi="宋体" w:cs="宋体"/>
          <w:sz w:val="24"/>
        </w:rPr>
      </w:pPr>
    </w:p>
    <w:p>
      <w:pPr>
        <w:keepNext/>
        <w:keepLines/>
        <w:spacing w:before="260" w:after="260"/>
        <w:jc w:val="center"/>
        <w:outlineLvl w:val="2"/>
        <w:rPr>
          <w:rFonts w:hint="eastAsia" w:ascii="宋体" w:hAnsi="宋体" w:eastAsia="宋体" w:cs="宋体"/>
          <w:b/>
          <w:sz w:val="28"/>
          <w:szCs w:val="28"/>
        </w:rPr>
      </w:pPr>
      <w:r>
        <w:rPr>
          <w:rFonts w:hint="eastAsia" w:ascii="宋体" w:hAnsi="宋体" w:eastAsia="宋体" w:cs="宋体"/>
          <w:b/>
          <w:sz w:val="28"/>
          <w:szCs w:val="28"/>
          <w:lang w:eastAsia="zh-CN"/>
        </w:rPr>
        <w:t>七</w:t>
      </w:r>
      <w:r>
        <w:rPr>
          <w:rFonts w:hint="eastAsia" w:ascii="宋体" w:hAnsi="宋体" w:eastAsia="宋体" w:cs="宋体"/>
          <w:b/>
          <w:sz w:val="28"/>
          <w:szCs w:val="28"/>
        </w:rPr>
        <w:t>、技术规格偏离表</w:t>
      </w:r>
    </w:p>
    <w:p>
      <w:pPr>
        <w:rPr>
          <w:rFonts w:ascii="宋体" w:hAnsi="宋体" w:cs="宋体"/>
          <w:sz w:val="24"/>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pStyle w:val="7"/>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356"/>
        <w:gridCol w:w="1356"/>
        <w:gridCol w:w="1356"/>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r>
              <w:rPr>
                <w:rFonts w:hint="eastAsia" w:ascii="宋体" w:hAnsi="宋体" w:cs="宋体"/>
                <w:szCs w:val="21"/>
              </w:rPr>
              <w:t>序号</w:t>
            </w:r>
          </w:p>
        </w:tc>
        <w:tc>
          <w:tcPr>
            <w:tcW w:w="1356" w:type="dxa"/>
          </w:tcPr>
          <w:p>
            <w:pPr>
              <w:rPr>
                <w:rFonts w:ascii="宋体" w:hAnsi="宋体" w:cs="宋体"/>
                <w:szCs w:val="21"/>
              </w:rPr>
            </w:pPr>
            <w:r>
              <w:rPr>
                <w:rFonts w:hint="eastAsia" w:ascii="宋体" w:hAnsi="宋体" w:cs="宋体"/>
                <w:szCs w:val="21"/>
              </w:rPr>
              <w:t>货物名称</w:t>
            </w:r>
          </w:p>
        </w:tc>
        <w:tc>
          <w:tcPr>
            <w:tcW w:w="1356" w:type="dxa"/>
          </w:tcPr>
          <w:p>
            <w:pPr>
              <w:rPr>
                <w:rFonts w:ascii="宋体" w:hAnsi="宋体" w:cs="宋体"/>
                <w:szCs w:val="21"/>
              </w:rPr>
            </w:pPr>
            <w:r>
              <w:rPr>
                <w:rFonts w:hint="eastAsia" w:ascii="宋体" w:hAnsi="宋体" w:cs="宋体"/>
                <w:szCs w:val="21"/>
              </w:rPr>
              <w:t>招标技术要求</w:t>
            </w:r>
          </w:p>
        </w:tc>
        <w:tc>
          <w:tcPr>
            <w:tcW w:w="1356" w:type="dxa"/>
          </w:tcPr>
          <w:p>
            <w:pPr>
              <w:rPr>
                <w:rFonts w:ascii="宋体" w:hAnsi="宋体" w:cs="宋体"/>
                <w:szCs w:val="21"/>
              </w:rPr>
            </w:pPr>
            <w:r>
              <w:rPr>
                <w:rFonts w:hint="eastAsia" w:ascii="宋体" w:hAnsi="宋体" w:cs="宋体"/>
                <w:szCs w:val="21"/>
              </w:rPr>
              <w:t>投标技术响应</w:t>
            </w:r>
          </w:p>
        </w:tc>
        <w:tc>
          <w:tcPr>
            <w:tcW w:w="1484" w:type="dxa"/>
          </w:tcPr>
          <w:p>
            <w:pPr>
              <w:rPr>
                <w:rFonts w:ascii="宋体" w:hAnsi="宋体" w:cs="宋体"/>
                <w:szCs w:val="21"/>
              </w:rPr>
            </w:pPr>
            <w:r>
              <w:rPr>
                <w:rFonts w:hint="eastAsia" w:ascii="宋体" w:hAnsi="宋体" w:cs="宋体"/>
                <w:szCs w:val="21"/>
              </w:rPr>
              <w:t>偏离情况</w:t>
            </w:r>
          </w:p>
        </w:tc>
        <w:tc>
          <w:tcPr>
            <w:tcW w:w="1530" w:type="dxa"/>
          </w:tcPr>
          <w:p>
            <w:pP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356" w:type="dxa"/>
          </w:tcPr>
          <w:p>
            <w:pPr>
              <w:rPr>
                <w:rFonts w:ascii="宋体" w:hAnsi="宋体" w:cs="宋体"/>
                <w:szCs w:val="21"/>
              </w:rPr>
            </w:pPr>
          </w:p>
        </w:tc>
        <w:tc>
          <w:tcPr>
            <w:tcW w:w="1484" w:type="dxa"/>
          </w:tcPr>
          <w:p>
            <w:pPr>
              <w:rPr>
                <w:rFonts w:ascii="宋体" w:hAnsi="宋体" w:cs="宋体"/>
                <w:szCs w:val="21"/>
              </w:rPr>
            </w:pPr>
          </w:p>
        </w:tc>
        <w:tc>
          <w:tcPr>
            <w:tcW w:w="1530"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rPr>
          <w:rFonts w:ascii="宋体" w:hAnsi="宋体" w:cs="宋体"/>
          <w:szCs w:val="21"/>
        </w:rPr>
      </w:pPr>
      <w:r>
        <w:rPr>
          <w:rFonts w:hint="eastAsia" w:ascii="宋体" w:hAnsi="宋体" w:cs="宋体"/>
          <w:szCs w:val="21"/>
        </w:rPr>
        <w:t>1、“招标技术要求”一栏应</w:t>
      </w:r>
      <w:r>
        <w:rPr>
          <w:rFonts w:hint="eastAsia" w:ascii="宋体" w:hAnsi="宋体" w:cs="宋体"/>
          <w:b/>
          <w:szCs w:val="21"/>
        </w:rPr>
        <w:t>填写招标文件第二章</w:t>
      </w:r>
      <w:r>
        <w:rPr>
          <w:rFonts w:hint="eastAsia" w:ascii="宋体" w:hAnsi="宋体" w:cs="宋体"/>
          <w:szCs w:val="21"/>
        </w:rPr>
        <w:t>“三、具体技术要求”的内容；</w:t>
      </w:r>
    </w:p>
    <w:p>
      <w:pPr>
        <w:rPr>
          <w:rFonts w:ascii="宋体" w:hAnsi="宋体" w:cs="宋体"/>
          <w:szCs w:val="21"/>
        </w:rPr>
      </w:pPr>
      <w:r>
        <w:rPr>
          <w:rFonts w:hint="eastAsia" w:ascii="宋体" w:hAnsi="宋体" w:cs="宋体"/>
          <w:szCs w:val="21"/>
        </w:rPr>
        <w:t>2、“投标技术响应”一栏必须详细填写投标产品的具体参数，并应对照招标技术要求一一对应响应；</w:t>
      </w:r>
    </w:p>
    <w:p>
      <w:pPr>
        <w:rPr>
          <w:rFonts w:ascii="宋体" w:hAnsi="宋体" w:cs="宋体"/>
          <w:szCs w:val="21"/>
        </w:rPr>
      </w:pPr>
      <w:r>
        <w:rPr>
          <w:rFonts w:hint="eastAsia" w:ascii="宋体" w:hAnsi="宋体" w:cs="宋体"/>
          <w:szCs w:val="21"/>
        </w:rPr>
        <w:t>3、“偏离情况”一栏应如实填写“正偏离”、“负偏离”或“无偏离”。</w:t>
      </w:r>
    </w:p>
    <w:p>
      <w:pPr>
        <w:rPr>
          <w:rFonts w:ascii="宋体" w:hAnsi="宋体" w:cs="宋体"/>
          <w:szCs w:val="21"/>
        </w:rPr>
      </w:pPr>
      <w:r>
        <w:rPr>
          <w:rFonts w:hint="eastAsia" w:ascii="宋体" w:hAnsi="宋体" w:cs="宋体"/>
          <w:szCs w:val="21"/>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rPr>
          <w:rFonts w:ascii="宋体" w:hAnsi="宋体" w:cs="宋体"/>
          <w:szCs w:val="21"/>
        </w:rPr>
      </w:pPr>
      <w:r>
        <w:rPr>
          <w:rFonts w:hint="eastAsia" w:ascii="宋体" w:hAnsi="宋体" w:cs="宋体"/>
          <w:szCs w:val="21"/>
        </w:rPr>
        <w:t>5、证明资料（均为原件扫描件）的提供要求：</w:t>
      </w:r>
    </w:p>
    <w:p>
      <w:pPr>
        <w:rPr>
          <w:rFonts w:ascii="宋体" w:hAnsi="宋体" w:cs="宋体"/>
          <w:szCs w:val="21"/>
        </w:rPr>
      </w:pPr>
      <w:r>
        <w:rPr>
          <w:rFonts w:hint="eastAsia" w:ascii="宋体" w:hAnsi="宋体" w:cs="宋体"/>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pPr>
        <w:rPr>
          <w:rFonts w:ascii="宋体" w:hAnsi="宋体" w:cs="宋体"/>
          <w:szCs w:val="21"/>
        </w:rPr>
      </w:pPr>
      <w:r>
        <w:rPr>
          <w:rFonts w:hint="eastAsia" w:ascii="宋体" w:hAnsi="宋体" w:cs="宋体"/>
          <w:szCs w:val="21"/>
        </w:rPr>
        <w:t>（2）我国政府机构出具的产品检验和核准证件应为证件正面、背面和附件标注的全部具体内容；产品检验和核准证件的尺寸和清晰度应该能够被阅读、识别和判断。未达到以上提供要求的，评标委员会有权认定为不合格响应，其相关分数予以扣减或作废标处理。</w:t>
      </w:r>
    </w:p>
    <w:p>
      <w:pPr>
        <w:rPr>
          <w:rFonts w:ascii="宋体" w:hAnsi="宋体" w:cs="宋体"/>
          <w:szCs w:val="21"/>
        </w:rPr>
      </w:pPr>
      <w:r>
        <w:rPr>
          <w:rFonts w:hint="eastAsia" w:ascii="宋体" w:hAnsi="宋体" w:cs="宋体"/>
          <w:szCs w:val="21"/>
        </w:rPr>
        <w:t>6、评标委员会有权对以谋取中标为目的的技术规格模糊响应（如有意照搬照抄招标文件的技术要求）或虚假响应予以认定，并视情况经集中采购机构报市政府采购监督管理部门予以处罚。</w:t>
      </w:r>
    </w:p>
    <w:p>
      <w:pPr>
        <w:rPr>
          <w:rFonts w:ascii="宋体" w:hAnsi="宋体" w:cs="宋体"/>
          <w:sz w:val="24"/>
        </w:rPr>
      </w:pPr>
    </w:p>
    <w:p>
      <w:pPr>
        <w:keepNext/>
        <w:keepLines/>
        <w:spacing w:before="260" w:after="260"/>
        <w:jc w:val="center"/>
        <w:outlineLvl w:val="2"/>
        <w:rPr>
          <w:rFonts w:hint="eastAsia" w:ascii="宋体" w:hAnsi="宋体" w:eastAsia="宋体" w:cs="宋体"/>
          <w:b/>
          <w:sz w:val="28"/>
          <w:szCs w:val="28"/>
          <w:lang w:eastAsia="zh-CN"/>
        </w:rPr>
      </w:pPr>
      <w:r>
        <w:rPr>
          <w:rFonts w:hint="eastAsia" w:ascii="宋体" w:hAnsi="宋体" w:eastAsia="宋体" w:cs="宋体"/>
          <w:b/>
          <w:sz w:val="28"/>
          <w:szCs w:val="28"/>
          <w:lang w:eastAsia="zh-CN"/>
        </w:rPr>
        <w:t>八、商务需求偏离表</w:t>
      </w:r>
    </w:p>
    <w:p>
      <w:pPr>
        <w:rPr>
          <w:rFonts w:ascii="宋体" w:hAnsi="宋体" w:cs="宋体"/>
          <w:b/>
          <w:szCs w:val="21"/>
        </w:rPr>
      </w:pPr>
    </w:p>
    <w:p>
      <w:pPr>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rPr>
          <w:rFonts w:ascii="宋体" w:hAnsi="宋体" w:cs="宋体"/>
          <w:szCs w:val="21"/>
        </w:rPr>
      </w:pPr>
    </w:p>
    <w:tbl>
      <w:tblPr>
        <w:tblStyle w:val="15"/>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序号</w:t>
            </w:r>
          </w:p>
        </w:tc>
        <w:tc>
          <w:tcPr>
            <w:tcW w:w="10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目录</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招标商务条款</w:t>
            </w:r>
          </w:p>
        </w:tc>
        <w:tc>
          <w:tcPr>
            <w:tcW w:w="198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响应商务条款</w:t>
            </w:r>
          </w:p>
        </w:tc>
        <w:tc>
          <w:tcPr>
            <w:tcW w:w="1440"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偏离情况</w:t>
            </w:r>
          </w:p>
        </w:tc>
        <w:tc>
          <w:tcPr>
            <w:tcW w:w="1164" w:type="dxa"/>
          </w:tcPr>
          <w:p>
            <w:pPr>
              <w:widowControl/>
              <w:shd w:val="clear" w:color="auto" w:fill="FFFFFF"/>
              <w:spacing w:line="360" w:lineRule="atLeast"/>
              <w:jc w:val="left"/>
              <w:rPr>
                <w:rFonts w:ascii="宋体" w:hAnsi="宋体" w:cs="宋体"/>
                <w:kern w:val="0"/>
                <w:sz w:val="22"/>
                <w:szCs w:val="22"/>
                <w:shd w:val="clear" w:color="auto" w:fill="FFFFFF"/>
              </w:rPr>
            </w:pPr>
            <w:r>
              <w:rPr>
                <w:rFonts w:hint="eastAsia" w:ascii="宋体" w:hAnsi="宋体" w:cs="宋体"/>
                <w:kern w:val="0"/>
                <w:sz w:val="22"/>
                <w:szCs w:val="22"/>
                <w:shd w:val="clear" w:color="auto" w:fill="FFFFFF"/>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1</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2</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r>
              <w:rPr>
                <w:rFonts w:hint="eastAsia" w:ascii="宋体" w:hAnsi="宋体" w:cs="宋体"/>
                <w:szCs w:val="21"/>
              </w:rPr>
              <w:t>……</w:t>
            </w: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宋体" w:hAnsi="宋体" w:cs="宋体"/>
                <w:szCs w:val="21"/>
              </w:rPr>
            </w:pPr>
          </w:p>
        </w:tc>
        <w:tc>
          <w:tcPr>
            <w:tcW w:w="1080" w:type="dxa"/>
          </w:tcPr>
          <w:p>
            <w:pPr>
              <w:rPr>
                <w:rFonts w:ascii="宋体" w:hAnsi="宋体" w:cs="宋体"/>
                <w:szCs w:val="21"/>
              </w:rPr>
            </w:pPr>
          </w:p>
        </w:tc>
        <w:tc>
          <w:tcPr>
            <w:tcW w:w="1980" w:type="dxa"/>
          </w:tcPr>
          <w:p>
            <w:pPr>
              <w:rPr>
                <w:rFonts w:ascii="宋体" w:hAnsi="宋体" w:cs="宋体"/>
                <w:szCs w:val="21"/>
              </w:rPr>
            </w:pPr>
          </w:p>
        </w:tc>
        <w:tc>
          <w:tcPr>
            <w:tcW w:w="1980" w:type="dxa"/>
          </w:tcPr>
          <w:p>
            <w:pPr>
              <w:rPr>
                <w:rFonts w:ascii="宋体" w:hAnsi="宋体" w:cs="宋体"/>
                <w:szCs w:val="21"/>
              </w:rPr>
            </w:pPr>
          </w:p>
        </w:tc>
        <w:tc>
          <w:tcPr>
            <w:tcW w:w="1440" w:type="dxa"/>
          </w:tcPr>
          <w:p>
            <w:pPr>
              <w:rPr>
                <w:rFonts w:ascii="宋体" w:hAnsi="宋体" w:cs="宋体"/>
                <w:szCs w:val="21"/>
              </w:rPr>
            </w:pPr>
          </w:p>
        </w:tc>
        <w:tc>
          <w:tcPr>
            <w:tcW w:w="1164" w:type="dxa"/>
          </w:tcPr>
          <w:p>
            <w:pPr>
              <w:rPr>
                <w:rFonts w:ascii="宋体" w:hAnsi="宋体" w:cs="宋体"/>
                <w:szCs w:val="21"/>
              </w:rPr>
            </w:pPr>
          </w:p>
        </w:tc>
      </w:tr>
    </w:tbl>
    <w:p>
      <w:pPr>
        <w:rPr>
          <w:rFonts w:ascii="宋体" w:hAnsi="宋体" w:cs="宋体"/>
          <w:szCs w:val="21"/>
        </w:rPr>
      </w:pPr>
      <w:r>
        <w:rPr>
          <w:rFonts w:hint="eastAsia" w:ascii="宋体" w:hAnsi="宋体" w:cs="宋体"/>
          <w:szCs w:val="21"/>
        </w:rPr>
        <w:t>备注：</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1.“商务需求”一栏必须填写采购文件第二章“商务需求”的内容分别对应的内容进行填写。</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2.“投标商务条款”一栏必须详细填写投标商务条款的内容。</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3.“偏离情况”栏中应如实填写“正偏离”、“负偏离”或“无偏离”。</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3.交货期条款为不可负偏离条款，投标文件响应为“负偏离”的，投标文件将按废标处理。</w:t>
      </w:r>
    </w:p>
    <w:p>
      <w:pPr>
        <w:widowControl/>
        <w:shd w:val="clear" w:color="auto" w:fill="FFFFFF"/>
        <w:jc w:val="left"/>
        <w:rPr>
          <w:rFonts w:ascii="微软雅黑" w:hAnsi="微软雅黑" w:eastAsia="微软雅黑" w:cs="微软雅黑"/>
          <w:szCs w:val="21"/>
        </w:rPr>
      </w:pPr>
      <w:r>
        <w:rPr>
          <w:rFonts w:hint="eastAsia" w:ascii="宋体" w:hAnsi="宋体"/>
          <w:kern w:val="0"/>
          <w:szCs w:val="21"/>
          <w:shd w:val="clear" w:color="auto" w:fill="FFFFFF"/>
        </w:rPr>
        <w:t>4.开标一览表中填写的“交货期”必须与本表填写的“交货期”一致。如填写不一致，以开标一览表填写的“交货期”为准。</w:t>
      </w:r>
    </w:p>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 </w:t>
      </w:r>
    </w:p>
    <w:p>
      <w:pPr>
        <w:rPr>
          <w:rFonts w:ascii="宋体" w:hAnsi="宋体" w:cs="宋体"/>
        </w:rPr>
      </w:pPr>
    </w:p>
    <w:p>
      <w:pPr>
        <w:keepNext/>
        <w:keepLines/>
        <w:spacing w:before="260" w:after="260"/>
        <w:jc w:val="center"/>
        <w:outlineLvl w:val="2"/>
        <w:rPr>
          <w:rFonts w:hint="eastAsia" w:ascii="宋体" w:hAnsi="宋体" w:eastAsia="宋体" w:cs="宋体"/>
          <w:b/>
          <w:sz w:val="28"/>
          <w:szCs w:val="28"/>
          <w:lang w:eastAsia="zh-CN"/>
        </w:rPr>
      </w:pPr>
      <w:r>
        <w:rPr>
          <w:rFonts w:hint="eastAsia" w:ascii="宋体" w:hAnsi="宋体" w:eastAsia="宋体" w:cs="宋体"/>
          <w:b/>
          <w:sz w:val="28"/>
          <w:szCs w:val="28"/>
          <w:lang w:eastAsia="zh-CN"/>
        </w:rPr>
        <w:t>九、技术保障措施</w:t>
      </w:r>
    </w:p>
    <w:p>
      <w:pPr>
        <w:rPr>
          <w:rFonts w:ascii="宋体" w:hAnsi="宋体" w:cs="宋体"/>
        </w:rPr>
      </w:pPr>
      <w:r>
        <w:rPr>
          <w:rFonts w:hint="eastAsia" w:ascii="宋体" w:hAnsi="宋体" w:cs="宋体"/>
        </w:rPr>
        <w:t>格式</w:t>
      </w:r>
      <w:r>
        <w:rPr>
          <w:rFonts w:ascii="宋体" w:hAnsi="宋体" w:cs="宋体"/>
        </w:rPr>
        <w:t>自</w:t>
      </w:r>
      <w:r>
        <w:rPr>
          <w:rFonts w:hint="eastAsia" w:ascii="宋体" w:hAnsi="宋体" w:cs="宋体"/>
        </w:rPr>
        <w:t>拟</w:t>
      </w:r>
      <w:r>
        <w:rPr>
          <w:rFonts w:ascii="宋体" w:hAnsi="宋体" w:cs="宋体"/>
        </w:rPr>
        <w:t>；</w:t>
      </w:r>
    </w:p>
    <w:p>
      <w:pPr>
        <w:rPr>
          <w:rFonts w:ascii="宋体" w:hAnsi="宋体" w:cs="宋体"/>
        </w:rPr>
      </w:pPr>
    </w:p>
    <w:p>
      <w:pPr>
        <w:rPr>
          <w:rFonts w:ascii="宋体" w:hAnsi="宋体" w:cs="宋体"/>
        </w:rPr>
      </w:pPr>
    </w:p>
    <w:p>
      <w:pPr>
        <w:keepNext/>
        <w:keepLines/>
        <w:spacing w:before="260" w:after="260"/>
        <w:jc w:val="center"/>
        <w:outlineLvl w:val="2"/>
        <w:rPr>
          <w:rFonts w:hint="eastAsia" w:ascii="宋体" w:hAnsi="宋体" w:eastAsia="宋体" w:cs="宋体"/>
          <w:b/>
          <w:sz w:val="28"/>
          <w:szCs w:val="28"/>
          <w:lang w:eastAsia="zh-CN"/>
        </w:rPr>
      </w:pPr>
      <w:r>
        <w:rPr>
          <w:rFonts w:hint="eastAsia" w:ascii="宋体" w:hAnsi="宋体" w:eastAsia="宋体" w:cs="宋体"/>
          <w:b/>
          <w:sz w:val="28"/>
          <w:szCs w:val="28"/>
          <w:lang w:eastAsia="zh-CN"/>
        </w:rPr>
        <w:t>十、项目实施方案</w:t>
      </w:r>
    </w:p>
    <w:p>
      <w:pPr>
        <w:rPr>
          <w:rFonts w:ascii="宋体" w:hAnsi="宋体" w:cs="宋体"/>
          <w:szCs w:val="21"/>
        </w:rPr>
      </w:pPr>
      <w:r>
        <w:rPr>
          <w:rFonts w:hint="eastAsia" w:ascii="宋体" w:hAnsi="宋体" w:cs="宋体"/>
          <w:szCs w:val="21"/>
        </w:rPr>
        <w:t>主要内容应包括(根据项目实际情况适当调整内容)：</w:t>
      </w:r>
    </w:p>
    <w:p>
      <w:pPr>
        <w:spacing w:line="360" w:lineRule="auto"/>
        <w:jc w:val="left"/>
        <w:rPr>
          <w:rFonts w:ascii="宋体" w:hAnsi="宋体"/>
          <w:szCs w:val="21"/>
        </w:rPr>
      </w:pPr>
      <w:r>
        <w:rPr>
          <w:rFonts w:hint="eastAsia" w:ascii="宋体" w:hAnsi="宋体"/>
          <w:szCs w:val="21"/>
        </w:rPr>
        <w:t>（1）供货方案；</w:t>
      </w:r>
    </w:p>
    <w:p>
      <w:pPr>
        <w:spacing w:line="360" w:lineRule="auto"/>
        <w:jc w:val="left"/>
        <w:rPr>
          <w:rFonts w:ascii="宋体" w:hAnsi="宋体"/>
          <w:szCs w:val="21"/>
        </w:rPr>
      </w:pPr>
      <w:r>
        <w:rPr>
          <w:rFonts w:hint="eastAsia" w:ascii="宋体" w:hAnsi="宋体"/>
          <w:szCs w:val="21"/>
        </w:rPr>
        <w:t>（2）施工方案；</w:t>
      </w:r>
    </w:p>
    <w:p>
      <w:pPr>
        <w:spacing w:line="360" w:lineRule="auto"/>
        <w:jc w:val="left"/>
        <w:rPr>
          <w:rFonts w:ascii="宋体" w:hAnsi="宋体"/>
          <w:szCs w:val="21"/>
        </w:rPr>
      </w:pPr>
      <w:r>
        <w:rPr>
          <w:rFonts w:hint="eastAsia" w:ascii="宋体" w:hAnsi="宋体"/>
          <w:szCs w:val="21"/>
        </w:rPr>
        <w:t>（3）质量保障措施。</w:t>
      </w:r>
    </w:p>
    <w:p>
      <w:pPr>
        <w:rPr>
          <w:rFonts w:ascii="宋体" w:hAnsi="宋体" w:cs="宋体"/>
          <w:b/>
          <w:bCs/>
          <w:szCs w:val="21"/>
        </w:rPr>
      </w:pPr>
      <w:r>
        <w:rPr>
          <w:rFonts w:hint="eastAsia" w:ascii="宋体" w:hAnsi="宋体" w:cs="宋体"/>
          <w:b/>
          <w:bCs/>
          <w:szCs w:val="21"/>
        </w:rPr>
        <w:t>（备注：该部分须与“技术保障措施”、“实施安全保障措施”、“商务需求”等部分承诺的内容相呼应，不得前后矛盾。）</w:t>
      </w:r>
    </w:p>
    <w:p>
      <w:pPr>
        <w:rPr>
          <w:rFonts w:ascii="宋体" w:hAnsi="宋体" w:cs="宋体"/>
          <w:b/>
          <w:bCs/>
          <w:sz w:val="24"/>
        </w:rPr>
      </w:pPr>
    </w:p>
    <w:p>
      <w:pPr>
        <w:keepNext/>
        <w:keepLines/>
        <w:spacing w:before="260" w:after="260"/>
        <w:jc w:val="center"/>
        <w:outlineLvl w:val="2"/>
        <w:rPr>
          <w:rFonts w:hint="eastAsia" w:ascii="宋体" w:hAnsi="宋体" w:eastAsia="宋体" w:cs="宋体"/>
          <w:b/>
          <w:sz w:val="28"/>
          <w:szCs w:val="28"/>
          <w:lang w:eastAsia="zh-CN"/>
        </w:rPr>
      </w:pPr>
      <w:r>
        <w:rPr>
          <w:rFonts w:hint="eastAsia" w:ascii="宋体" w:hAnsi="宋体" w:eastAsia="宋体" w:cs="宋体"/>
          <w:b/>
          <w:sz w:val="28"/>
          <w:szCs w:val="28"/>
          <w:lang w:eastAsia="zh-CN"/>
        </w:rPr>
        <w:t>十一、售后服务方案</w:t>
      </w:r>
    </w:p>
    <w:p>
      <w:pPr>
        <w:rPr>
          <w:rFonts w:ascii="宋体" w:hAnsi="宋体" w:cs="宋体"/>
          <w:sz w:val="24"/>
        </w:rPr>
      </w:pPr>
    </w:p>
    <w:p>
      <w:pPr>
        <w:rPr>
          <w:rFonts w:ascii="宋体" w:hAnsi="宋体" w:cs="宋体"/>
          <w:szCs w:val="21"/>
        </w:rPr>
      </w:pPr>
      <w:r>
        <w:rPr>
          <w:rFonts w:hint="eastAsia" w:ascii="宋体" w:hAnsi="宋体" w:cs="宋体"/>
          <w:szCs w:val="21"/>
        </w:rPr>
        <w:t>主要内容应包括(根据项目实际情况适当调整内容)：</w:t>
      </w:r>
    </w:p>
    <w:p>
      <w:pPr>
        <w:rPr>
          <w:rFonts w:ascii="宋体" w:hAnsi="宋体" w:cs="宋体"/>
          <w:szCs w:val="21"/>
        </w:rPr>
      </w:pPr>
      <w:r>
        <w:rPr>
          <w:rFonts w:hint="eastAsia" w:ascii="宋体" w:hAnsi="宋体" w:cs="宋体"/>
          <w:szCs w:val="21"/>
        </w:rPr>
        <w:t>（1）整体售后服务方案；</w:t>
      </w:r>
    </w:p>
    <w:p>
      <w:pPr>
        <w:rPr>
          <w:rFonts w:ascii="宋体" w:hAnsi="宋体" w:cs="宋体"/>
          <w:szCs w:val="21"/>
        </w:rPr>
      </w:pPr>
      <w:r>
        <w:rPr>
          <w:rFonts w:hint="eastAsia" w:ascii="宋体" w:hAnsi="宋体" w:cs="宋体"/>
          <w:szCs w:val="21"/>
        </w:rPr>
        <w:t>（2）维修服务队伍；</w:t>
      </w:r>
    </w:p>
    <w:p>
      <w:pPr>
        <w:rPr>
          <w:rFonts w:ascii="宋体" w:hAnsi="宋体" w:cs="宋体"/>
          <w:szCs w:val="21"/>
        </w:rPr>
      </w:pPr>
      <w:r>
        <w:rPr>
          <w:rFonts w:hint="eastAsia" w:ascii="宋体" w:hAnsi="宋体" w:cs="宋体"/>
          <w:szCs w:val="21"/>
        </w:rPr>
        <w:t>（3）维修响应时间；</w:t>
      </w:r>
    </w:p>
    <w:p>
      <w:pPr>
        <w:rPr>
          <w:rFonts w:ascii="宋体" w:hAnsi="宋体" w:cs="宋体"/>
          <w:szCs w:val="21"/>
        </w:rPr>
      </w:pPr>
      <w:r>
        <w:rPr>
          <w:rFonts w:hint="eastAsia" w:ascii="宋体" w:hAnsi="宋体" w:cs="宋体"/>
          <w:szCs w:val="21"/>
        </w:rPr>
        <w:t>（4）配件储备情况。</w:t>
      </w:r>
    </w:p>
    <w:p>
      <w:pPr>
        <w:rPr>
          <w:rFonts w:ascii="宋体" w:hAnsi="宋体" w:cs="宋体"/>
          <w:b/>
          <w:szCs w:val="21"/>
        </w:rPr>
      </w:pPr>
      <w:r>
        <w:rPr>
          <w:rFonts w:hint="eastAsia" w:ascii="宋体" w:hAnsi="宋体" w:cs="宋体"/>
          <w:b/>
          <w:szCs w:val="21"/>
        </w:rPr>
        <w:t>（备注：该部分须与“商务需求”承诺的内容相呼应，不得前后矛盾。）</w:t>
      </w:r>
    </w:p>
    <w:p>
      <w:pPr>
        <w:pStyle w:val="10"/>
        <w:ind w:firstLine="422"/>
        <w:rPr>
          <w:rFonts w:ascii="宋体" w:hAnsi="宋体" w:cs="宋体"/>
          <w:b/>
        </w:rPr>
      </w:pPr>
    </w:p>
    <w:p>
      <w:pPr>
        <w:pStyle w:val="5"/>
      </w:pPr>
    </w:p>
    <w:p>
      <w:pPr>
        <w:pStyle w:val="1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4510E"/>
    <w:multiLevelType w:val="singleLevel"/>
    <w:tmpl w:val="9394510E"/>
    <w:lvl w:ilvl="0" w:tentative="0">
      <w:start w:val="1"/>
      <w:numFmt w:val="decimal"/>
      <w:lvlText w:val="%1."/>
      <w:lvlJc w:val="left"/>
      <w:pPr>
        <w:tabs>
          <w:tab w:val="left" w:pos="312"/>
        </w:tabs>
      </w:pPr>
    </w:lvl>
  </w:abstractNum>
  <w:abstractNum w:abstractNumId="1">
    <w:nsid w:val="BBF7E168"/>
    <w:multiLevelType w:val="singleLevel"/>
    <w:tmpl w:val="BBF7E168"/>
    <w:lvl w:ilvl="0" w:tentative="0">
      <w:start w:val="1"/>
      <w:numFmt w:val="decimal"/>
      <w:lvlText w:val="%1."/>
      <w:lvlJc w:val="left"/>
      <w:pPr>
        <w:tabs>
          <w:tab w:val="left" w:pos="312"/>
        </w:tabs>
      </w:pPr>
    </w:lvl>
  </w:abstractNum>
  <w:abstractNum w:abstractNumId="2">
    <w:nsid w:val="3C85A461"/>
    <w:multiLevelType w:val="singleLevel"/>
    <w:tmpl w:val="3C85A461"/>
    <w:lvl w:ilvl="0" w:tentative="0">
      <w:start w:val="1"/>
      <w:numFmt w:val="decimal"/>
      <w:suff w:val="nothing"/>
      <w:lvlText w:val="%1、"/>
      <w:lvlJc w:val="left"/>
    </w:lvl>
  </w:abstractNum>
  <w:abstractNum w:abstractNumId="3">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25A748D"/>
    <w:multiLevelType w:val="singleLevel"/>
    <w:tmpl w:val="625A748D"/>
    <w:lvl w:ilvl="0" w:tentative="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04B56B4A"/>
    <w:rsid w:val="13256AEC"/>
    <w:rsid w:val="180D3237"/>
    <w:rsid w:val="26B82091"/>
    <w:rsid w:val="2E713E31"/>
    <w:rsid w:val="3C602787"/>
    <w:rsid w:val="411F02FE"/>
    <w:rsid w:val="4B465BD2"/>
    <w:rsid w:val="4E273257"/>
    <w:rsid w:val="52B37A56"/>
    <w:rsid w:val="565A0366"/>
    <w:rsid w:val="59E33C70"/>
    <w:rsid w:val="61DE42E5"/>
    <w:rsid w:val="62E8739E"/>
    <w:rsid w:val="6BBD7F7B"/>
    <w:rsid w:val="6EE92007"/>
    <w:rsid w:val="772174F0"/>
    <w:rsid w:val="7BBC0596"/>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autoRedefine/>
    <w:qFormat/>
    <w:uiPriority w:val="0"/>
    <w:pPr>
      <w:spacing w:before="340" w:after="330" w:line="360" w:lineRule="auto"/>
      <w:jc w:val="center"/>
      <w:outlineLvl w:val="0"/>
    </w:pPr>
    <w:rPr>
      <w:kern w:val="44"/>
      <w:sz w:val="32"/>
      <w:szCs w:val="36"/>
    </w:rPr>
  </w:style>
  <w:style w:type="paragraph" w:styleId="4">
    <w:name w:val="heading 2"/>
    <w:basedOn w:val="1"/>
    <w:next w:val="1"/>
    <w:autoRedefine/>
    <w:qFormat/>
    <w:uiPriority w:val="0"/>
    <w:pPr>
      <w:adjustRightInd w:val="0"/>
      <w:jc w:val="center"/>
      <w:textAlignment w:val="baseline"/>
      <w:outlineLvl w:val="1"/>
    </w:pPr>
    <w:rPr>
      <w:kern w:val="0"/>
      <w:szCs w:val="20"/>
    </w:rPr>
  </w:style>
  <w:style w:type="paragraph" w:styleId="3">
    <w:name w:val="heading 3"/>
    <w:basedOn w:val="1"/>
    <w:next w:val="1"/>
    <w:autoRedefine/>
    <w:qFormat/>
    <w:uiPriority w:val="0"/>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w:basedOn w:val="1"/>
    <w:next w:val="8"/>
    <w:autoRedefine/>
    <w:qFormat/>
    <w:uiPriority w:val="0"/>
    <w:pPr>
      <w:spacing w:line="360" w:lineRule="auto"/>
    </w:pPr>
    <w:rPr>
      <w:b/>
      <w:bCs/>
      <w:sz w:val="24"/>
    </w:rPr>
  </w:style>
  <w:style w:type="paragraph" w:styleId="8">
    <w:name w:val="Body Text 2"/>
    <w:basedOn w:val="1"/>
    <w:qFormat/>
    <w:uiPriority w:val="0"/>
    <w:pPr>
      <w:spacing w:line="360" w:lineRule="auto"/>
    </w:pPr>
    <w:rPr>
      <w:kern w:val="0"/>
      <w:sz w:val="24"/>
      <w:szCs w:val="24"/>
    </w:rPr>
  </w:style>
  <w:style w:type="paragraph" w:styleId="9">
    <w:name w:val="Body Text Indent"/>
    <w:basedOn w:val="1"/>
    <w:next w:val="10"/>
    <w:autoRedefine/>
    <w:qFormat/>
    <w:uiPriority w:val="0"/>
    <w:pPr>
      <w:spacing w:line="360" w:lineRule="auto"/>
      <w:ind w:firstLine="420" w:firstLineChars="200"/>
    </w:pPr>
  </w:style>
  <w:style w:type="paragraph" w:styleId="10">
    <w:name w:val="Body Text First Indent 2"/>
    <w:basedOn w:val="9"/>
    <w:autoRedefine/>
    <w:unhideWhenUsed/>
    <w:qFormat/>
    <w:uiPriority w:val="99"/>
    <w:pPr>
      <w:spacing w:after="120"/>
      <w:ind w:left="420" w:leftChars="200"/>
    </w:pPr>
    <w:rPr>
      <w:rFonts w:ascii="Calibri" w:hAnsi="Calibri"/>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qFormat/>
    <w:uiPriority w:val="0"/>
    <w:rPr>
      <w:sz w:val="24"/>
    </w:rPr>
  </w:style>
  <w:style w:type="paragraph" w:styleId="14">
    <w:name w:val="Body Text First Indent"/>
    <w:basedOn w:val="7"/>
    <w:qFormat/>
    <w:uiPriority w:val="0"/>
    <w:pPr>
      <w:ind w:firstLine="420" w:firstLineChars="100"/>
    </w:pPr>
  </w:style>
  <w:style w:type="character" w:styleId="17">
    <w:name w:val="Strong"/>
    <w:basedOn w:val="16"/>
    <w:qFormat/>
    <w:uiPriority w:val="22"/>
    <w:rPr>
      <w:b/>
      <w:bCs/>
    </w:rPr>
  </w:style>
  <w:style w:type="character" w:styleId="18">
    <w:name w:val="FollowedHyperlink"/>
    <w:basedOn w:val="16"/>
    <w:qFormat/>
    <w:uiPriority w:val="0"/>
    <w:rPr>
      <w:color w:val="954F72" w:themeColor="followedHyperlink"/>
      <w:u w:val="single"/>
      <w14:textFill>
        <w14:solidFill>
          <w14:schemeClr w14:val="folHlink"/>
        </w14:solidFill>
      </w14:textFill>
    </w:rPr>
  </w:style>
  <w:style w:type="character" w:styleId="19">
    <w:name w:val="Hyperlink"/>
    <w:unhideWhenUsed/>
    <w:qFormat/>
    <w:uiPriority w:val="99"/>
    <w:rPr>
      <w:color w:val="0000FF"/>
      <w:u w:val="single"/>
    </w:rPr>
  </w:style>
  <w:style w:type="character" w:styleId="20">
    <w:name w:val="annotation reference"/>
    <w:unhideWhenUsed/>
    <w:qFormat/>
    <w:uiPriority w:val="0"/>
    <w:rPr>
      <w:sz w:val="21"/>
      <w:szCs w:val="21"/>
    </w:rPr>
  </w:style>
  <w:style w:type="paragraph" w:customStyle="1" w:styleId="21">
    <w:name w:val="表格文字"/>
    <w:basedOn w:val="1"/>
    <w:qFormat/>
    <w:uiPriority w:val="99"/>
    <w:pPr>
      <w:spacing w:before="25" w:after="25"/>
    </w:pPr>
    <w:rPr>
      <w:spacing w:val="10"/>
      <w:sz w:val="24"/>
    </w:rPr>
  </w:style>
  <w:style w:type="character" w:customStyle="1" w:styleId="22">
    <w:name w:val="标题 3 Char"/>
    <w:qFormat/>
    <w:uiPriority w:val="0"/>
    <w:rPr>
      <w:rFonts w:ascii="黑体" w:eastAsia="黑体"/>
      <w:bCs/>
      <w:sz w:val="30"/>
    </w:rPr>
  </w:style>
  <w:style w:type="character" w:customStyle="1" w:styleId="23">
    <w:name w:val="Unresolved Mention"/>
    <w:basedOn w:val="16"/>
    <w:semiHidden/>
    <w:unhideWhenUsed/>
    <w:qFormat/>
    <w:uiPriority w:val="99"/>
    <w:rPr>
      <w:color w:val="605E5C"/>
      <w:shd w:val="clear" w:color="auto" w:fill="E1DFDD"/>
    </w:rPr>
  </w:style>
  <w:style w:type="paragraph" w:customStyle="1" w:styleId="24">
    <w:name w:val="列出段落1"/>
    <w:basedOn w:val="1"/>
    <w:qFormat/>
    <w:uiPriority w:val="34"/>
    <w:pPr>
      <w:ind w:firstLine="420" w:firstLineChars="200"/>
    </w:p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1584</Words>
  <Characters>9029</Characters>
  <Lines>75</Lines>
  <Paragraphs>21</Paragraphs>
  <TotalTime>69</TotalTime>
  <ScaleCrop>false</ScaleCrop>
  <LinksUpToDate>false</LinksUpToDate>
  <CharactersWithSpaces>10592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cp:lastPrinted>2023-10-13T03:02:00Z</cp:lastPrinted>
  <dcterms:modified xsi:type="dcterms:W3CDTF">2024-04-11T08:43:15Z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FD6E686AA8F54FA38A5CBE3EAA1F9D5D_13</vt:lpwstr>
  </property>
</Properties>
</file>