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实验室天平仪器采购项目招标文件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二三年</w:t>
      </w:r>
      <w:r>
        <w:rPr>
          <w:rFonts w:hint="eastAsia" w:ascii="黑体" w:hAnsi="华文中宋" w:eastAsia="黑体" w:cs="Arial"/>
          <w:sz w:val="32"/>
          <w:szCs w:val="32"/>
          <w:lang w:eastAsia="zh-CN"/>
        </w:rPr>
        <w:t>十二月</w:t>
      </w:r>
      <w:r>
        <w:rPr>
          <w:rFonts w:hint="eastAsia" w:ascii="宋体" w:hAnsi="宋体" w:cs="宋体"/>
          <w:sz w:val="32"/>
          <w:szCs w:val="32"/>
        </w:rPr>
        <w:br w:type="page"/>
      </w:r>
    </w:p>
    <w:p>
      <w:pPr>
        <w:pStyle w:val="2"/>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w:t>
      </w:r>
      <w:r>
        <w:rPr>
          <w:rFonts w:hint="eastAsia" w:ascii="宋体" w:hAnsi="宋体" w:cs="宋体"/>
          <w:szCs w:val="21"/>
          <w:lang w:eastAsia="zh-CN"/>
        </w:rPr>
        <w:t>实验室天平仪器</w:t>
      </w:r>
      <w:r>
        <w:rPr>
          <w:rFonts w:hint="eastAsia" w:ascii="宋体" w:hAnsi="宋体" w:cs="宋体"/>
          <w:szCs w:val="21"/>
        </w:rPr>
        <w:t xml:space="preserve">采购 </w:t>
      </w:r>
    </w:p>
    <w:p>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5"/>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5"/>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5"/>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2"/>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2"/>
              <w:widowControl/>
              <w:spacing w:line="324" w:lineRule="auto"/>
              <w:ind w:left="420"/>
              <w:rPr>
                <w:sz w:val="21"/>
                <w:szCs w:val="21"/>
              </w:rPr>
            </w:pPr>
            <w:r>
              <w:rPr>
                <w:sz w:val="21"/>
                <w:szCs w:val="21"/>
              </w:rPr>
              <w:t>投标报价得分=(评标基准价／投标报价)×100</w:t>
            </w:r>
          </w:p>
          <w:p>
            <w:pPr>
              <w:pStyle w:val="12"/>
              <w:widowControl/>
              <w:spacing w:line="324" w:lineRule="auto"/>
              <w:ind w:left="420"/>
              <w:rPr>
                <w:sz w:val="21"/>
                <w:szCs w:val="21"/>
              </w:rPr>
            </w:pPr>
            <w:r>
              <w:rPr>
                <w:sz w:val="21"/>
                <w:szCs w:val="21"/>
              </w:rPr>
              <w:t xml:space="preserve">评标总得分＝F1×A1＋F2×A2＋……＋Fn×An </w:t>
            </w:r>
          </w:p>
          <w:p>
            <w:pPr>
              <w:pStyle w:val="12"/>
              <w:widowControl/>
              <w:spacing w:line="324" w:lineRule="auto"/>
              <w:ind w:left="420"/>
              <w:rPr>
                <w:sz w:val="21"/>
                <w:szCs w:val="21"/>
              </w:rPr>
            </w:pPr>
            <w:r>
              <w:rPr>
                <w:sz w:val="21"/>
                <w:szCs w:val="21"/>
              </w:rPr>
              <w:t xml:space="preserve">F1、F2……Fn分别为各项评审因素的得分； </w:t>
            </w:r>
          </w:p>
          <w:p>
            <w:pPr>
              <w:pStyle w:val="12"/>
              <w:widowControl/>
              <w:spacing w:line="324" w:lineRule="auto"/>
              <w:ind w:left="420"/>
              <w:rPr>
                <w:sz w:val="21"/>
                <w:szCs w:val="21"/>
              </w:rPr>
            </w:pPr>
            <w:r>
              <w:rPr>
                <w:sz w:val="21"/>
                <w:szCs w:val="21"/>
              </w:rPr>
              <w:t xml:space="preserve">A1、A2、……An 分别为各项评审因素所占的权重(A1＋A2＋……＋An＝1)。 </w:t>
            </w:r>
          </w:p>
          <w:p>
            <w:pPr>
              <w:pStyle w:val="12"/>
              <w:widowControl/>
              <w:spacing w:line="324" w:lineRule="auto"/>
              <w:ind w:left="420"/>
              <w:rPr>
                <w:sz w:val="21"/>
                <w:szCs w:val="21"/>
              </w:rPr>
            </w:pPr>
            <w:r>
              <w:rPr>
                <w:sz w:val="21"/>
                <w:szCs w:val="21"/>
              </w:rPr>
              <w:t xml:space="preserve">评标过程中，不得去掉报价中的最高报价和最低报价。 </w:t>
            </w:r>
          </w:p>
          <w:p>
            <w:pPr>
              <w:pStyle w:val="12"/>
              <w:widowControl/>
              <w:spacing w:line="324" w:lineRule="auto"/>
              <w:ind w:left="420"/>
              <w:rPr>
                <w:sz w:val="21"/>
                <w:szCs w:val="21"/>
              </w:rPr>
            </w:pPr>
            <w:r>
              <w:rPr>
                <w:sz w:val="21"/>
                <w:szCs w:val="21"/>
              </w:rPr>
              <w:t>此方法适用于货物类、服务类、工程类项目。</w:t>
            </w:r>
          </w:p>
        </w:tc>
      </w:tr>
    </w:tbl>
    <w:p/>
    <w:p>
      <w:pPr>
        <w:pStyle w:val="9"/>
      </w:pPr>
    </w:p>
    <w:tbl>
      <w:tblPr>
        <w:tblStyle w:val="14"/>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28"/>
        <w:gridCol w:w="11"/>
        <w:gridCol w:w="14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33" w:type="dxa"/>
            <w:gridSpan w:val="3"/>
            <w:vAlign w:val="center"/>
          </w:tcPr>
          <w:p>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pStyle w:val="23"/>
              <w:numPr>
                <w:ilvl w:val="0"/>
                <w:numId w:val="1"/>
              </w:numPr>
              <w:ind w:left="420" w:leftChars="0" w:hanging="420" w:firstLineChars="0"/>
              <w:jc w:val="right"/>
              <w:rPr>
                <w:rFonts w:ascii="宋体" w:hAnsi="宋体" w:cs="宋体"/>
                <w:szCs w:val="21"/>
              </w:rPr>
            </w:pPr>
          </w:p>
        </w:tc>
        <w:tc>
          <w:tcPr>
            <w:tcW w:w="1433" w:type="dxa"/>
            <w:gridSpan w:val="3"/>
            <w:vAlign w:val="center"/>
          </w:tcPr>
          <w:p>
            <w:pPr>
              <w:ind w:left="-63" w:leftChars="-30" w:right="-88" w:rightChars="-42"/>
              <w:jc w:val="center"/>
              <w:rPr>
                <w:rFonts w:ascii="宋体" w:hAnsi="宋体" w:cs="宋体"/>
                <w:szCs w:val="21"/>
              </w:rPr>
            </w:pPr>
            <w:r>
              <w:rPr>
                <w:rFonts w:hint="eastAsia" w:ascii="宋体" w:hAnsi="宋体" w:eastAsia="宋体" w:cs="宋体"/>
                <w:b w:val="0"/>
                <w:bCs/>
                <w:color w:val="000000"/>
                <w:sz w:val="21"/>
                <w:szCs w:val="21"/>
                <w:lang w:val="en-US" w:eastAsia="zh-CN"/>
              </w:rPr>
              <w:t>实施</w:t>
            </w:r>
            <w:r>
              <w:rPr>
                <w:rFonts w:hint="eastAsia" w:ascii="宋体" w:hAnsi="宋体" w:eastAsia="宋体" w:cs="宋体"/>
                <w:b w:val="0"/>
                <w:bCs/>
                <w:color w:val="000000"/>
                <w:sz w:val="21"/>
                <w:szCs w:val="21"/>
              </w:rPr>
              <w:t>方案</w:t>
            </w:r>
          </w:p>
        </w:tc>
        <w:tc>
          <w:tcPr>
            <w:tcW w:w="1420" w:type="dxa"/>
            <w:vAlign w:val="center"/>
          </w:tcPr>
          <w:p>
            <w:pPr>
              <w:ind w:left="-78" w:leftChars="-37" w:right="-73" w:rightChars="-35"/>
              <w:jc w:val="center"/>
              <w:rPr>
                <w:rFonts w:hint="default" w:ascii="宋体" w:hAnsi="宋体" w:cs="宋体"/>
                <w:szCs w:val="21"/>
                <w:lang w:val="en-US"/>
              </w:rPr>
            </w:pPr>
            <w:r>
              <w:rPr>
                <w:rFonts w:hint="eastAsia" w:ascii="宋体" w:hAnsi="宋体"/>
                <w:color w:val="auto"/>
                <w:szCs w:val="21"/>
                <w:highlight w:val="none"/>
                <w:lang w:val="en-US" w:eastAsia="zh-CN"/>
              </w:rPr>
              <w:t>13</w:t>
            </w:r>
          </w:p>
        </w:tc>
        <w:tc>
          <w:tcPr>
            <w:tcW w:w="4678" w:type="dxa"/>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rPr>
                <w:highlight w:val="none"/>
              </w:rPr>
            </w:pPr>
            <w:r>
              <w:rPr>
                <w:highlight w:val="none"/>
              </w:rPr>
              <w:t>根据供应商对项目</w:t>
            </w:r>
            <w:r>
              <w:rPr>
                <w:rFonts w:hint="eastAsia" w:asciiTheme="minorHAnsi" w:eastAsiaTheme="minorEastAsia"/>
                <w:highlight w:val="none"/>
                <w:lang w:val="en-US" w:eastAsia="zh-CN"/>
              </w:rPr>
              <w:t>的</w:t>
            </w:r>
            <w:r>
              <w:rPr>
                <w:highlight w:val="none"/>
              </w:rPr>
              <w:t xml:space="preserve">实施计划、实施保障、进度安排、时间点控制等方案的可行性、可控性进行综合评审： </w:t>
            </w:r>
          </w:p>
          <w:p>
            <w:pPr>
              <w:keepNext w:val="0"/>
              <w:keepLines w:val="0"/>
              <w:pageBreakBefore w:val="0"/>
              <w:kinsoku/>
              <w:wordWrap/>
              <w:overflowPunct/>
              <w:topLinePunct w:val="0"/>
              <w:autoSpaceDE/>
              <w:autoSpaceDN/>
              <w:bidi w:val="0"/>
              <w:spacing w:line="240" w:lineRule="auto"/>
              <w:ind w:left="0" w:leftChars="0" w:right="0" w:rightChars="0" w:firstLine="0" w:firstLineChars="0"/>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1、针对</w:t>
            </w:r>
            <w:r>
              <w:rPr>
                <w:rFonts w:hint="eastAsia" w:ascii="宋体" w:hAnsi="宋体" w:eastAsia="宋体" w:cs="宋体"/>
                <w:b w:val="0"/>
                <w:bCs/>
                <w:color w:val="000000"/>
                <w:sz w:val="21"/>
                <w:szCs w:val="21"/>
                <w:lang w:val="en-US" w:eastAsia="zh-CN"/>
              </w:rPr>
              <w:t>项目</w:t>
            </w:r>
            <w:r>
              <w:rPr>
                <w:rFonts w:hint="eastAsia" w:ascii="宋体" w:hAnsi="宋体" w:eastAsia="宋体" w:cs="宋体"/>
                <w:b w:val="0"/>
                <w:bCs/>
                <w:color w:val="000000"/>
                <w:sz w:val="21"/>
                <w:szCs w:val="21"/>
              </w:rPr>
              <w:t>内容进行详尽分析、能客观、准确地编制</w:t>
            </w:r>
            <w:r>
              <w:rPr>
                <w:rFonts w:hint="eastAsia" w:ascii="宋体" w:hAnsi="宋体" w:eastAsia="宋体" w:cs="宋体"/>
                <w:b w:val="0"/>
                <w:bCs/>
                <w:color w:val="000000"/>
                <w:sz w:val="21"/>
                <w:szCs w:val="21"/>
                <w:lang w:val="en-US" w:eastAsia="zh-CN"/>
              </w:rPr>
              <w:t>项目</w:t>
            </w:r>
            <w:r>
              <w:rPr>
                <w:rFonts w:hint="eastAsia" w:ascii="宋体" w:hAnsi="宋体" w:eastAsia="宋体" w:cs="宋体"/>
                <w:b w:val="0"/>
                <w:bCs/>
                <w:color w:val="000000"/>
                <w:sz w:val="21"/>
                <w:szCs w:val="21"/>
              </w:rPr>
              <w:t>关键点，实施内容编制完整、思路清晰无遗漏，对</w:t>
            </w:r>
            <w:r>
              <w:rPr>
                <w:rFonts w:hint="eastAsia" w:ascii="宋体" w:hAnsi="宋体" w:eastAsia="宋体" w:cs="宋体"/>
                <w:b w:val="0"/>
                <w:bCs/>
                <w:color w:val="000000"/>
                <w:sz w:val="21"/>
                <w:szCs w:val="21"/>
                <w:lang w:val="en-US" w:eastAsia="zh-CN"/>
              </w:rPr>
              <w:t>实施内容</w:t>
            </w:r>
            <w:r>
              <w:rPr>
                <w:rFonts w:hint="eastAsia" w:ascii="宋体" w:hAnsi="宋体" w:eastAsia="宋体" w:cs="宋体"/>
                <w:b w:val="0"/>
                <w:bCs/>
                <w:color w:val="000000"/>
                <w:sz w:val="21"/>
                <w:szCs w:val="21"/>
              </w:rPr>
              <w:t>有优化及合理建议，方案内容逻辑清晰，有详细的步骤操作界面，交互功能满足要求</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得</w:t>
            </w:r>
            <w:r>
              <w:rPr>
                <w:rFonts w:hint="eastAsia" w:ascii="宋体" w:hAnsi="宋体" w:eastAsia="宋体" w:cs="宋体"/>
                <w:b w:val="0"/>
                <w:bCs/>
                <w:color w:val="000000"/>
                <w:sz w:val="21"/>
                <w:szCs w:val="21"/>
                <w:lang w:val="en-US" w:eastAsia="zh-CN"/>
              </w:rPr>
              <w:t>13</w:t>
            </w:r>
            <w:r>
              <w:rPr>
                <w:rFonts w:hint="eastAsia" w:ascii="宋体" w:hAnsi="宋体" w:eastAsia="宋体" w:cs="宋体"/>
                <w:b w:val="0"/>
                <w:bCs/>
                <w:color w:val="000000"/>
                <w:sz w:val="21"/>
                <w:szCs w:val="21"/>
              </w:rPr>
              <w:t>分</w:t>
            </w:r>
            <w:r>
              <w:rPr>
                <w:rFonts w:hint="eastAsia" w:ascii="宋体" w:hAnsi="宋体" w:eastAsia="宋体" w:cs="宋体"/>
                <w:b w:val="0"/>
                <w:bCs/>
                <w:color w:val="000000"/>
                <w:sz w:val="21"/>
                <w:szCs w:val="21"/>
                <w:lang w:eastAsia="zh-CN"/>
              </w:rPr>
              <w:t>；</w:t>
            </w:r>
          </w:p>
          <w:p>
            <w:pPr>
              <w:keepNext w:val="0"/>
              <w:keepLines w:val="0"/>
              <w:pageBreakBefore w:val="0"/>
              <w:kinsoku/>
              <w:wordWrap/>
              <w:overflowPunct/>
              <w:topLinePunct w:val="0"/>
              <w:autoSpaceDE/>
              <w:autoSpaceDN/>
              <w:bidi w:val="0"/>
              <w:spacing w:line="240" w:lineRule="auto"/>
              <w:ind w:left="0" w:leftChars="0" w:right="0" w:rightChars="0" w:firstLine="0" w:firstLineChars="0"/>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2、针对</w:t>
            </w:r>
            <w:r>
              <w:rPr>
                <w:rFonts w:hint="eastAsia" w:ascii="宋体" w:hAnsi="宋体" w:eastAsia="宋体" w:cs="宋体"/>
                <w:b w:val="0"/>
                <w:bCs/>
                <w:color w:val="000000"/>
                <w:sz w:val="21"/>
                <w:szCs w:val="21"/>
                <w:lang w:val="en-US" w:eastAsia="zh-CN"/>
              </w:rPr>
              <w:t>项目</w:t>
            </w:r>
            <w:r>
              <w:rPr>
                <w:rFonts w:hint="eastAsia" w:ascii="宋体" w:hAnsi="宋体" w:eastAsia="宋体" w:cs="宋体"/>
                <w:b w:val="0"/>
                <w:bCs/>
                <w:color w:val="000000"/>
                <w:sz w:val="21"/>
                <w:szCs w:val="21"/>
              </w:rPr>
              <w:t>内容进行基本分析、实施计划针对性良好，实施方案内容编制良好、思路比较清晰，交互功能满足要求</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得</w:t>
            </w:r>
            <w:r>
              <w:rPr>
                <w:rFonts w:hint="eastAsia" w:ascii="宋体" w:hAnsi="宋体" w:eastAsia="宋体" w:cs="宋体"/>
                <w:b w:val="0"/>
                <w:bCs/>
                <w:color w:val="000000"/>
                <w:sz w:val="21"/>
                <w:szCs w:val="21"/>
                <w:lang w:val="en-US" w:eastAsia="zh-CN"/>
              </w:rPr>
              <w:t>8</w:t>
            </w:r>
            <w:r>
              <w:rPr>
                <w:rFonts w:hint="eastAsia" w:ascii="宋体" w:hAnsi="宋体" w:eastAsia="宋体" w:cs="宋体"/>
                <w:b w:val="0"/>
                <w:bCs/>
                <w:color w:val="000000"/>
                <w:sz w:val="21"/>
                <w:szCs w:val="21"/>
              </w:rPr>
              <w:t>分</w:t>
            </w:r>
            <w:r>
              <w:rPr>
                <w:rFonts w:hint="eastAsia" w:ascii="宋体" w:hAnsi="宋体" w:eastAsia="宋体" w:cs="宋体"/>
                <w:b w:val="0"/>
                <w:bCs/>
                <w:color w:val="000000"/>
                <w:sz w:val="21"/>
                <w:szCs w:val="21"/>
                <w:lang w:eastAsia="zh-CN"/>
              </w:rPr>
              <w:t>；</w:t>
            </w:r>
          </w:p>
          <w:p>
            <w:pPr>
              <w:keepNext w:val="0"/>
              <w:keepLines w:val="0"/>
              <w:pageBreakBefore w:val="0"/>
              <w:kinsoku/>
              <w:wordWrap/>
              <w:overflowPunct/>
              <w:topLinePunct w:val="0"/>
              <w:autoSpaceDE/>
              <w:autoSpaceDN/>
              <w:bidi w:val="0"/>
              <w:spacing w:line="240" w:lineRule="auto"/>
              <w:ind w:left="0" w:leftChars="0" w:right="0" w:rightChars="0" w:firstLine="0" w:firstLineChars="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3、针对</w:t>
            </w:r>
            <w:r>
              <w:rPr>
                <w:rFonts w:hint="eastAsia" w:ascii="宋体" w:hAnsi="宋体" w:eastAsia="宋体" w:cs="宋体"/>
                <w:b w:val="0"/>
                <w:bCs/>
                <w:color w:val="000000"/>
                <w:sz w:val="21"/>
                <w:szCs w:val="21"/>
                <w:lang w:val="en-US" w:eastAsia="zh-CN"/>
              </w:rPr>
              <w:t>项目</w:t>
            </w:r>
            <w:r>
              <w:rPr>
                <w:rFonts w:hint="eastAsia" w:ascii="宋体" w:hAnsi="宋体" w:eastAsia="宋体" w:cs="宋体"/>
                <w:b w:val="0"/>
                <w:bCs/>
                <w:color w:val="000000"/>
                <w:sz w:val="21"/>
                <w:szCs w:val="21"/>
              </w:rPr>
              <w:t>内容进行较简单、实施计划针对性一般，实施方案内容编制一般、思路符合逻辑</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得</w:t>
            </w:r>
            <w:r>
              <w:rPr>
                <w:rFonts w:hint="eastAsia" w:ascii="宋体" w:hAnsi="宋体" w:eastAsia="宋体" w:cs="宋体"/>
                <w:b w:val="0"/>
                <w:bCs/>
                <w:color w:val="000000"/>
                <w:sz w:val="21"/>
                <w:szCs w:val="21"/>
                <w:lang w:val="en-US" w:eastAsia="zh-CN"/>
              </w:rPr>
              <w:t>4分；</w:t>
            </w:r>
          </w:p>
          <w:p>
            <w:pPr>
              <w:keepNext w:val="0"/>
              <w:keepLines w:val="0"/>
              <w:pageBreakBefore w:val="0"/>
              <w:kinsoku/>
              <w:wordWrap/>
              <w:overflowPunct/>
              <w:topLinePunct w:val="0"/>
              <w:autoSpaceDE/>
              <w:autoSpaceDN/>
              <w:bidi w:val="0"/>
              <w:spacing w:line="240" w:lineRule="auto"/>
              <w:ind w:left="0" w:leftChars="0" w:right="0" w:rightChars="0" w:firstLine="0" w:firstLineChars="0"/>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、针对</w:t>
            </w:r>
            <w:r>
              <w:rPr>
                <w:rFonts w:hint="eastAsia" w:ascii="宋体" w:hAnsi="宋体" w:eastAsia="宋体" w:cs="宋体"/>
                <w:b w:val="0"/>
                <w:bCs/>
                <w:color w:val="000000"/>
                <w:sz w:val="21"/>
                <w:szCs w:val="21"/>
                <w:lang w:val="en-US" w:eastAsia="zh-CN"/>
              </w:rPr>
              <w:t>项目</w:t>
            </w:r>
            <w:r>
              <w:rPr>
                <w:rFonts w:hint="eastAsia" w:ascii="宋体" w:hAnsi="宋体" w:eastAsia="宋体" w:cs="宋体"/>
                <w:b w:val="0"/>
                <w:bCs/>
                <w:color w:val="000000"/>
                <w:sz w:val="21"/>
                <w:szCs w:val="21"/>
              </w:rPr>
              <w:t>内容进行较简单、实施计划针对性</w:t>
            </w:r>
            <w:r>
              <w:rPr>
                <w:rFonts w:hint="eastAsia" w:ascii="宋体" w:hAnsi="宋体" w:eastAsia="宋体" w:cs="宋体"/>
                <w:b w:val="0"/>
                <w:bCs/>
                <w:color w:val="000000"/>
                <w:sz w:val="21"/>
                <w:szCs w:val="21"/>
                <w:lang w:val="en-US" w:eastAsia="zh-CN"/>
              </w:rPr>
              <w:t>较差</w:t>
            </w:r>
            <w:r>
              <w:rPr>
                <w:rFonts w:hint="eastAsia" w:ascii="宋体" w:hAnsi="宋体" w:eastAsia="宋体" w:cs="宋体"/>
                <w:b w:val="0"/>
                <w:bCs/>
                <w:color w:val="000000"/>
                <w:sz w:val="21"/>
                <w:szCs w:val="21"/>
              </w:rPr>
              <w:t>，实施方案内容编制</w:t>
            </w:r>
            <w:r>
              <w:rPr>
                <w:rFonts w:hint="eastAsia" w:ascii="宋体" w:hAnsi="宋体" w:eastAsia="宋体" w:cs="宋体"/>
                <w:b w:val="0"/>
                <w:bCs/>
                <w:color w:val="000000"/>
                <w:sz w:val="21"/>
                <w:szCs w:val="21"/>
                <w:lang w:val="en-US" w:eastAsia="zh-CN"/>
              </w:rPr>
              <w:t>较差</w:t>
            </w:r>
            <w:r>
              <w:rPr>
                <w:rFonts w:hint="eastAsia" w:ascii="宋体" w:hAnsi="宋体" w:eastAsia="宋体" w:cs="宋体"/>
                <w:b w:val="0"/>
                <w:bCs/>
                <w:color w:val="000000"/>
                <w:sz w:val="21"/>
                <w:szCs w:val="21"/>
              </w:rPr>
              <w:t>、思路</w:t>
            </w:r>
            <w:r>
              <w:rPr>
                <w:rFonts w:hint="eastAsia" w:ascii="宋体" w:hAnsi="宋体" w:eastAsia="宋体" w:cs="宋体"/>
                <w:b w:val="0"/>
                <w:bCs/>
                <w:color w:val="000000"/>
                <w:sz w:val="21"/>
                <w:szCs w:val="21"/>
                <w:lang w:val="en-US" w:eastAsia="zh-CN"/>
              </w:rPr>
              <w:t>不太</w:t>
            </w:r>
            <w:r>
              <w:rPr>
                <w:rFonts w:hint="eastAsia" w:ascii="宋体" w:hAnsi="宋体" w:eastAsia="宋体" w:cs="宋体"/>
                <w:b w:val="0"/>
                <w:bCs/>
                <w:color w:val="000000"/>
                <w:sz w:val="21"/>
                <w:szCs w:val="21"/>
              </w:rPr>
              <w:t>符合逻辑</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得</w:t>
            </w:r>
            <w:r>
              <w:rPr>
                <w:rFonts w:hint="eastAsia" w:ascii="宋体" w:hAnsi="宋体" w:eastAsia="宋体" w:cs="宋体"/>
                <w:b w:val="0"/>
                <w:bCs/>
                <w:color w:val="000000"/>
                <w:sz w:val="21"/>
                <w:szCs w:val="21"/>
                <w:lang w:val="en-US" w:eastAsia="zh-CN"/>
              </w:rPr>
              <w:t>1分；</w:t>
            </w:r>
          </w:p>
          <w:p>
            <w:pPr>
              <w:ind w:left="-63" w:leftChars="-30" w:right="-88" w:rightChars="-42"/>
              <w:jc w:val="left"/>
              <w:rPr>
                <w:rFonts w:ascii="宋体" w:hAnsi="宋体" w:cs="宋体"/>
                <w:szCs w:val="21"/>
              </w:rPr>
            </w:pPr>
            <w:r>
              <w:rPr>
                <w:rFonts w:hint="eastAsia" w:ascii="宋体" w:hAnsi="宋体" w:eastAsia="宋体" w:cs="宋体"/>
                <w:b w:val="0"/>
                <w:bCs/>
                <w:color w:val="000000"/>
                <w:sz w:val="21"/>
                <w:szCs w:val="21"/>
                <w:lang w:val="en-US" w:eastAsia="zh-CN"/>
              </w:rPr>
              <w:t>5</w:t>
            </w:r>
            <w:r>
              <w:rPr>
                <w:rFonts w:hint="eastAsia" w:ascii="宋体" w:hAnsi="宋体" w:eastAsia="宋体" w:cs="宋体"/>
                <w:b w:val="0"/>
                <w:bCs/>
                <w:color w:val="000000"/>
                <w:sz w:val="21"/>
                <w:szCs w:val="21"/>
              </w:rPr>
              <w:t>、此项未提供不得分。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pStyle w:val="23"/>
              <w:numPr>
                <w:ilvl w:val="0"/>
                <w:numId w:val="1"/>
              </w:numPr>
              <w:ind w:left="420" w:leftChars="0" w:hanging="420" w:firstLineChars="0"/>
              <w:jc w:val="right"/>
              <w:rPr>
                <w:rFonts w:hint="eastAsia" w:ascii="宋体" w:hAnsi="宋体" w:cs="宋体"/>
                <w:szCs w:val="21"/>
              </w:rPr>
            </w:pPr>
          </w:p>
        </w:tc>
        <w:tc>
          <w:tcPr>
            <w:tcW w:w="1433" w:type="dxa"/>
            <w:gridSpan w:val="3"/>
            <w:vAlign w:val="center"/>
          </w:tcPr>
          <w:p>
            <w:pPr>
              <w:jc w:val="center"/>
              <w:rPr>
                <w:rFonts w:hint="eastAsia" w:ascii="宋体" w:hAnsi="宋体" w:cs="宋体"/>
                <w:kern w:val="0"/>
                <w:szCs w:val="21"/>
              </w:rPr>
            </w:pPr>
            <w:r>
              <w:rPr>
                <w:rFonts w:hint="eastAsia" w:ascii="宋体" w:hAnsi="宋体" w:eastAsia="宋体" w:cs="宋体"/>
                <w:b w:val="0"/>
                <w:bCs/>
                <w:color w:val="000000"/>
                <w:sz w:val="21"/>
                <w:szCs w:val="21"/>
                <w:highlight w:val="none"/>
              </w:rPr>
              <w:t>培训方案</w:t>
            </w:r>
          </w:p>
        </w:tc>
        <w:tc>
          <w:tcPr>
            <w:tcW w:w="1420" w:type="dxa"/>
            <w:vAlign w:val="center"/>
          </w:tcPr>
          <w:p>
            <w:pPr>
              <w:ind w:left="-78" w:leftChars="-37" w:right="-73" w:rightChars="-35"/>
              <w:jc w:val="center"/>
              <w:rPr>
                <w:rFonts w:ascii="宋体" w:hAnsi="宋体" w:cs="宋体"/>
                <w:szCs w:val="21"/>
              </w:rPr>
            </w:pPr>
            <w:r>
              <w:rPr>
                <w:rFonts w:hint="eastAsia" w:ascii="宋体" w:hAnsi="宋体"/>
                <w:color w:val="auto"/>
                <w:szCs w:val="21"/>
                <w:highlight w:val="none"/>
                <w:lang w:val="en-US" w:eastAsia="zh-CN"/>
              </w:rPr>
              <w:t>10</w:t>
            </w:r>
          </w:p>
        </w:tc>
        <w:tc>
          <w:tcPr>
            <w:tcW w:w="4678" w:type="dxa"/>
            <w:vAlign w:val="center"/>
          </w:tcPr>
          <w:p>
            <w:pPr>
              <w:jc w:val="both"/>
              <w:rPr>
                <w:highlight w:val="none"/>
              </w:rPr>
            </w:pPr>
            <w:r>
              <w:rPr>
                <w:highlight w:val="none"/>
              </w:rPr>
              <w:t>根据供应商提供的培训方案</w:t>
            </w:r>
            <w:r>
              <w:rPr>
                <w:rFonts w:hint="eastAsia" w:eastAsiaTheme="minorEastAsia"/>
                <w:highlight w:val="none"/>
                <w:lang w:eastAsia="zh-CN"/>
              </w:rPr>
              <w:t>，</w:t>
            </w:r>
            <w:r>
              <w:rPr>
                <w:rFonts w:hint="eastAsia" w:ascii="宋体" w:hAnsi="宋体" w:eastAsia="宋体" w:cs="宋体"/>
                <w:b w:val="0"/>
                <w:bCs/>
                <w:color w:val="000000"/>
                <w:sz w:val="21"/>
                <w:szCs w:val="21"/>
              </w:rPr>
              <w:t>内容包含</w:t>
            </w:r>
            <w:r>
              <w:rPr>
                <w:rFonts w:hint="eastAsia" w:ascii="宋体" w:hAnsi="宋体" w:eastAsia="宋体" w:cs="宋体"/>
                <w:b w:val="0"/>
                <w:bCs/>
                <w:color w:val="000000"/>
                <w:sz w:val="21"/>
                <w:szCs w:val="21"/>
                <w:lang w:val="en-US" w:eastAsia="zh-CN"/>
              </w:rPr>
              <w:t>设备的</w:t>
            </w:r>
            <w:r>
              <w:rPr>
                <w:rFonts w:hint="eastAsia" w:ascii="宋体" w:hAnsi="宋体" w:eastAsia="宋体" w:cs="宋体"/>
                <w:b w:val="0"/>
                <w:bCs/>
                <w:color w:val="000000"/>
                <w:sz w:val="21"/>
                <w:szCs w:val="21"/>
              </w:rPr>
              <w:t>使用操作培训、培训时间、培训目标等，理论培训和技能培训安排合理</w:t>
            </w:r>
            <w:r>
              <w:rPr>
                <w:rFonts w:hint="eastAsia" w:ascii="宋体" w:hAnsi="宋体" w:eastAsia="宋体" w:cs="宋体"/>
                <w:b w:val="0"/>
                <w:bCs/>
                <w:color w:val="000000"/>
                <w:sz w:val="21"/>
                <w:szCs w:val="21"/>
                <w:lang w:val="en-US" w:eastAsia="zh-CN"/>
              </w:rPr>
              <w:t>等</w:t>
            </w:r>
            <w:r>
              <w:rPr>
                <w:highlight w:val="none"/>
              </w:rPr>
              <w:t xml:space="preserve">进行综合评分。  </w:t>
            </w:r>
          </w:p>
          <w:p>
            <w:pPr>
              <w:numPr>
                <w:ilvl w:val="0"/>
                <w:numId w:val="0"/>
              </w:numPr>
              <w:jc w:val="both"/>
              <w:rPr>
                <w:highlight w:val="none"/>
              </w:rPr>
            </w:pP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color w:val="000000"/>
                <w:sz w:val="21"/>
                <w:szCs w:val="21"/>
              </w:rPr>
              <w:t>培训方案内容详尽、编制完整、思路清晰无遗漏</w:t>
            </w:r>
            <w:r>
              <w:rPr>
                <w:highlight w:val="none"/>
              </w:rPr>
              <w:t>，得</w:t>
            </w:r>
            <w:r>
              <w:rPr>
                <w:rFonts w:hint="eastAsia"/>
                <w:highlight w:val="none"/>
                <w:lang w:val="en-US" w:eastAsia="zh-CN"/>
              </w:rPr>
              <w:t>10</w:t>
            </w:r>
            <w:r>
              <w:rPr>
                <w:highlight w:val="none"/>
              </w:rPr>
              <w:t xml:space="preserve">分；  </w:t>
            </w:r>
          </w:p>
          <w:p>
            <w:pPr>
              <w:numPr>
                <w:ilvl w:val="0"/>
                <w:numId w:val="0"/>
              </w:numPr>
              <w:jc w:val="both"/>
              <w:rPr>
                <w:rFonts w:hint="eastAsia" w:ascii="宋体" w:hAnsi="宋体" w:eastAsia="宋体" w:cs="宋体"/>
                <w:b w:val="0"/>
                <w:bCs/>
                <w:color w:val="000000"/>
                <w:sz w:val="21"/>
                <w:szCs w:val="21"/>
                <w:highlight w:val="none"/>
              </w:rPr>
            </w:pPr>
            <w:r>
              <w:rPr>
                <w:rFonts w:hint="eastAsia" w:asciiTheme="minorHAnsi" w:eastAsiaTheme="minorEastAsia"/>
                <w:highlight w:val="none"/>
                <w:lang w:val="en-US" w:eastAsia="zh-CN"/>
              </w:rPr>
              <w:t>2</w:t>
            </w:r>
            <w:r>
              <w:rPr>
                <w:highlight w:val="none"/>
              </w:rPr>
              <w:t>、</w:t>
            </w:r>
            <w:r>
              <w:rPr>
                <w:rFonts w:hint="eastAsia" w:ascii="宋体" w:hAnsi="宋体" w:eastAsia="宋体" w:cs="宋体"/>
                <w:b w:val="0"/>
                <w:bCs/>
                <w:color w:val="000000"/>
                <w:sz w:val="21"/>
                <w:szCs w:val="21"/>
              </w:rPr>
              <w:t>培训方案内容较详尽、编制较完整、思路较清晰</w:t>
            </w:r>
            <w:r>
              <w:rPr>
                <w:highlight w:val="none"/>
              </w:rPr>
              <w:t>，得</w:t>
            </w:r>
            <w:r>
              <w:rPr>
                <w:rFonts w:hint="eastAsia"/>
                <w:highlight w:val="none"/>
                <w:lang w:val="en-US" w:eastAsia="zh-CN"/>
              </w:rPr>
              <w:t>6</w:t>
            </w:r>
            <w:r>
              <w:rPr>
                <w:highlight w:val="none"/>
              </w:rPr>
              <w:t xml:space="preserve">分；  </w:t>
            </w:r>
          </w:p>
          <w:p>
            <w:pPr>
              <w:numPr>
                <w:ilvl w:val="0"/>
                <w:numId w:val="0"/>
              </w:numPr>
              <w:jc w:val="both"/>
              <w:rPr>
                <w:highlight w:val="none"/>
              </w:rPr>
            </w:pPr>
            <w:r>
              <w:rPr>
                <w:highlight w:val="none"/>
              </w:rPr>
              <w:t>3、</w:t>
            </w:r>
            <w:r>
              <w:rPr>
                <w:rFonts w:hint="eastAsia" w:ascii="宋体" w:hAnsi="宋体" w:eastAsia="宋体" w:cs="宋体"/>
                <w:b w:val="0"/>
                <w:bCs/>
                <w:color w:val="000000"/>
                <w:sz w:val="21"/>
                <w:szCs w:val="21"/>
              </w:rPr>
              <w:t>培训方案内容较简单、思路符合逻辑</w:t>
            </w:r>
            <w:r>
              <w:rPr>
                <w:highlight w:val="none"/>
              </w:rPr>
              <w:t>，得</w:t>
            </w:r>
            <w:r>
              <w:rPr>
                <w:rFonts w:hint="eastAsia"/>
                <w:highlight w:val="none"/>
                <w:lang w:val="en-US" w:eastAsia="zh-CN"/>
              </w:rPr>
              <w:t>3</w:t>
            </w:r>
            <w:r>
              <w:rPr>
                <w:highlight w:val="none"/>
              </w:rPr>
              <w:t xml:space="preserve">分； </w:t>
            </w:r>
          </w:p>
          <w:p>
            <w:pPr>
              <w:numPr>
                <w:ilvl w:val="0"/>
                <w:numId w:val="0"/>
              </w:numPr>
              <w:jc w:val="both"/>
              <w:rPr>
                <w:rFonts w:hint="eastAsia" w:eastAsiaTheme="minorEastAsia"/>
                <w:highlight w:val="none"/>
                <w:lang w:val="en-US" w:eastAsia="zh-CN"/>
              </w:rPr>
            </w:pPr>
            <w:r>
              <w:rPr>
                <w:rFonts w:hint="eastAsia"/>
                <w:highlight w:val="none"/>
                <w:lang w:val="en-US" w:eastAsia="zh-CN"/>
              </w:rPr>
              <w:t>4、</w:t>
            </w:r>
            <w:r>
              <w:rPr>
                <w:rFonts w:hint="eastAsia" w:ascii="宋体" w:hAnsi="宋体" w:eastAsia="宋体" w:cs="宋体"/>
                <w:b w:val="0"/>
                <w:bCs/>
                <w:color w:val="000000"/>
                <w:sz w:val="21"/>
                <w:szCs w:val="21"/>
              </w:rPr>
              <w:t>培训方案内容</w:t>
            </w:r>
            <w:r>
              <w:rPr>
                <w:rFonts w:hint="eastAsia" w:ascii="宋体" w:hAnsi="宋体" w:eastAsia="宋体" w:cs="宋体"/>
                <w:b w:val="0"/>
                <w:bCs/>
                <w:color w:val="000000"/>
                <w:sz w:val="21"/>
                <w:szCs w:val="21"/>
                <w:lang w:val="en-US" w:eastAsia="zh-CN"/>
              </w:rPr>
              <w:t>过于</w:t>
            </w:r>
            <w:r>
              <w:rPr>
                <w:rFonts w:hint="eastAsia" w:ascii="宋体" w:hAnsi="宋体" w:eastAsia="宋体" w:cs="宋体"/>
                <w:b w:val="0"/>
                <w:bCs/>
                <w:color w:val="000000"/>
                <w:sz w:val="21"/>
                <w:szCs w:val="21"/>
              </w:rPr>
              <w:t>简单、思路</w:t>
            </w:r>
            <w:r>
              <w:rPr>
                <w:rFonts w:hint="eastAsia" w:ascii="宋体" w:hAnsi="宋体" w:eastAsia="宋体" w:cs="宋体"/>
                <w:b w:val="0"/>
                <w:bCs/>
                <w:color w:val="000000"/>
                <w:sz w:val="21"/>
                <w:szCs w:val="21"/>
                <w:lang w:val="en-US" w:eastAsia="zh-CN"/>
              </w:rPr>
              <w:t>不太</w:t>
            </w:r>
            <w:r>
              <w:rPr>
                <w:rFonts w:hint="eastAsia" w:ascii="宋体" w:hAnsi="宋体" w:eastAsia="宋体" w:cs="宋体"/>
                <w:b w:val="0"/>
                <w:bCs/>
                <w:color w:val="000000"/>
                <w:sz w:val="21"/>
                <w:szCs w:val="21"/>
              </w:rPr>
              <w:t>符合逻辑</w:t>
            </w:r>
            <w:r>
              <w:rPr>
                <w:highlight w:val="none"/>
              </w:rPr>
              <w:t>，得</w:t>
            </w:r>
            <w:r>
              <w:rPr>
                <w:rFonts w:hint="eastAsia" w:asciiTheme="minorHAnsi" w:eastAsiaTheme="minorEastAsia"/>
                <w:highlight w:val="none"/>
                <w:lang w:val="en-US" w:eastAsia="zh-CN"/>
              </w:rPr>
              <w:t>1</w:t>
            </w:r>
            <w:r>
              <w:rPr>
                <w:highlight w:val="none"/>
              </w:rPr>
              <w:t xml:space="preserve">分； </w:t>
            </w:r>
          </w:p>
          <w:p>
            <w:pPr>
              <w:numPr>
                <w:numId w:val="0"/>
              </w:numPr>
              <w:jc w:val="left"/>
              <w:textAlignment w:val="baseline"/>
              <w:rPr>
                <w:rFonts w:hint="eastAsia" w:ascii="宋体" w:hAnsi="宋体" w:cs="宋体"/>
                <w:szCs w:val="21"/>
              </w:rPr>
            </w:pPr>
            <w:r>
              <w:rPr>
                <w:rFonts w:hint="eastAsia"/>
                <w:highlight w:val="none"/>
                <w:lang w:val="en-US" w:eastAsia="zh-CN"/>
              </w:rPr>
              <w:t>5</w:t>
            </w:r>
            <w:r>
              <w:rPr>
                <w:highlight w:val="none"/>
              </w:rPr>
              <w:t>、</w:t>
            </w:r>
            <w:r>
              <w:rPr>
                <w:rFonts w:hint="eastAsia" w:ascii="宋体" w:hAnsi="宋体" w:eastAsia="宋体" w:cs="宋体"/>
                <w:b w:val="0"/>
                <w:bCs/>
                <w:color w:val="000000"/>
                <w:sz w:val="21"/>
                <w:szCs w:val="21"/>
              </w:rPr>
              <w:t>此项未提供不得分</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pStyle w:val="23"/>
              <w:numPr>
                <w:ilvl w:val="0"/>
                <w:numId w:val="1"/>
              </w:numPr>
              <w:ind w:left="420" w:leftChars="0" w:hanging="420" w:firstLineChars="0"/>
              <w:jc w:val="right"/>
              <w:rPr>
                <w:rFonts w:hint="eastAsia" w:ascii="宋体" w:hAnsi="宋体" w:cs="宋体"/>
                <w:szCs w:val="21"/>
              </w:rPr>
            </w:pPr>
          </w:p>
        </w:tc>
        <w:tc>
          <w:tcPr>
            <w:tcW w:w="1433" w:type="dxa"/>
            <w:gridSpan w:val="3"/>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技术响应</w:t>
            </w:r>
          </w:p>
          <w:p>
            <w:pPr>
              <w:jc w:val="center"/>
              <w:rPr>
                <w:rFonts w:hint="eastAsia" w:ascii="宋体" w:hAnsi="宋体" w:cs="宋体"/>
                <w:kern w:val="0"/>
                <w:szCs w:val="21"/>
              </w:rPr>
            </w:pPr>
          </w:p>
        </w:tc>
        <w:tc>
          <w:tcPr>
            <w:tcW w:w="1420" w:type="dxa"/>
            <w:vAlign w:val="center"/>
          </w:tcPr>
          <w:p>
            <w:pPr>
              <w:ind w:left="-78" w:leftChars="-37" w:right="-73" w:rightChars="-35"/>
              <w:jc w:val="center"/>
              <w:rPr>
                <w:rFonts w:hint="default" w:ascii="宋体" w:hAnsi="宋体" w:cs="宋体"/>
                <w:szCs w:val="21"/>
                <w:lang w:val="en-US"/>
              </w:rPr>
            </w:pPr>
            <w:r>
              <w:rPr>
                <w:rFonts w:hint="eastAsia" w:ascii="宋体" w:hAnsi="宋体"/>
                <w:color w:val="auto"/>
                <w:szCs w:val="21"/>
                <w:highlight w:val="none"/>
                <w:lang w:val="en-US" w:eastAsia="zh-CN"/>
              </w:rPr>
              <w:t>27</w:t>
            </w:r>
          </w:p>
        </w:tc>
        <w:tc>
          <w:tcPr>
            <w:tcW w:w="4678" w:type="dxa"/>
            <w:vAlign w:val="center"/>
          </w:tcPr>
          <w:p>
            <w:pPr>
              <w:bidi w:val="0"/>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w:t>
            </w:r>
            <w:r>
              <w:rPr>
                <w:rFonts w:hint="eastAsia" w:ascii="宋体" w:hAnsi="宋体" w:eastAsia="宋体" w:cs="宋体"/>
                <w:sz w:val="21"/>
                <w:szCs w:val="21"/>
                <w:lang w:val="en-US" w:eastAsia="zh-CN"/>
              </w:rPr>
              <w:t>一）评审内容：</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投标人应如实填写《用户需求书条款响应一览表》，评审专家根据技术需求参数响应情况进行评审。</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（二）评分标准与依据： </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完全满足招标文件要求的得27分，标注“▲”条款总分16分，每负偏离一项扣4分，负偏离达4项本小项不得分；未标注“▲”的为一般条款总分11分，每负偏离一项扣1分，负偏离达11项本小项不得分。</w:t>
            </w:r>
          </w:p>
          <w:p>
            <w:pPr>
              <w:ind w:right="-73" w:rightChars="-35"/>
              <w:jc w:val="left"/>
              <w:rPr>
                <w:rFonts w:hint="eastAsia" w:ascii="宋体" w:hAnsi="宋体" w:cs="宋体"/>
                <w:szCs w:val="21"/>
              </w:rPr>
            </w:pPr>
            <w:r>
              <w:rPr>
                <w:rFonts w:hint="eastAsia" w:ascii="宋体" w:hAnsi="宋体" w:eastAsia="宋体" w:cs="宋体"/>
                <w:sz w:val="21"/>
                <w:szCs w:val="21"/>
                <w:lang w:val="en-US" w:eastAsia="zh-CN"/>
              </w:rPr>
              <w:t>注：带“▲”为重要技术参数条款须提供技术参数中要求提供证明资料的，则须提供对应参数的证明资料。否则作负偏离处理。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5"/>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gridSpan w:val="2"/>
            <w:vAlign w:val="center"/>
          </w:tcPr>
          <w:p>
            <w:pPr>
              <w:jc w:val="center"/>
              <w:rPr>
                <w:rFonts w:ascii="宋体" w:hAnsi="宋体" w:cs="宋体"/>
                <w:b/>
                <w:szCs w:val="21"/>
              </w:rPr>
            </w:pPr>
            <w:r>
              <w:rPr>
                <w:rFonts w:hint="eastAsia" w:ascii="宋体" w:hAnsi="宋体" w:cs="宋体"/>
                <w:b/>
                <w:szCs w:val="21"/>
              </w:rPr>
              <w:t>评分因素</w:t>
            </w:r>
          </w:p>
        </w:tc>
        <w:tc>
          <w:tcPr>
            <w:tcW w:w="1431"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pStyle w:val="23"/>
              <w:numPr>
                <w:ilvl w:val="0"/>
                <w:numId w:val="2"/>
              </w:numPr>
              <w:ind w:left="420" w:leftChars="0" w:hanging="420" w:firstLineChars="0"/>
              <w:jc w:val="center"/>
              <w:rPr>
                <w:rFonts w:ascii="宋体" w:hAnsi="宋体" w:cs="宋体"/>
                <w:szCs w:val="21"/>
              </w:rPr>
            </w:pPr>
          </w:p>
        </w:tc>
        <w:tc>
          <w:tcPr>
            <w:tcW w:w="1422" w:type="dxa"/>
            <w:gridSpan w:val="2"/>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rPr>
                <w:rFonts w:ascii="宋体" w:hAnsi="宋体" w:cs="宋体"/>
                <w:szCs w:val="21"/>
              </w:rPr>
            </w:pPr>
            <w:r>
              <w:rPr>
                <w:rFonts w:hint="eastAsia" w:ascii="宋体" w:hAnsi="宋体" w:eastAsia="宋体" w:cs="宋体"/>
                <w:b w:val="0"/>
                <w:bCs/>
                <w:color w:val="000000"/>
                <w:sz w:val="21"/>
                <w:szCs w:val="21"/>
                <w:highlight w:val="none"/>
              </w:rPr>
              <w:t>商务要求响应程度</w:t>
            </w:r>
          </w:p>
        </w:tc>
        <w:tc>
          <w:tcPr>
            <w:tcW w:w="1431" w:type="dxa"/>
            <w:gridSpan w:val="2"/>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rPr>
                <w:rFonts w:hint="eastAsia" w:ascii="宋体" w:hAnsi="宋体" w:eastAsia="宋体" w:cs="宋体"/>
                <w:szCs w:val="21"/>
                <w:lang w:eastAsia="zh-CN"/>
              </w:rPr>
            </w:pPr>
            <w:r>
              <w:rPr>
                <w:rFonts w:hint="eastAsia" w:ascii="宋体" w:hAnsi="宋体" w:eastAsia="宋体" w:cs="宋体"/>
                <w:b w:val="0"/>
                <w:bCs/>
                <w:color w:val="000000"/>
                <w:sz w:val="21"/>
                <w:szCs w:val="21"/>
                <w:highlight w:val="none"/>
                <w:lang w:val="en-US" w:eastAsia="zh-CN"/>
              </w:rPr>
              <w:t>5</w:t>
            </w:r>
          </w:p>
        </w:tc>
        <w:tc>
          <w:tcPr>
            <w:tcW w:w="4678" w:type="dxa"/>
            <w:vAlign w:val="center"/>
          </w:tcPr>
          <w:p>
            <w:pPr>
              <w:ind w:left="-78" w:leftChars="-37" w:right="-73" w:rightChars="-35"/>
              <w:jc w:val="left"/>
              <w:rPr>
                <w:rFonts w:hint="default" w:ascii="宋体" w:hAnsi="宋体" w:cs="宋体"/>
                <w:szCs w:val="21"/>
                <w:lang w:val="en-US"/>
              </w:rPr>
            </w:pPr>
            <w:r>
              <w:rPr>
                <w:rFonts w:hint="eastAsia" w:asciiTheme="minorHAnsi" w:hAnsiTheme="minorHAnsi" w:eastAsiaTheme="minorEastAsia" w:cstheme="minorBidi"/>
                <w:kern w:val="2"/>
                <w:sz w:val="21"/>
                <w:szCs w:val="22"/>
                <w:highlight w:val="none"/>
                <w:lang w:val="en-US" w:eastAsia="zh-CN" w:bidi="ar-SA"/>
              </w:rPr>
              <w:t>根据供应商对招标文件（采购文件）商务要求的响应情况进行评审：全部无偏离或优于（正偏离）得5分，其他不得分。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pStyle w:val="23"/>
              <w:numPr>
                <w:ilvl w:val="0"/>
                <w:numId w:val="2"/>
              </w:numPr>
              <w:ind w:left="420" w:leftChars="0" w:hanging="420" w:firstLineChars="0"/>
              <w:jc w:val="center"/>
              <w:rPr>
                <w:rFonts w:ascii="宋体" w:hAnsi="宋体" w:cs="宋体"/>
                <w:szCs w:val="21"/>
              </w:rPr>
            </w:pPr>
          </w:p>
        </w:tc>
        <w:tc>
          <w:tcPr>
            <w:tcW w:w="1422" w:type="dxa"/>
            <w:gridSpan w:val="2"/>
            <w:vAlign w:val="center"/>
          </w:tcPr>
          <w:p>
            <w:pPr>
              <w:jc w:val="center"/>
              <w:rPr>
                <w:rFonts w:hint="eastAsia" w:ascii="宋体" w:hAnsi="宋体" w:cs="Times New Roman"/>
                <w:color w:val="auto"/>
                <w:szCs w:val="21"/>
                <w:highlight w:val="none"/>
                <w:lang w:eastAsia="zh-CN"/>
              </w:rPr>
            </w:pPr>
            <w:r>
              <w:rPr>
                <w:rFonts w:hint="eastAsia" w:ascii="宋体" w:hAnsi="宋体" w:eastAsia="宋体" w:cs="宋体"/>
                <w:b w:val="0"/>
                <w:bCs/>
                <w:color w:val="000000"/>
                <w:sz w:val="21"/>
                <w:szCs w:val="21"/>
                <w:highlight w:val="none"/>
              </w:rPr>
              <w:t>售后服务方案</w:t>
            </w:r>
          </w:p>
        </w:tc>
        <w:tc>
          <w:tcPr>
            <w:tcW w:w="1431" w:type="dxa"/>
            <w:gridSpan w:val="2"/>
            <w:vAlign w:val="center"/>
          </w:tcPr>
          <w:p>
            <w:pPr>
              <w:ind w:left="-78" w:leftChars="-37" w:right="-73" w:rightChars="-35"/>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w:t>
            </w:r>
          </w:p>
        </w:tc>
        <w:tc>
          <w:tcPr>
            <w:tcW w:w="4678" w:type="dxa"/>
            <w:vAlign w:val="center"/>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 xml:space="preserve">根据供应商提供的售后服务方案（包括响应时间、售后服务团队、应急维护方案等）进行综合评审。 </w:t>
            </w:r>
          </w:p>
          <w:p>
            <w:pPr>
              <w:numPr>
                <w:ilvl w:val="0"/>
                <w:numId w:val="3"/>
              </w:numPr>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方案科学合理，针对性强，具备实际可操作性，能够保证业务系统的可靠、稳定运行，得</w:t>
            </w:r>
            <w:r>
              <w:rPr>
                <w:rFonts w:hint="eastAsia" w:cstheme="minorBidi"/>
                <w:kern w:val="2"/>
                <w:sz w:val="21"/>
                <w:szCs w:val="22"/>
                <w:highlight w:val="none"/>
                <w:lang w:val="en-US" w:eastAsia="zh-CN" w:bidi="ar-SA"/>
              </w:rPr>
              <w:t>10</w:t>
            </w:r>
            <w:r>
              <w:rPr>
                <w:rFonts w:hint="eastAsia" w:asciiTheme="minorHAnsi" w:hAnsiTheme="minorHAnsi" w:eastAsiaTheme="minorEastAsia" w:cstheme="minorBidi"/>
                <w:kern w:val="2"/>
                <w:sz w:val="21"/>
                <w:szCs w:val="22"/>
                <w:highlight w:val="none"/>
                <w:lang w:val="en-US" w:eastAsia="zh-CN" w:bidi="ar-SA"/>
              </w:rPr>
              <w:t xml:space="preserve">分； </w:t>
            </w:r>
          </w:p>
          <w:p>
            <w:pPr>
              <w:numPr>
                <w:ilvl w:val="0"/>
                <w:numId w:val="0"/>
              </w:numPr>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2、方案基本合理，针对性较强，基本具备实际可操作性，能够保证业务系统的运行，得</w:t>
            </w:r>
            <w:r>
              <w:rPr>
                <w:rFonts w:hint="eastAsia" w:cstheme="minorBidi"/>
                <w:kern w:val="2"/>
                <w:sz w:val="21"/>
                <w:szCs w:val="22"/>
                <w:highlight w:val="none"/>
                <w:lang w:val="en-US" w:eastAsia="zh-CN" w:bidi="ar-SA"/>
              </w:rPr>
              <w:t>6</w:t>
            </w:r>
            <w:r>
              <w:rPr>
                <w:rFonts w:hint="eastAsia" w:asciiTheme="minorHAnsi" w:hAnsiTheme="minorHAnsi" w:eastAsiaTheme="minorEastAsia" w:cstheme="minorBidi"/>
                <w:kern w:val="2"/>
                <w:sz w:val="21"/>
                <w:szCs w:val="22"/>
                <w:highlight w:val="none"/>
                <w:lang w:val="en-US" w:eastAsia="zh-CN" w:bidi="ar-SA"/>
              </w:rPr>
              <w:t xml:space="preserve">分； </w:t>
            </w:r>
          </w:p>
          <w:p>
            <w:pPr>
              <w:numPr>
                <w:ilvl w:val="0"/>
                <w:numId w:val="0"/>
              </w:numPr>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3、方案合理性一般，针对性较强，可实际操作性不强，但能够保证业务系统的运行，得</w:t>
            </w:r>
            <w:r>
              <w:rPr>
                <w:rFonts w:hint="eastAsia" w:cstheme="minorBidi"/>
                <w:kern w:val="2"/>
                <w:sz w:val="21"/>
                <w:szCs w:val="22"/>
                <w:highlight w:val="none"/>
                <w:lang w:val="en-US" w:eastAsia="zh-CN" w:bidi="ar-SA"/>
              </w:rPr>
              <w:t>3</w:t>
            </w:r>
            <w:r>
              <w:rPr>
                <w:rFonts w:hint="eastAsia" w:asciiTheme="minorHAnsi" w:hAnsiTheme="minorHAnsi" w:eastAsiaTheme="minorEastAsia" w:cstheme="minorBidi"/>
                <w:kern w:val="2"/>
                <w:sz w:val="21"/>
                <w:szCs w:val="22"/>
                <w:highlight w:val="none"/>
                <w:lang w:val="en-US" w:eastAsia="zh-CN" w:bidi="ar-SA"/>
              </w:rPr>
              <w:t>分；</w:t>
            </w:r>
          </w:p>
          <w:p>
            <w:pPr>
              <w:numPr>
                <w:ilvl w:val="0"/>
                <w:numId w:val="0"/>
              </w:numPr>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4、方案不合理，针对性差，不具备实际可操作性，不能够保证业务系统的可靠、稳定运行，得</w:t>
            </w:r>
            <w:r>
              <w:rPr>
                <w:rFonts w:hint="eastAsia" w:cstheme="minorBidi"/>
                <w:kern w:val="2"/>
                <w:sz w:val="21"/>
                <w:szCs w:val="22"/>
                <w:highlight w:val="none"/>
                <w:lang w:val="en-US" w:eastAsia="zh-CN" w:bidi="ar-SA"/>
              </w:rPr>
              <w:t>1</w:t>
            </w:r>
            <w:r>
              <w:rPr>
                <w:rFonts w:hint="eastAsia" w:asciiTheme="minorHAnsi" w:hAnsiTheme="minorHAnsi" w:eastAsiaTheme="minorEastAsia" w:cstheme="minorBidi"/>
                <w:kern w:val="2"/>
                <w:sz w:val="21"/>
                <w:szCs w:val="22"/>
                <w:highlight w:val="none"/>
                <w:lang w:val="en-US" w:eastAsia="zh-CN" w:bidi="ar-SA"/>
              </w:rPr>
              <w:t>分。</w:t>
            </w:r>
          </w:p>
          <w:p>
            <w:pPr>
              <w:ind w:left="-78" w:leftChars="-37" w:right="-73" w:rightChars="-35"/>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3552" w:type="dxa"/>
            <w:gridSpan w:val="5"/>
            <w:vAlign w:val="center"/>
          </w:tcPr>
          <w:p>
            <w:pPr>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1"/>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394" w:type="dxa"/>
            <w:vAlign w:val="center"/>
          </w:tcPr>
          <w:p>
            <w:pPr>
              <w:jc w:val="center"/>
              <w:rPr>
                <w:rFonts w:ascii="宋体" w:hAnsi="宋体" w:cs="宋体"/>
                <w:b/>
                <w:szCs w:val="21"/>
              </w:rPr>
            </w:pPr>
            <w:r>
              <w:rPr>
                <w:rFonts w:hint="eastAsia" w:ascii="宋体" w:hAnsi="宋体" w:cs="宋体"/>
                <w:b/>
                <w:szCs w:val="21"/>
              </w:rPr>
              <w:t>评分因素</w:t>
            </w:r>
          </w:p>
        </w:tc>
        <w:tc>
          <w:tcPr>
            <w:tcW w:w="1459" w:type="dxa"/>
            <w:gridSpan w:val="3"/>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394" w:type="dxa"/>
            <w:vAlign w:val="center"/>
          </w:tcPr>
          <w:p>
            <w:pPr>
              <w:jc w:val="center"/>
              <w:rPr>
                <w:rFonts w:ascii="宋体" w:hAnsi="宋体" w:cs="宋体"/>
                <w:szCs w:val="21"/>
              </w:rPr>
            </w:pPr>
            <w:r>
              <w:rPr>
                <w:rFonts w:hint="eastAsia" w:ascii="宋体" w:hAnsi="宋体" w:cs="宋体"/>
                <w:szCs w:val="21"/>
              </w:rPr>
              <w:t>诚信评价</w:t>
            </w:r>
          </w:p>
        </w:tc>
        <w:tc>
          <w:tcPr>
            <w:tcW w:w="1459" w:type="dxa"/>
            <w:gridSpan w:val="3"/>
            <w:vAlign w:val="center"/>
          </w:tcPr>
          <w:p>
            <w:pPr>
              <w:jc w:val="center"/>
              <w:rPr>
                <w:rFonts w:ascii="宋体" w:hAnsi="宋体" w:cs="宋体"/>
                <w:szCs w:val="21"/>
              </w:rPr>
            </w:pPr>
            <w:r>
              <w:rPr>
                <w:rFonts w:hint="eastAsia" w:ascii="宋体" w:hAnsi="宋体" w:cs="宋体"/>
                <w:szCs w:val="21"/>
              </w:rPr>
              <w:t>5</w:t>
            </w:r>
          </w:p>
        </w:tc>
        <w:tc>
          <w:tcPr>
            <w:tcW w:w="4678" w:type="dxa"/>
          </w:tcPr>
          <w:p>
            <w:pPr>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2"/>
      </w:pPr>
      <w:r>
        <w:rPr>
          <w:rFonts w:hint="eastAsia"/>
        </w:rPr>
        <w:t>第二章  项目需求</w:t>
      </w:r>
    </w:p>
    <w:p>
      <w:pPr>
        <w:pStyle w:val="5"/>
        <w:spacing w:before="156" w:beforeLines="50" w:after="156" w:afterLines="50"/>
        <w:rPr>
          <w:rFonts w:cs="宋体"/>
          <w:szCs w:val="28"/>
        </w:rPr>
      </w:pPr>
      <w:bookmarkStart w:id="0" w:name="_Toc100052364"/>
      <w:bookmarkStart w:id="1" w:name="_Toc60631620"/>
      <w:bookmarkStart w:id="2" w:name="_Toc73518117"/>
      <w:bookmarkStart w:id="3" w:name="_Toc73521635"/>
      <w:bookmarkStart w:id="4" w:name="_Toc101074876"/>
      <w:bookmarkStart w:id="5" w:name="_Toc60560625"/>
      <w:bookmarkStart w:id="6" w:name="_Toc73517639"/>
      <w:bookmarkStart w:id="7" w:name="_Toc73521547"/>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深圳市第一职业技术学校</w:t>
      </w:r>
      <w:r>
        <w:rPr>
          <w:rFonts w:hint="eastAsia" w:ascii="宋体" w:hAnsi="宋体" w:cs="宋体"/>
          <w:szCs w:val="21"/>
          <w:lang w:eastAsia="zh-CN"/>
        </w:rPr>
        <w:t>实验室天平仪器</w:t>
      </w:r>
      <w:r>
        <w:rPr>
          <w:rFonts w:hint="eastAsia" w:ascii="宋体" w:hAnsi="宋体" w:cs="宋体"/>
          <w:szCs w:val="21"/>
        </w:rPr>
        <w:t>采购</w:t>
      </w:r>
      <w:r>
        <w:rPr>
          <w:rFonts w:hint="eastAsia" w:ascii="宋体" w:hAnsi="宋体" w:cs="宋体"/>
          <w:szCs w:val="21"/>
        </w:rPr>
        <w:t>项目。</w:t>
      </w:r>
    </w:p>
    <w:p>
      <w:pPr>
        <w:pStyle w:val="5"/>
        <w:numPr>
          <w:ilvl w:val="0"/>
          <w:numId w:val="4"/>
        </w:numPr>
        <w:spacing w:before="156" w:beforeLines="50" w:after="156" w:afterLines="50"/>
        <w:rPr>
          <w:rFonts w:cs="宋体"/>
          <w:szCs w:val="28"/>
        </w:rPr>
      </w:pPr>
      <w:r>
        <w:rPr>
          <w:rFonts w:hint="eastAsia" w:cs="宋体"/>
          <w:szCs w:val="28"/>
        </w:rPr>
        <w:t>货物清单</w:t>
      </w:r>
    </w:p>
    <w:tbl>
      <w:tblPr>
        <w:tblStyle w:val="1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30"/>
        <w:gridCol w:w="208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0" w:type="dxa"/>
            <w:vAlign w:val="center"/>
          </w:tcPr>
          <w:p>
            <w:pPr>
              <w:keepNext w:val="0"/>
              <w:keepLines w:val="0"/>
              <w:widowControl/>
              <w:suppressLineNumbers w:val="0"/>
              <w:jc w:val="center"/>
              <w:textAlignment w:val="center"/>
              <w:rPr>
                <w:rFonts w:ascii="宋体" w:hAnsi="宋体" w:cs="宋体"/>
                <w:bCs/>
                <w:szCs w:val="21"/>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830" w:type="dxa"/>
            <w:vAlign w:val="center"/>
          </w:tcPr>
          <w:p>
            <w:pPr>
              <w:keepNext w:val="0"/>
              <w:keepLines w:val="0"/>
              <w:widowControl/>
              <w:suppressLineNumbers w:val="0"/>
              <w:jc w:val="center"/>
              <w:textAlignment w:val="center"/>
              <w:rPr>
                <w:rFonts w:ascii="宋体" w:hAnsi="宋体" w:cs="宋体"/>
                <w:bCs/>
                <w:szCs w:val="21"/>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2085" w:type="dxa"/>
            <w:vAlign w:val="center"/>
          </w:tcPr>
          <w:p>
            <w:pPr>
              <w:keepNext w:val="0"/>
              <w:keepLines w:val="0"/>
              <w:widowControl/>
              <w:suppressLineNumbers w:val="0"/>
              <w:jc w:val="center"/>
              <w:textAlignment w:val="center"/>
              <w:rPr>
                <w:rFonts w:ascii="宋体" w:hAnsi="宋体" w:cs="宋体"/>
                <w:bCs/>
                <w:szCs w:val="21"/>
              </w:rPr>
            </w:pPr>
            <w:r>
              <w:rPr>
                <w:rFonts w:hint="eastAsia" w:ascii="宋体" w:hAnsi="宋体" w:eastAsia="宋体" w:cs="宋体"/>
                <w:b/>
                <w:bCs/>
                <w:i w:val="0"/>
                <w:iCs w:val="0"/>
                <w:color w:val="auto"/>
                <w:kern w:val="0"/>
                <w:sz w:val="22"/>
                <w:szCs w:val="22"/>
                <w:highlight w:val="none"/>
                <w:u w:val="none"/>
                <w:lang w:val="en-US" w:eastAsia="zh-CN" w:bidi="ar"/>
              </w:rPr>
              <w:t>型号规格</w:t>
            </w:r>
          </w:p>
        </w:tc>
        <w:tc>
          <w:tcPr>
            <w:tcW w:w="1290" w:type="dxa"/>
            <w:vAlign w:val="center"/>
          </w:tcPr>
          <w:p>
            <w:pPr>
              <w:keepNext w:val="0"/>
              <w:keepLines w:val="0"/>
              <w:widowControl/>
              <w:suppressLineNumbers w:val="0"/>
              <w:jc w:val="center"/>
              <w:textAlignment w:val="center"/>
              <w:rPr>
                <w:rFonts w:ascii="宋体" w:hAnsi="宋体" w:cs="宋体"/>
                <w:bCs/>
                <w:szCs w:val="21"/>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2148" w:type="dxa"/>
            <w:vAlign w:val="center"/>
          </w:tcPr>
          <w:p>
            <w:pPr>
              <w:keepNext w:val="0"/>
              <w:keepLines w:val="0"/>
              <w:widowControl/>
              <w:suppressLineNumbers w:val="0"/>
              <w:jc w:val="center"/>
              <w:textAlignment w:val="center"/>
              <w:rPr>
                <w:rFonts w:ascii="宋体" w:hAnsi="宋体" w:cs="宋体"/>
                <w:b/>
                <w:bCs/>
                <w:szCs w:val="21"/>
              </w:rPr>
            </w:pPr>
            <w:r>
              <w:rPr>
                <w:rFonts w:hint="eastAsia" w:ascii="宋体" w:hAnsi="宋体" w:eastAsia="宋体" w:cs="宋体"/>
                <w:b/>
                <w:bCs/>
                <w:i w:val="0"/>
                <w:iCs w:val="0"/>
                <w:color w:val="auto"/>
                <w:kern w:val="0"/>
                <w:sz w:val="22"/>
                <w:szCs w:val="22"/>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0" w:type="dxa"/>
            <w:vAlign w:val="center"/>
          </w:tcPr>
          <w:p>
            <w:pPr>
              <w:keepNext w:val="0"/>
              <w:keepLines w:val="0"/>
              <w:widowControl/>
              <w:suppressLineNumbers w:val="0"/>
              <w:jc w:val="center"/>
              <w:textAlignment w:val="center"/>
              <w:rPr>
                <w:rFonts w:ascii="宋体" w:hAnsi="宋体" w:cs="宋体"/>
                <w:bCs/>
                <w:szCs w:val="21"/>
              </w:rPr>
            </w:pPr>
            <w:r>
              <w:rPr>
                <w:rFonts w:hint="eastAsia" w:ascii="宋体" w:hAnsi="宋体" w:eastAsia="宋体" w:cs="宋体"/>
                <w:i w:val="0"/>
                <w:iCs w:val="0"/>
                <w:color w:val="000000"/>
                <w:kern w:val="0"/>
                <w:sz w:val="22"/>
                <w:szCs w:val="22"/>
                <w:highlight w:val="none"/>
                <w:u w:val="none"/>
                <w:lang w:val="en-US" w:eastAsia="zh-CN" w:bidi="ar"/>
              </w:rPr>
              <w:t>1</w:t>
            </w:r>
          </w:p>
        </w:tc>
        <w:tc>
          <w:tcPr>
            <w:tcW w:w="1830" w:type="dxa"/>
            <w:vAlign w:val="center"/>
          </w:tcPr>
          <w:p>
            <w:pPr>
              <w:keepNext w:val="0"/>
              <w:keepLines w:val="0"/>
              <w:widowControl/>
              <w:suppressLineNumbers w:val="0"/>
              <w:jc w:val="center"/>
              <w:textAlignment w:val="center"/>
              <w:rPr>
                <w:rFonts w:ascii="宋体" w:hAnsi="宋体" w:cs="宋体"/>
                <w:bCs/>
                <w:szCs w:val="21"/>
              </w:rPr>
            </w:pPr>
            <w:r>
              <w:rPr>
                <w:rFonts w:hint="eastAsia" w:ascii="宋体" w:hAnsi="宋体" w:eastAsia="宋体" w:cs="宋体"/>
                <w:i w:val="0"/>
                <w:iCs w:val="0"/>
                <w:color w:val="000000"/>
                <w:kern w:val="0"/>
                <w:sz w:val="22"/>
                <w:szCs w:val="22"/>
                <w:highlight w:val="none"/>
                <w:u w:val="none"/>
                <w:lang w:val="en-US" w:eastAsia="zh-CN" w:bidi="ar"/>
              </w:rPr>
              <w:t>防震天平台</w:t>
            </w:r>
          </w:p>
        </w:tc>
        <w:tc>
          <w:tcPr>
            <w:tcW w:w="2085"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iCs w:val="0"/>
                <w:color w:val="000000"/>
                <w:kern w:val="0"/>
                <w:sz w:val="22"/>
                <w:szCs w:val="22"/>
                <w:highlight w:val="none"/>
                <w:u w:val="none"/>
                <w:lang w:val="en-US" w:eastAsia="zh-CN" w:bidi="ar"/>
              </w:rPr>
              <w:t>800*600*850mm</w:t>
            </w:r>
          </w:p>
        </w:tc>
        <w:tc>
          <w:tcPr>
            <w:tcW w:w="1290" w:type="dxa"/>
            <w:vAlign w:val="center"/>
          </w:tcPr>
          <w:p>
            <w:pPr>
              <w:keepNext w:val="0"/>
              <w:keepLines w:val="0"/>
              <w:widowControl/>
              <w:suppressLineNumbers w:val="0"/>
              <w:jc w:val="center"/>
              <w:textAlignment w:val="center"/>
              <w:rPr>
                <w:rFonts w:ascii="宋体" w:hAnsi="宋体" w:cs="宋体"/>
                <w:bCs/>
                <w:szCs w:val="21"/>
              </w:rPr>
            </w:pPr>
            <w:r>
              <w:rPr>
                <w:rFonts w:hint="eastAsia" w:ascii="宋体" w:hAnsi="宋体" w:eastAsia="宋体" w:cs="宋体"/>
                <w:i w:val="0"/>
                <w:iCs w:val="0"/>
                <w:color w:val="000000"/>
                <w:kern w:val="0"/>
                <w:sz w:val="22"/>
                <w:szCs w:val="22"/>
                <w:highlight w:val="none"/>
                <w:u w:val="none"/>
                <w:lang w:val="en-US" w:eastAsia="zh-CN" w:bidi="ar"/>
              </w:rPr>
              <w:t>4</w:t>
            </w:r>
          </w:p>
        </w:tc>
        <w:tc>
          <w:tcPr>
            <w:tcW w:w="2148" w:type="dxa"/>
            <w:vAlign w:val="center"/>
          </w:tcPr>
          <w:p>
            <w:pPr>
              <w:keepNext w:val="0"/>
              <w:keepLines w:val="0"/>
              <w:widowControl/>
              <w:suppressLineNumbers w:val="0"/>
              <w:jc w:val="center"/>
              <w:textAlignment w:val="center"/>
              <w:rPr>
                <w:rFonts w:ascii="宋体" w:hAnsi="宋体" w:cs="宋体"/>
                <w:bCs/>
                <w:szCs w:val="21"/>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万分之一天平</w:t>
            </w:r>
          </w:p>
        </w:tc>
        <w:tc>
          <w:tcPr>
            <w:tcW w:w="20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0.1mg/万分之一</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214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r>
    </w:tbl>
    <w:p>
      <w:pPr>
        <w:pStyle w:val="5"/>
        <w:numPr>
          <w:ilvl w:val="0"/>
          <w:numId w:val="4"/>
        </w:numPr>
        <w:spacing w:before="156" w:beforeLines="50" w:after="156" w:afterLines="50"/>
        <w:ind w:left="0" w:leftChars="0" w:firstLine="0" w:firstLineChars="0"/>
        <w:rPr>
          <w:rFonts w:hint="eastAsia" w:cs="宋体"/>
          <w:szCs w:val="28"/>
        </w:rPr>
      </w:pPr>
      <w:r>
        <w:rPr>
          <w:rFonts w:hint="eastAsia" w:cs="宋体"/>
          <w:szCs w:val="28"/>
        </w:rPr>
        <w:t>具体技术要求</w:t>
      </w:r>
    </w:p>
    <w:p>
      <w:pPr>
        <w:ind w:firstLine="205" w:firstLineChars="98"/>
        <w:rPr>
          <w:rFonts w:ascii="仿宋" w:hAnsi="仿宋" w:eastAsia="仿宋"/>
          <w:bCs/>
          <w:snapToGrid w:val="0"/>
          <w:color w:val="auto"/>
          <w:kern w:val="0"/>
          <w:szCs w:val="21"/>
          <w:highlight w:val="none"/>
        </w:rPr>
      </w:pPr>
      <w:r>
        <w:rPr>
          <w:rFonts w:hint="eastAsia" w:ascii="仿宋" w:hAnsi="仿宋" w:eastAsia="仿宋"/>
          <w:bCs/>
          <w:snapToGrid w:val="0"/>
          <w:color w:val="auto"/>
          <w:kern w:val="0"/>
          <w:szCs w:val="21"/>
          <w:highlight w:val="none"/>
        </w:rPr>
        <w:t>说明：</w:t>
      </w:r>
    </w:p>
    <w:p>
      <w:pPr>
        <w:numPr>
          <w:ilvl w:val="0"/>
          <w:numId w:val="5"/>
        </w:numPr>
        <w:ind w:firstLine="205" w:firstLineChars="98"/>
        <w:rPr>
          <w:rFonts w:ascii="仿宋" w:hAnsi="仿宋" w:eastAsia="仿宋"/>
          <w:bCs/>
          <w:snapToGrid w:val="0"/>
          <w:color w:val="auto"/>
          <w:kern w:val="0"/>
          <w:szCs w:val="21"/>
          <w:highlight w:val="none"/>
        </w:rPr>
      </w:pPr>
      <w:r>
        <w:rPr>
          <w:rFonts w:hint="eastAsia" w:ascii="仿宋" w:hAnsi="仿宋" w:eastAsia="仿宋"/>
          <w:bCs/>
          <w:snapToGrid w:val="0"/>
          <w:color w:val="auto"/>
          <w:kern w:val="0"/>
          <w:szCs w:val="21"/>
          <w:highlight w:val="none"/>
        </w:rPr>
        <w:t>本项目技术需求中要求提供的各项证明材料均提供扫描件，原件备查。如投标人未按要求提供的，或提供的材料未能证明所投产品响应情况的，则该参数视为没有满足招标文件要求，进行负偏离扣分。</w:t>
      </w:r>
    </w:p>
    <w:p>
      <w:pPr>
        <w:numPr>
          <w:ilvl w:val="0"/>
          <w:numId w:val="5"/>
        </w:numPr>
        <w:ind w:firstLine="205" w:firstLineChars="98"/>
        <w:rPr>
          <w:rFonts w:ascii="仿宋" w:hAnsi="仿宋" w:eastAsia="仿宋" w:cs="Times New Roman"/>
          <w:bCs/>
          <w:snapToGrid w:val="0"/>
          <w:color w:val="auto"/>
          <w:kern w:val="0"/>
          <w:szCs w:val="21"/>
          <w:highlight w:val="none"/>
        </w:rPr>
      </w:pPr>
      <w:r>
        <w:rPr>
          <w:rFonts w:hint="eastAsia" w:ascii="仿宋" w:hAnsi="仿宋" w:eastAsia="仿宋" w:cs="Times New Roman"/>
          <w:bCs/>
          <w:snapToGrid w:val="0"/>
          <w:color w:val="auto"/>
          <w:kern w:val="0"/>
          <w:szCs w:val="21"/>
          <w:highlight w:val="none"/>
        </w:rPr>
        <w:t>投标人须对本项目的采购标的或服务内容进行整体响应，任何只对采购标的或服务内容其中一部分内容进行的响应都被视为无效投标。</w:t>
      </w:r>
    </w:p>
    <w:p>
      <w:pPr>
        <w:numPr>
          <w:ilvl w:val="0"/>
          <w:numId w:val="5"/>
        </w:numPr>
        <w:ind w:firstLine="205" w:firstLineChars="98"/>
        <w:rPr>
          <w:color w:val="auto"/>
          <w:highlight w:val="none"/>
        </w:rPr>
      </w:pPr>
      <w:r>
        <w:rPr>
          <w:rFonts w:hint="eastAsia" w:ascii="仿宋" w:hAnsi="仿宋" w:eastAsia="仿宋" w:cs="Times New Roman"/>
          <w:bCs/>
          <w:snapToGrid w:val="0"/>
          <w:color w:val="auto"/>
          <w:kern w:val="0"/>
          <w:szCs w:val="21"/>
          <w:highlight w:val="none"/>
        </w:rPr>
        <w:t>如项目技术要求中设置了“▲”号参数的，则该项参数为重要技术指标，将在评分项中作为重点评价指标。</w:t>
      </w:r>
    </w:p>
    <w:tbl>
      <w:tblPr>
        <w:tblStyle w:val="14"/>
        <w:tblW w:w="8796" w:type="dxa"/>
        <w:tblInd w:w="93" w:type="dxa"/>
        <w:tblLayout w:type="fixed"/>
        <w:tblCellMar>
          <w:top w:w="0" w:type="dxa"/>
          <w:left w:w="108" w:type="dxa"/>
          <w:bottom w:w="0" w:type="dxa"/>
          <w:right w:w="108" w:type="dxa"/>
        </w:tblCellMar>
      </w:tblPr>
      <w:tblGrid>
        <w:gridCol w:w="1080"/>
        <w:gridCol w:w="1390"/>
        <w:gridCol w:w="6326"/>
      </w:tblGrid>
      <w:tr>
        <w:tblPrEx>
          <w:tblCellMar>
            <w:top w:w="0" w:type="dxa"/>
            <w:left w:w="108" w:type="dxa"/>
            <w:bottom w:w="0" w:type="dxa"/>
            <w:right w:w="108"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b/>
                <w:bCs/>
                <w:color w:val="auto"/>
                <w:sz w:val="24"/>
                <w:highlight w:val="none"/>
              </w:rPr>
            </w:pPr>
            <w:r>
              <w:rPr>
                <w:rFonts w:hint="eastAsia" w:ascii="宋体" w:hAnsi="宋体"/>
                <w:b/>
                <w:bCs/>
                <w:color w:val="auto"/>
                <w:kern w:val="0"/>
                <w:sz w:val="24"/>
                <w:highlight w:val="none"/>
              </w:rPr>
              <w:t>序号</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b/>
                <w:bCs/>
                <w:color w:val="auto"/>
                <w:sz w:val="24"/>
                <w:highlight w:val="none"/>
              </w:rPr>
            </w:pPr>
            <w:r>
              <w:rPr>
                <w:rFonts w:hint="eastAsia" w:ascii="宋体" w:hAnsi="宋体"/>
                <w:b/>
                <w:bCs/>
                <w:color w:val="auto"/>
                <w:kern w:val="0"/>
                <w:sz w:val="24"/>
                <w:highlight w:val="none"/>
              </w:rPr>
              <w:t>名称</w:t>
            </w:r>
          </w:p>
        </w:tc>
        <w:tc>
          <w:tcPr>
            <w:tcW w:w="63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b/>
                <w:bCs/>
                <w:color w:val="auto"/>
                <w:sz w:val="24"/>
                <w:highlight w:val="none"/>
              </w:rPr>
            </w:pPr>
            <w:r>
              <w:rPr>
                <w:rFonts w:hint="eastAsia" w:ascii="宋体" w:hAnsi="宋体"/>
                <w:b/>
                <w:bCs/>
                <w:color w:val="auto"/>
                <w:kern w:val="0"/>
                <w:sz w:val="24"/>
                <w:highlight w:val="none"/>
              </w:rPr>
              <w:t>技术规格要求</w:t>
            </w:r>
          </w:p>
        </w:tc>
      </w:tr>
      <w:tr>
        <w:tblPrEx>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olor w:val="auto"/>
                <w:sz w:val="22"/>
                <w:szCs w:val="22"/>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olor w:val="auto"/>
                <w:sz w:val="22"/>
                <w:szCs w:val="22"/>
                <w:highlight w:val="none"/>
              </w:rPr>
            </w:pPr>
            <w:r>
              <w:rPr>
                <w:rFonts w:hint="eastAsia" w:ascii="宋体" w:hAnsi="宋体" w:eastAsia="宋体" w:cs="宋体"/>
                <w:i w:val="0"/>
                <w:iCs w:val="0"/>
                <w:color w:val="auto"/>
                <w:kern w:val="0"/>
                <w:sz w:val="21"/>
                <w:szCs w:val="21"/>
                <w:highlight w:val="none"/>
                <w:u w:val="none"/>
                <w:lang w:val="en-US" w:eastAsia="zh-CN" w:bidi="ar"/>
              </w:rPr>
              <w:t>防震天平台</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b w:val="0"/>
                <w:bCs/>
                <w:i w:val="0"/>
                <w:iCs w:val="0"/>
                <w:caps w:val="0"/>
                <w:color w:val="auto"/>
                <w:spacing w:val="0"/>
                <w:kern w:val="0"/>
                <w:sz w:val="21"/>
                <w:szCs w:val="21"/>
                <w:highlight w:val="none"/>
                <w:lang w:val="en-US" w:eastAsia="zh-CN" w:bidi="ar"/>
              </w:rPr>
            </w:pPr>
            <w:r>
              <w:rPr>
                <w:rFonts w:hint="eastAsia" w:asciiTheme="minorHAnsi" w:hAnsiTheme="minorHAnsi" w:eastAsiaTheme="minorEastAsia" w:cstheme="minorBidi"/>
                <w:color w:val="auto"/>
                <w:kern w:val="2"/>
                <w:sz w:val="21"/>
                <w:szCs w:val="22"/>
                <w:highlight w:val="none"/>
                <w:lang w:val="en-US" w:eastAsia="zh-CN" w:bidi="ar-SA"/>
              </w:rPr>
              <w:t>▲</w:t>
            </w:r>
            <w:r>
              <w:rPr>
                <w:rFonts w:hint="eastAsia" w:ascii="宋体" w:hAnsi="宋体" w:eastAsia="宋体" w:cs="宋体"/>
                <w:b w:val="0"/>
                <w:bCs/>
                <w:i w:val="0"/>
                <w:iCs w:val="0"/>
                <w:caps w:val="0"/>
                <w:color w:val="auto"/>
                <w:spacing w:val="0"/>
                <w:kern w:val="0"/>
                <w:sz w:val="21"/>
                <w:szCs w:val="21"/>
                <w:highlight w:val="none"/>
                <w:lang w:val="en-US" w:eastAsia="zh-CN" w:bidi="ar"/>
              </w:rPr>
              <w:t>1.防震天平台设计为三级减震：台身部分的减震、花岗岩部分的减震、花岗岩与实验仪器部分的减震；减震级别为十万分之一。</w:t>
            </w: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b w:val="0"/>
                <w:bCs/>
                <w:i w:val="0"/>
                <w:iCs w:val="0"/>
                <w:caps w:val="0"/>
                <w:color w:val="auto"/>
                <w:spacing w:val="0"/>
                <w:kern w:val="0"/>
                <w:sz w:val="21"/>
                <w:szCs w:val="21"/>
                <w:highlight w:val="none"/>
                <w:lang w:val="en-US" w:eastAsia="zh-CN" w:bidi="ar"/>
              </w:rPr>
            </w:pPr>
            <w:r>
              <w:rPr>
                <w:rFonts w:hint="eastAsia" w:ascii="宋体" w:hAnsi="宋体" w:eastAsia="宋体" w:cs="宋体"/>
                <w:b w:val="0"/>
                <w:bCs/>
                <w:i w:val="0"/>
                <w:iCs w:val="0"/>
                <w:caps w:val="0"/>
                <w:color w:val="auto"/>
                <w:spacing w:val="0"/>
                <w:kern w:val="0"/>
                <w:sz w:val="21"/>
                <w:szCs w:val="21"/>
                <w:highlight w:val="none"/>
                <w:lang w:val="en-US" w:eastAsia="zh-CN" w:bidi="ar"/>
              </w:rPr>
              <w:t>2.主体框架采用(60mm*40mm*2mm)±5mm矩形钢管经二氧化碳焊接制作成C形钢支架、连接支撑横梁采用(60mm*40mm*2mm)±5mm矩形钢管，表面经除油、酸洗、磷化作防锈处理，再静电粉沫喷涂环氧树脂防护层，框架表面无金属部件裸漏；框架静态承重﹥300公斤以上。</w:t>
            </w: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b w:val="0"/>
                <w:bCs/>
                <w:i w:val="0"/>
                <w:iCs w:val="0"/>
                <w:caps w:val="0"/>
                <w:color w:val="auto"/>
                <w:spacing w:val="0"/>
                <w:kern w:val="0"/>
                <w:sz w:val="21"/>
                <w:szCs w:val="21"/>
                <w:highlight w:val="none"/>
                <w:lang w:val="en-US" w:eastAsia="zh-CN" w:bidi="ar"/>
              </w:rPr>
            </w:pPr>
            <w:r>
              <w:rPr>
                <w:rFonts w:hint="eastAsia" w:ascii="宋体" w:hAnsi="宋体" w:eastAsia="宋体" w:cs="宋体"/>
                <w:b w:val="0"/>
                <w:bCs/>
                <w:i w:val="0"/>
                <w:iCs w:val="0"/>
                <w:caps w:val="0"/>
                <w:color w:val="auto"/>
                <w:spacing w:val="0"/>
                <w:kern w:val="0"/>
                <w:sz w:val="21"/>
                <w:szCs w:val="21"/>
                <w:highlight w:val="none"/>
                <w:lang w:val="en-US" w:eastAsia="zh-CN" w:bidi="ar"/>
              </w:rPr>
              <w:t>3.柜体抽面与封板：采用16mm±2mm厚的国产环保型中纤板，所有断面用国产2.0mm厚</w:t>
            </w:r>
            <w:r>
              <w:rPr>
                <w:rFonts w:hint="eastAsia" w:ascii="宋体" w:hAnsi="宋体" w:eastAsia="宋体" w:cs="宋体"/>
                <w:i w:val="0"/>
                <w:iCs w:val="0"/>
                <w:caps w:val="0"/>
                <w:color w:val="auto"/>
                <w:spacing w:val="0"/>
                <w:sz w:val="21"/>
                <w:szCs w:val="21"/>
                <w:highlight w:val="none"/>
                <w:shd w:val="clear" w:fill="FFFFFF"/>
              </w:rPr>
              <w:t>聚氯乙烯</w:t>
            </w:r>
            <w:r>
              <w:rPr>
                <w:rFonts w:hint="eastAsia" w:ascii="宋体" w:hAnsi="宋体" w:eastAsia="宋体" w:cs="宋体"/>
                <w:b w:val="0"/>
                <w:bCs/>
                <w:i w:val="0"/>
                <w:iCs w:val="0"/>
                <w:caps w:val="0"/>
                <w:color w:val="auto"/>
                <w:spacing w:val="0"/>
                <w:kern w:val="0"/>
                <w:sz w:val="21"/>
                <w:szCs w:val="21"/>
                <w:highlight w:val="none"/>
                <w:lang w:val="en-US" w:eastAsia="zh-CN" w:bidi="ar"/>
              </w:rPr>
              <w:t>封边。</w:t>
            </w: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b w:val="0"/>
                <w:bCs/>
                <w:i w:val="0"/>
                <w:iCs w:val="0"/>
                <w:caps w:val="0"/>
                <w:color w:val="auto"/>
                <w:spacing w:val="0"/>
                <w:kern w:val="0"/>
                <w:sz w:val="21"/>
                <w:szCs w:val="21"/>
                <w:highlight w:val="none"/>
                <w:lang w:val="en-US" w:eastAsia="zh-CN" w:bidi="ar"/>
              </w:rPr>
            </w:pPr>
            <w:r>
              <w:rPr>
                <w:rFonts w:hint="eastAsia" w:ascii="宋体" w:hAnsi="宋体" w:eastAsia="宋体" w:cs="宋体"/>
                <w:b w:val="0"/>
                <w:bCs/>
                <w:i w:val="0"/>
                <w:iCs w:val="0"/>
                <w:caps w:val="0"/>
                <w:color w:val="auto"/>
                <w:spacing w:val="0"/>
                <w:kern w:val="0"/>
                <w:sz w:val="21"/>
                <w:szCs w:val="21"/>
                <w:highlight w:val="none"/>
                <w:lang w:val="en-US" w:eastAsia="zh-CN" w:bidi="ar"/>
              </w:rPr>
              <w:t>4.台面：采用50mm±2mm厚金钢砂大理石制作。</w:t>
            </w:r>
          </w:p>
          <w:p>
            <w:pPr>
              <w:keepNext w:val="0"/>
              <w:keepLines w:val="0"/>
              <w:widowControl/>
              <w:suppressLineNumbers w:val="0"/>
              <w:jc w:val="left"/>
              <w:textAlignment w:val="center"/>
              <w:rPr>
                <w:rFonts w:ascii="宋体" w:hAnsi="宋体"/>
                <w:color w:val="auto"/>
                <w:sz w:val="22"/>
                <w:szCs w:val="22"/>
                <w:highlight w:val="none"/>
              </w:rPr>
            </w:pPr>
            <w:r>
              <w:rPr>
                <w:rFonts w:hint="eastAsia" w:asciiTheme="minorHAnsi" w:hAnsiTheme="minorHAnsi" w:eastAsiaTheme="minorEastAsia" w:cstheme="minorBidi"/>
                <w:color w:val="auto"/>
                <w:kern w:val="2"/>
                <w:sz w:val="21"/>
                <w:szCs w:val="22"/>
                <w:highlight w:val="none"/>
                <w:lang w:val="en-US" w:eastAsia="zh-CN" w:bidi="ar-SA"/>
              </w:rPr>
              <w:t>▲</w:t>
            </w:r>
            <w:r>
              <w:rPr>
                <w:rFonts w:hint="eastAsia" w:ascii="宋体" w:hAnsi="宋体" w:eastAsia="宋体" w:cs="宋体"/>
                <w:b w:val="0"/>
                <w:bCs/>
                <w:i w:val="0"/>
                <w:iCs w:val="0"/>
                <w:caps w:val="0"/>
                <w:color w:val="auto"/>
                <w:spacing w:val="0"/>
                <w:kern w:val="0"/>
                <w:sz w:val="21"/>
                <w:szCs w:val="21"/>
                <w:highlight w:val="none"/>
                <w:lang w:val="en-US" w:eastAsia="zh-CN" w:bidi="ar"/>
              </w:rPr>
              <w:t>5.尺寸：800mm*600mm*850mm±50mm</w:t>
            </w:r>
          </w:p>
        </w:tc>
      </w:tr>
      <w:tr>
        <w:tblPrEx>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万分之一天平</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heme="minorHAnsi" w:hAnsiTheme="minorHAnsi" w:eastAsiaTheme="minorEastAsia" w:cstheme="minorBidi"/>
                <w:color w:val="auto"/>
                <w:kern w:val="2"/>
                <w:sz w:val="21"/>
                <w:szCs w:val="22"/>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1.精度：万分之一</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heme="minorHAnsi" w:hAnsiTheme="minorHAnsi" w:eastAsiaTheme="minorEastAsia" w:cstheme="minorBidi"/>
                <w:color w:val="auto"/>
                <w:kern w:val="2"/>
                <w:sz w:val="21"/>
                <w:szCs w:val="22"/>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2.最大量程：100g～199g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3.校准：外校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4.可读性（mg）：≥0.1mg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5.量程（g）：≥120g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6.秤盘尺寸（mm）：≤90mm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7.校准方式：外校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8.重复性(≤mg)：≤0.1mg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9.线性(≤mg)：≤0.2mg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10.类型：单量程</w:t>
            </w:r>
          </w:p>
        </w:tc>
      </w:tr>
    </w:tbl>
    <w:p>
      <w:pPr>
        <w:pStyle w:val="12"/>
        <w:widowControl/>
        <w:shd w:val="clear" w:color="auto" w:fill="FFFFFF"/>
        <w:spacing w:beforeAutospacing="0" w:afterAutospacing="0"/>
        <w:rPr>
          <w:rFonts w:ascii="微软雅黑" w:hAnsi="微软雅黑" w:eastAsia="微软雅黑" w:cs="微软雅黑"/>
          <w:color w:val="auto"/>
          <w:szCs w:val="21"/>
          <w:highlight w:val="none"/>
        </w:rPr>
      </w:pPr>
      <w:r>
        <w:rPr>
          <w:rStyle w:val="16"/>
          <w:rFonts w:hint="eastAsia" w:ascii="宋体" w:hAnsi="宋体"/>
          <w:color w:val="auto"/>
          <w:sz w:val="32"/>
          <w:szCs w:val="32"/>
          <w:highlight w:val="none"/>
          <w:shd w:val="clear" w:color="auto" w:fill="FFFFFF"/>
        </w:rPr>
        <w:t> </w:t>
      </w:r>
      <w:r>
        <w:rPr>
          <w:rStyle w:val="16"/>
          <w:rFonts w:hint="eastAsia" w:ascii="宋体" w:hAnsi="宋体"/>
          <w:color w:val="auto"/>
          <w:sz w:val="32"/>
          <w:szCs w:val="32"/>
          <w:highlight w:val="none"/>
          <w:shd w:val="clear" w:color="auto" w:fill="FFFFFF"/>
          <w:lang w:val="en-US" w:eastAsia="zh-CN"/>
        </w:rPr>
        <w:t xml:space="preserve">  </w:t>
      </w:r>
      <w:r>
        <w:rPr>
          <w:rStyle w:val="16"/>
          <w:rFonts w:hint="eastAsia" w:ascii="宋体" w:hAnsi="宋体"/>
          <w:color w:val="auto"/>
          <w:sz w:val="32"/>
          <w:szCs w:val="32"/>
          <w:highlight w:val="none"/>
          <w:shd w:val="clear" w:color="auto" w:fill="FFFFFF"/>
          <w:lang w:eastAsia="zh-CN"/>
        </w:rPr>
        <w:t>三</w:t>
      </w:r>
      <w:r>
        <w:rPr>
          <w:rStyle w:val="16"/>
          <w:rFonts w:hint="eastAsia" w:ascii="宋体" w:hAnsi="宋体"/>
          <w:color w:val="auto"/>
          <w:kern w:val="0"/>
          <w:sz w:val="32"/>
          <w:szCs w:val="32"/>
          <w:highlight w:val="none"/>
          <w:shd w:val="clear" w:color="auto" w:fill="FFFFFF"/>
        </w:rPr>
        <w:t>、商务需求</w:t>
      </w:r>
    </w:p>
    <w:tbl>
      <w:tblPr>
        <w:tblStyle w:val="14"/>
        <w:tblW w:w="89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6"/>
        <w:gridCol w:w="2054"/>
        <w:gridCol w:w="60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82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highlight w:val="none"/>
              </w:rPr>
            </w:pPr>
            <w:r>
              <w:rPr>
                <w:rStyle w:val="16"/>
                <w:rFonts w:hint="eastAsia" w:ascii="宋体" w:hAnsi="宋体"/>
                <w:color w:val="auto"/>
                <w:kern w:val="0"/>
                <w:sz w:val="24"/>
                <w:highlight w:val="none"/>
              </w:rPr>
              <w:t>序号</w:t>
            </w:r>
          </w:p>
        </w:tc>
        <w:tc>
          <w:tcPr>
            <w:tcW w:w="205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highlight w:val="none"/>
              </w:rPr>
            </w:pPr>
            <w:r>
              <w:rPr>
                <w:rStyle w:val="16"/>
                <w:rFonts w:hint="eastAsia" w:ascii="宋体" w:hAnsi="宋体"/>
                <w:color w:val="auto"/>
                <w:kern w:val="0"/>
                <w:sz w:val="24"/>
                <w:highlight w:val="none"/>
              </w:rPr>
              <w:t>目录</w:t>
            </w:r>
          </w:p>
        </w:tc>
        <w:tc>
          <w:tcPr>
            <w:tcW w:w="603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highlight w:val="none"/>
              </w:rPr>
            </w:pPr>
            <w:r>
              <w:rPr>
                <w:rStyle w:val="16"/>
                <w:rFonts w:hint="eastAsia" w:ascii="宋体" w:hAnsi="宋体"/>
                <w:color w:val="auto"/>
                <w:kern w:val="0"/>
                <w:sz w:val="24"/>
                <w:highlight w:val="none"/>
              </w:rPr>
              <w:t>招标商务需求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0" w:hRule="atLeast"/>
        </w:trPr>
        <w:tc>
          <w:tcPr>
            <w:tcW w:w="8919" w:type="dxa"/>
            <w:gridSpan w:val="3"/>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highlight w:val="none"/>
              </w:rPr>
            </w:pPr>
            <w:r>
              <w:rPr>
                <w:rStyle w:val="16"/>
                <w:rFonts w:hint="eastAsia" w:ascii="宋体" w:hAnsi="宋体"/>
                <w:color w:val="auto"/>
                <w:kern w:val="0"/>
                <w:sz w:val="24"/>
                <w:highlight w:val="none"/>
              </w:rPr>
              <w:t>（一）免费保修期内售后服务要求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1</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维修响应及故障解决时间</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sz w:val="22"/>
                <w:szCs w:val="22"/>
                <w:highlight w:val="none"/>
              </w:rPr>
            </w:pPr>
            <w:r>
              <w:rPr>
                <w:rFonts w:hint="eastAsia" w:ascii="宋体" w:hAnsi="宋体"/>
                <w:color w:val="auto"/>
                <w:kern w:val="0"/>
                <w:sz w:val="22"/>
                <w:szCs w:val="22"/>
                <w:highlight w:val="none"/>
              </w:rPr>
              <w:t>中标人在接到故障报修后30分钟内做出响应，2小时内携带备件到达现场，到达现场后4小时内必须处理完故障，因特殊或其它原因引起的设施损坏，投标人须保证在24小时内提供相应的备品备件，保证系统的正常运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2</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关于免费保修期</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pStyle w:val="23"/>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color w:val="auto"/>
                <w:sz w:val="22"/>
                <w:szCs w:val="22"/>
                <w:highlight w:val="none"/>
              </w:rPr>
            </w:pPr>
            <w:r>
              <w:rPr>
                <w:rFonts w:hint="eastAsia" w:ascii="宋体" w:hAnsi="宋体" w:eastAsia="宋体" w:cs="宋体"/>
                <w:b w:val="0"/>
                <w:bCs/>
                <w:color w:val="auto"/>
                <w:sz w:val="21"/>
                <w:szCs w:val="21"/>
                <w:highlight w:val="none"/>
                <w:lang w:val="en-US" w:eastAsia="zh-CN"/>
              </w:rPr>
              <w:t>投标供应商必须承诺对项目的免费</w:t>
            </w:r>
            <w:bookmarkStart w:id="10" w:name="_GoBack"/>
            <w:bookmarkEnd w:id="10"/>
            <w:r>
              <w:rPr>
                <w:rFonts w:hint="eastAsia" w:ascii="宋体" w:hAnsi="宋体" w:eastAsia="宋体" w:cs="宋体"/>
                <w:b w:val="0"/>
                <w:bCs/>
                <w:color w:val="auto"/>
                <w:sz w:val="21"/>
                <w:szCs w:val="21"/>
                <w:highlight w:val="none"/>
                <w:lang w:val="en-US" w:eastAsia="zh-CN"/>
              </w:rPr>
              <w:t>质保期至少为1年。保证所提供的设备均为符合国家标准的合格产品，且承诺提供符合或高于国家标准的质保时间。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3</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售后服务承诺</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left"/>
              <w:rPr>
                <w:color w:val="auto"/>
                <w:sz w:val="22"/>
                <w:szCs w:val="22"/>
                <w:highlight w:val="none"/>
              </w:rPr>
            </w:pPr>
            <w:r>
              <w:rPr>
                <w:rFonts w:hint="eastAsia" w:ascii="宋体" w:hAnsi="宋体"/>
                <w:color w:val="auto"/>
                <w:kern w:val="0"/>
                <w:sz w:val="22"/>
                <w:szCs w:val="22"/>
                <w:highlight w:val="none"/>
              </w:rPr>
              <w:t>3.1投标人应具有提供日常维护和技术支持的能力；</w:t>
            </w:r>
          </w:p>
          <w:p>
            <w:pPr>
              <w:widowControl/>
              <w:jc w:val="left"/>
              <w:rPr>
                <w:color w:val="auto"/>
                <w:sz w:val="22"/>
                <w:szCs w:val="22"/>
                <w:highlight w:val="none"/>
              </w:rPr>
            </w:pPr>
            <w:r>
              <w:rPr>
                <w:rFonts w:hint="eastAsia" w:ascii="宋体" w:hAnsi="宋体"/>
                <w:color w:val="auto"/>
                <w:kern w:val="0"/>
                <w:sz w:val="22"/>
                <w:szCs w:val="22"/>
                <w:highlight w:val="none"/>
              </w:rPr>
              <w:t>3.2投标人应在深圳市设有合法经营的售后服务机构（即投标人在深圳市内注册或设有分公司或合法注册的其他分支机构），投标人提供相关证明扫描件。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4</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质量保证</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left"/>
              <w:rPr>
                <w:color w:val="auto"/>
                <w:sz w:val="22"/>
                <w:szCs w:val="22"/>
                <w:highlight w:val="none"/>
              </w:rPr>
            </w:pPr>
            <w:r>
              <w:rPr>
                <w:rFonts w:hint="eastAsia" w:ascii="宋体" w:hAnsi="宋体"/>
                <w:color w:val="auto"/>
                <w:kern w:val="0"/>
                <w:sz w:val="22"/>
                <w:szCs w:val="22"/>
                <w:highlight w:val="none"/>
              </w:rPr>
              <w:t>4.1投标人需保证投标设备的质量技术标准符合国家法律法规规定的标准和招标文件所要求的技术标准执行；</w:t>
            </w:r>
          </w:p>
          <w:p>
            <w:pPr>
              <w:widowControl/>
              <w:jc w:val="left"/>
              <w:rPr>
                <w:color w:val="auto"/>
                <w:sz w:val="22"/>
                <w:szCs w:val="22"/>
                <w:highlight w:val="none"/>
              </w:rPr>
            </w:pPr>
            <w:r>
              <w:rPr>
                <w:rFonts w:hint="eastAsia" w:ascii="宋体" w:hAnsi="宋体"/>
                <w:color w:val="auto"/>
                <w:kern w:val="0"/>
                <w:sz w:val="22"/>
                <w:szCs w:val="22"/>
                <w:highlight w:val="none"/>
              </w:rPr>
              <w:t>4.2保证提供设备为原厂全新产品，否则甲方有权按退货处理并追究相关责任。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919" w:type="dxa"/>
            <w:gridSpan w:val="3"/>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highlight w:val="none"/>
              </w:rPr>
            </w:pPr>
            <w:r>
              <w:rPr>
                <w:rStyle w:val="16"/>
                <w:rFonts w:hint="eastAsia" w:ascii="宋体" w:hAnsi="宋体"/>
                <w:color w:val="auto"/>
                <w:kern w:val="0"/>
                <w:sz w:val="24"/>
                <w:highlight w:val="none"/>
              </w:rPr>
              <w:t>（二）其他商务要求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eastAsia="宋体"/>
                <w:color w:val="auto"/>
                <w:sz w:val="22"/>
                <w:szCs w:val="22"/>
                <w:highlight w:val="none"/>
                <w:lang w:eastAsia="zh-CN"/>
              </w:rPr>
            </w:pPr>
            <w:r>
              <w:rPr>
                <w:rStyle w:val="16"/>
                <w:rFonts w:hint="eastAsia" w:ascii="宋体" w:hAnsi="宋体"/>
                <w:color w:val="auto"/>
                <w:kern w:val="0"/>
                <w:sz w:val="22"/>
                <w:szCs w:val="22"/>
                <w:highlight w:val="none"/>
                <w:lang w:val="en-US" w:eastAsia="zh-CN"/>
              </w:rPr>
              <w:t>5</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关于交货</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sz w:val="22"/>
                <w:szCs w:val="22"/>
                <w:highlight w:val="none"/>
              </w:rPr>
            </w:pPr>
            <w:r>
              <w:rPr>
                <w:rFonts w:hint="eastAsia" w:ascii="宋体" w:hAnsi="宋体"/>
                <w:color w:val="auto"/>
                <w:kern w:val="0"/>
                <w:sz w:val="22"/>
                <w:szCs w:val="22"/>
                <w:highlight w:val="none"/>
                <w:lang w:val="en-US" w:eastAsia="zh-CN"/>
              </w:rPr>
              <w:t>5</w:t>
            </w:r>
            <w:r>
              <w:rPr>
                <w:rFonts w:hint="eastAsia" w:ascii="宋体" w:hAnsi="宋体"/>
                <w:color w:val="auto"/>
                <w:kern w:val="0"/>
                <w:sz w:val="22"/>
                <w:szCs w:val="22"/>
                <w:highlight w:val="none"/>
              </w:rPr>
              <w:t>.1交货地点：深圳市第一职业技术学校</w:t>
            </w:r>
          </w:p>
          <w:p>
            <w:pPr>
              <w:widowControl/>
              <w:jc w:val="left"/>
              <w:rPr>
                <w:color w:val="auto"/>
                <w:sz w:val="22"/>
                <w:szCs w:val="22"/>
                <w:highlight w:val="none"/>
              </w:rPr>
            </w:pPr>
            <w:r>
              <w:rPr>
                <w:rFonts w:hint="eastAsia" w:ascii="宋体" w:hAnsi="宋体"/>
                <w:color w:val="auto"/>
                <w:kern w:val="0"/>
                <w:sz w:val="22"/>
                <w:szCs w:val="22"/>
                <w:highlight w:val="none"/>
                <w:lang w:val="en-US" w:eastAsia="zh-CN"/>
              </w:rPr>
              <w:t>5</w:t>
            </w:r>
            <w:r>
              <w:rPr>
                <w:rFonts w:hint="eastAsia" w:ascii="宋体" w:hAnsi="宋体"/>
                <w:color w:val="auto"/>
                <w:kern w:val="0"/>
                <w:sz w:val="22"/>
                <w:szCs w:val="22"/>
                <w:highlight w:val="none"/>
              </w:rPr>
              <w:t>.2投标人必须承担的设备运输、安装调试、验收检测和提供设备操作说明书、图纸等其他类似的义务。</w:t>
            </w:r>
          </w:p>
          <w:p>
            <w:pPr>
              <w:widowControl/>
              <w:jc w:val="left"/>
              <w:rPr>
                <w:color w:val="auto"/>
                <w:sz w:val="22"/>
                <w:szCs w:val="22"/>
                <w:highlight w:val="none"/>
              </w:rPr>
            </w:pPr>
            <w:r>
              <w:rPr>
                <w:rFonts w:hint="eastAsia" w:ascii="宋体" w:hAnsi="宋体"/>
                <w:color w:val="auto"/>
                <w:kern w:val="0"/>
                <w:sz w:val="22"/>
                <w:szCs w:val="22"/>
                <w:highlight w:val="none"/>
              </w:rPr>
              <w:t>1.3签订合同后</w:t>
            </w:r>
            <w:r>
              <w:rPr>
                <w:rFonts w:hint="eastAsia" w:ascii="宋体" w:hAnsi="宋体"/>
                <w:color w:val="auto"/>
                <w:kern w:val="0"/>
                <w:sz w:val="22"/>
                <w:szCs w:val="22"/>
                <w:highlight w:val="none"/>
                <w:lang w:val="en-US" w:eastAsia="zh-CN"/>
              </w:rPr>
              <w:t>5</w:t>
            </w:r>
            <w:r>
              <w:rPr>
                <w:rFonts w:hint="eastAsia" w:ascii="宋体" w:hAnsi="宋体"/>
                <w:color w:val="auto"/>
                <w:kern w:val="0"/>
                <w:sz w:val="22"/>
                <w:szCs w:val="22"/>
                <w:highlight w:val="none"/>
              </w:rPr>
              <w:t>天（日历日）内交货。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eastAsia="宋体"/>
                <w:color w:val="auto"/>
                <w:sz w:val="22"/>
                <w:szCs w:val="22"/>
                <w:highlight w:val="none"/>
                <w:lang w:eastAsia="zh-CN"/>
              </w:rPr>
            </w:pPr>
            <w:r>
              <w:rPr>
                <w:rStyle w:val="16"/>
                <w:rFonts w:hint="eastAsia" w:ascii="宋体" w:hAnsi="宋体"/>
                <w:color w:val="auto"/>
                <w:kern w:val="0"/>
                <w:sz w:val="22"/>
                <w:szCs w:val="22"/>
                <w:highlight w:val="none"/>
                <w:lang w:val="en-US" w:eastAsia="zh-CN"/>
              </w:rPr>
              <w:t>6</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关于验收</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验收标准及要求：</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6.1.验收由采购人负责实施；</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6.2.验收依据：</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（1）合同、招标文件、投标文件；</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（2）供应商提供的技术规格、经采购人认可的合同货物的有效检验文件；</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（3）供应商投标文件中提供的经采购人认可的合同货物的验收标准（符合中国有关的国家、地方、行业标准）和检测办法及相应检测手段。</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6.3供应商应派员在所供货物到采购人处时进行到货验收，有需要时能联系产品制造商到场共同验收，若发现任何损坏及质量问题，供应商负责妥善处理直至采购人满意，由此产生的费用由供应商承担。</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6.4验收合格的条件：</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（1）符合产品标准和及合同的要求；</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（2）在进行测试和验收过程中发现的问题已被解决并得到采购人的认可；</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（3）合同中规定的所有货物和材料均已交付；</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（4）所供货物已通过使用单位组织的验收；</w:t>
            </w:r>
          </w:p>
          <w:p>
            <w:pPr>
              <w:pStyle w:val="24"/>
              <w:keepNext w:val="0"/>
              <w:keepLines w:val="0"/>
              <w:pageBreakBefore w:val="0"/>
              <w:numPr>
                <w:ilvl w:val="0"/>
                <w:numId w:val="0"/>
              </w:numPr>
              <w:kinsoku/>
              <w:wordWrap/>
              <w:overflowPunct/>
              <w:topLinePunct w:val="0"/>
              <w:autoSpaceDE/>
              <w:autoSpaceDN/>
              <w:bidi w:val="0"/>
              <w:spacing w:line="240" w:lineRule="auto"/>
              <w:ind w:left="0" w:leftChars="0" w:right="0" w:rightChars="0" w:firstLine="0" w:firstLineChars="0"/>
              <w:jc w:val="left"/>
              <w:rPr>
                <w:rFonts w:hint="eastAsia" w:ascii="宋体" w:hAnsi="宋体" w:eastAsia="宋体" w:cs="宋体"/>
                <w:b w:val="0"/>
                <w:bCs/>
                <w:kern w:val="0"/>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（5）所有相关的技术文件及资料均已提交并得到接受。</w:t>
            </w:r>
          </w:p>
          <w:p>
            <w:pPr>
              <w:widowControl/>
              <w:jc w:val="left"/>
              <w:rPr>
                <w:color w:val="auto"/>
                <w:sz w:val="22"/>
                <w:szCs w:val="22"/>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80"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eastAsia="宋体"/>
                <w:color w:val="auto"/>
                <w:sz w:val="22"/>
                <w:szCs w:val="22"/>
                <w:highlight w:val="none"/>
                <w:lang w:eastAsia="zh-CN"/>
              </w:rPr>
            </w:pPr>
            <w:r>
              <w:rPr>
                <w:rStyle w:val="16"/>
                <w:rFonts w:hint="eastAsia" w:ascii="宋体" w:hAnsi="宋体"/>
                <w:color w:val="auto"/>
                <w:kern w:val="0"/>
                <w:sz w:val="22"/>
                <w:szCs w:val="22"/>
                <w:highlight w:val="none"/>
                <w:lang w:val="en-US" w:eastAsia="zh-CN"/>
              </w:rPr>
              <w:t>7</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关于报价</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left"/>
              <w:rPr>
                <w:color w:val="auto"/>
                <w:sz w:val="22"/>
                <w:szCs w:val="22"/>
                <w:highlight w:val="none"/>
              </w:rPr>
            </w:pPr>
            <w:r>
              <w:rPr>
                <w:rFonts w:hint="eastAsia" w:ascii="宋体" w:hAnsi="宋体"/>
                <w:color w:val="auto"/>
                <w:kern w:val="0"/>
                <w:sz w:val="22"/>
                <w:szCs w:val="22"/>
                <w:highlight w:val="none"/>
              </w:rPr>
              <w:t>本项目投标总价（以人民币计价）必须是满足该项目招标需求费用总和，包括但不限于设备及材料费、辅助材料费、仓储费、运输费、装卸费、保险费、技术培训费、设备安装费、测试费、巡检费及国家规定的各项税费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eastAsia="宋体"/>
                <w:color w:val="auto"/>
                <w:sz w:val="22"/>
                <w:szCs w:val="22"/>
                <w:highlight w:val="none"/>
                <w:lang w:eastAsia="zh-CN"/>
              </w:rPr>
            </w:pPr>
            <w:r>
              <w:rPr>
                <w:rStyle w:val="16"/>
                <w:rFonts w:hint="eastAsia" w:ascii="宋体" w:hAnsi="宋体"/>
                <w:color w:val="auto"/>
                <w:kern w:val="0"/>
                <w:sz w:val="22"/>
                <w:szCs w:val="22"/>
                <w:highlight w:val="none"/>
                <w:lang w:val="en-US" w:eastAsia="zh-CN"/>
              </w:rPr>
              <w:t>8</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关于付款</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sz w:val="22"/>
                <w:szCs w:val="22"/>
                <w:highlight w:val="none"/>
              </w:rPr>
            </w:pPr>
            <w:r>
              <w:rPr>
                <w:rFonts w:hint="eastAsia" w:ascii="宋体" w:hAnsi="宋体"/>
                <w:color w:val="auto"/>
                <w:kern w:val="0"/>
                <w:sz w:val="22"/>
                <w:szCs w:val="22"/>
                <w:highlight w:val="none"/>
              </w:rPr>
              <w:t>在签订合同</w:t>
            </w:r>
            <w:r>
              <w:rPr>
                <w:rFonts w:hint="eastAsia" w:ascii="宋体" w:hAnsi="宋体"/>
                <w:color w:val="auto"/>
                <w:kern w:val="0"/>
                <w:sz w:val="22"/>
                <w:szCs w:val="22"/>
                <w:highlight w:val="none"/>
                <w:lang w:eastAsia="zh-CN"/>
              </w:rPr>
              <w:t>、</w:t>
            </w:r>
            <w:r>
              <w:rPr>
                <w:rFonts w:hint="eastAsia" w:ascii="宋体" w:hAnsi="宋体"/>
                <w:color w:val="auto"/>
                <w:kern w:val="0"/>
                <w:sz w:val="22"/>
                <w:szCs w:val="22"/>
                <w:highlight w:val="none"/>
              </w:rPr>
              <w:t>货物安装、调试完毕且验收合格后10个工作日内</w:t>
            </w:r>
            <w:r>
              <w:rPr>
                <w:rFonts w:hint="eastAsia" w:ascii="宋体" w:hAnsi="宋体"/>
                <w:color w:val="auto"/>
                <w:kern w:val="0"/>
                <w:sz w:val="22"/>
                <w:szCs w:val="22"/>
                <w:highlight w:val="none"/>
                <w:lang w:eastAsia="zh-CN"/>
              </w:rPr>
              <w:t>一次性</w:t>
            </w:r>
            <w:r>
              <w:rPr>
                <w:rFonts w:hint="eastAsia" w:ascii="宋体" w:hAnsi="宋体"/>
                <w:color w:val="auto"/>
                <w:kern w:val="0"/>
                <w:sz w:val="22"/>
                <w:szCs w:val="22"/>
                <w:highlight w:val="none"/>
              </w:rPr>
              <w:t>支付合同金额的</w:t>
            </w:r>
            <w:r>
              <w:rPr>
                <w:rFonts w:hint="eastAsia" w:ascii="宋体" w:hAnsi="宋体"/>
                <w:color w:val="auto"/>
                <w:kern w:val="0"/>
                <w:sz w:val="22"/>
                <w:szCs w:val="22"/>
                <w:highlight w:val="none"/>
                <w:lang w:val="en-US" w:eastAsia="zh-CN"/>
              </w:rPr>
              <w:t>100</w:t>
            </w:r>
            <w:r>
              <w:rPr>
                <w:rFonts w:hint="eastAsia" w:ascii="宋体" w:hAnsi="宋体"/>
                <w:color w:val="auto"/>
                <w:kern w:val="0"/>
                <w:sz w:val="22"/>
                <w:szCs w:val="22"/>
                <w:highlight w:val="none"/>
              </w:rPr>
              <w:t>%。</w:t>
            </w:r>
          </w:p>
        </w:tc>
      </w:tr>
    </w:tbl>
    <w:p>
      <w:pPr>
        <w:widowControl/>
        <w:shd w:val="clear" w:color="auto" w:fill="FFFFFF"/>
        <w:jc w:val="left"/>
        <w:rPr>
          <w:color w:val="auto"/>
          <w:highlight w:val="none"/>
        </w:rPr>
      </w:pPr>
      <w:r>
        <w:rPr>
          <w:rStyle w:val="16"/>
          <w:rFonts w:hint="eastAsia" w:ascii="微软雅黑" w:hAnsi="微软雅黑" w:eastAsia="微软雅黑" w:cs="微软雅黑"/>
          <w:color w:val="auto"/>
          <w:kern w:val="0"/>
          <w:sz w:val="22"/>
          <w:szCs w:val="22"/>
          <w:highlight w:val="none"/>
          <w:shd w:val="clear" w:color="auto" w:fill="FFFFFF"/>
        </w:rPr>
        <w:t> </w:t>
      </w:r>
      <w:bookmarkStart w:id="8" w:name="bt投标书"/>
      <w:bookmarkEnd w:id="8"/>
      <w:bookmarkStart w:id="9" w:name="bt附件"/>
      <w:bookmarkEnd w:id="9"/>
    </w:p>
    <w:p>
      <w:pPr>
        <w:pStyle w:val="2"/>
      </w:pPr>
      <w:r>
        <w:rPr>
          <w:rFonts w:hint="eastAsia"/>
        </w:rPr>
        <w:t>第三章  投标文件格式</w:t>
      </w:r>
    </w:p>
    <w:p>
      <w:pPr>
        <w:rPr>
          <w:rStyle w:val="21"/>
          <w:rFonts w:ascii="宋体" w:hAnsi="宋体" w:eastAsia="宋体" w:cs="宋体"/>
          <w:sz w:val="28"/>
          <w:szCs w:val="28"/>
        </w:rPr>
      </w:pPr>
      <w:r>
        <w:rPr>
          <w:rStyle w:val="21"/>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11、实施安全保障措施</w:t>
      </w:r>
    </w:p>
    <w:p>
      <w:pPr>
        <w:rPr>
          <w:rFonts w:ascii="宋体" w:hAnsi="宋体" w:cs="宋体"/>
          <w:sz w:val="24"/>
        </w:rPr>
      </w:pPr>
      <w:r>
        <w:rPr>
          <w:rFonts w:hint="eastAsia" w:ascii="宋体" w:hAnsi="宋体" w:cs="宋体"/>
          <w:sz w:val="24"/>
        </w:rPr>
        <w:t>12、项目实施方案</w:t>
      </w:r>
    </w:p>
    <w:p>
      <w:pPr>
        <w:rPr>
          <w:rFonts w:ascii="宋体" w:hAnsi="宋体" w:cs="宋体"/>
          <w:sz w:val="24"/>
        </w:rPr>
      </w:pPr>
      <w:r>
        <w:rPr>
          <w:rFonts w:hint="eastAsia" w:ascii="宋体" w:hAnsi="宋体" w:cs="宋体"/>
          <w:sz w:val="24"/>
        </w:rPr>
        <w:t>13、售后服务方案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9"/>
      </w:pPr>
    </w:p>
    <w:p>
      <w:pPr>
        <w:pStyle w:val="3"/>
        <w:numPr>
          <w:ilvl w:val="0"/>
          <w:numId w:val="6"/>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3"/>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3"/>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7"/>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3"/>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7"/>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3"/>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7"/>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3"/>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3"/>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3"/>
        <w:jc w:val="center"/>
        <w:rPr>
          <w:rFonts w:cs="宋体"/>
          <w:kern w:val="0"/>
          <w:szCs w:val="28"/>
        </w:rPr>
      </w:pPr>
      <w:r>
        <w:rPr>
          <w:rFonts w:hint="eastAsia" w:cs="宋体"/>
          <w:kern w:val="0"/>
          <w:szCs w:val="28"/>
        </w:rPr>
        <w:t>十一、实施安全保障措施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3"/>
        <w:jc w:val="center"/>
        <w:rPr>
          <w:rFonts w:cs="宋体"/>
          <w:kern w:val="0"/>
          <w:szCs w:val="28"/>
        </w:rPr>
      </w:pPr>
      <w:r>
        <w:rPr>
          <w:rFonts w:hint="eastAsia" w:cs="宋体"/>
          <w:kern w:val="0"/>
          <w:szCs w:val="28"/>
        </w:rPr>
        <w:t>十二、项目实施方案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3"/>
        <w:jc w:val="center"/>
        <w:rPr>
          <w:rFonts w:cs="宋体"/>
          <w:kern w:val="0"/>
          <w:szCs w:val="28"/>
        </w:rPr>
      </w:pPr>
      <w:r>
        <w:rPr>
          <w:rFonts w:hint="eastAsia" w:cs="宋体"/>
          <w:kern w:val="0"/>
          <w:szCs w:val="28"/>
        </w:rPr>
        <w:t>十三、售后服务方案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9"/>
        <w:ind w:firstLine="422"/>
        <w:rPr>
          <w:rFonts w:ascii="宋体" w:hAnsi="宋体" w:cs="宋体"/>
          <w:b/>
        </w:rPr>
      </w:pPr>
    </w:p>
    <w:p>
      <w:pPr>
        <w:pStyle w:val="4"/>
      </w:pPr>
    </w:p>
    <w:p>
      <w:pPr>
        <w:pStyle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1A0D"/>
    <w:multiLevelType w:val="singleLevel"/>
    <w:tmpl w:val="92C11A0D"/>
    <w:lvl w:ilvl="0" w:tentative="0">
      <w:start w:val="1"/>
      <w:numFmt w:val="decimal"/>
      <w:suff w:val="nothing"/>
      <w:lvlText w:val="%1、"/>
      <w:lvlJc w:val="left"/>
    </w:lvl>
  </w:abstractNum>
  <w:abstractNum w:abstractNumId="1">
    <w:nsid w:val="B71CD0F6"/>
    <w:multiLevelType w:val="singleLevel"/>
    <w:tmpl w:val="B71CD0F6"/>
    <w:lvl w:ilvl="0" w:tentative="0">
      <w:start w:val="2"/>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85A461"/>
    <w:multiLevelType w:val="singleLevel"/>
    <w:tmpl w:val="3C85A461"/>
    <w:lvl w:ilvl="0" w:tentative="0">
      <w:start w:val="1"/>
      <w:numFmt w:val="decimal"/>
      <w:suff w:val="nothing"/>
      <w:lvlText w:val="%1、"/>
      <w:lvlJc w:val="left"/>
    </w:lvl>
  </w:abstractNum>
  <w:abstractNum w:abstractNumId="5">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5A748D"/>
    <w:multiLevelType w:val="singleLevel"/>
    <w:tmpl w:val="625A748D"/>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180D3237"/>
    <w:rsid w:val="26B82091"/>
    <w:rsid w:val="3C602787"/>
    <w:rsid w:val="411F02FE"/>
    <w:rsid w:val="4B465BD2"/>
    <w:rsid w:val="4E273257"/>
    <w:rsid w:val="52B37A56"/>
    <w:rsid w:val="565A0366"/>
    <w:rsid w:val="59E33C70"/>
    <w:rsid w:val="62E8739E"/>
    <w:rsid w:val="6BBD7F7B"/>
    <w:rsid w:val="6EE92007"/>
    <w:rsid w:val="772174F0"/>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kern w:val="44"/>
      <w:sz w:val="32"/>
      <w:szCs w:val="36"/>
    </w:rPr>
  </w:style>
  <w:style w:type="paragraph" w:styleId="5">
    <w:name w:val="heading 2"/>
    <w:basedOn w:val="3"/>
    <w:next w:val="4"/>
    <w:qFormat/>
    <w:uiPriority w:val="0"/>
    <w:pPr>
      <w:adjustRightInd w:val="0"/>
      <w:jc w:val="center"/>
      <w:textAlignment w:val="baseline"/>
      <w:outlineLvl w:val="1"/>
    </w:pPr>
    <w:rPr>
      <w:bCs w:val="0"/>
      <w:kern w:val="0"/>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line="360" w:lineRule="auto"/>
    </w:pPr>
    <w:rPr>
      <w:b/>
      <w:bCs/>
      <w:sz w:val="24"/>
    </w:rPr>
  </w:style>
  <w:style w:type="paragraph" w:styleId="8">
    <w:name w:val="Body Text Indent"/>
    <w:basedOn w:val="1"/>
    <w:next w:val="9"/>
    <w:qFormat/>
    <w:uiPriority w:val="0"/>
    <w:pPr>
      <w:spacing w:line="360" w:lineRule="auto"/>
      <w:ind w:firstLine="420" w:firstLineChars="200"/>
    </w:pPr>
  </w:style>
  <w:style w:type="paragraph" w:styleId="9">
    <w:name w:val="Body Text First Indent 2"/>
    <w:basedOn w:val="8"/>
    <w:unhideWhenUsed/>
    <w:qFormat/>
    <w:uiPriority w:val="99"/>
    <w:pPr>
      <w:spacing w:after="120"/>
      <w:ind w:left="420" w:leftChars="200"/>
    </w:pPr>
    <w:rPr>
      <w:rFonts w:ascii="Calibri" w:hAnsi="Calibri"/>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rPr>
      <w:sz w:val="24"/>
    </w:rPr>
  </w:style>
  <w:style w:type="paragraph" w:styleId="13">
    <w:name w:val="Body Text First Indent"/>
    <w:basedOn w:val="7"/>
    <w:qFormat/>
    <w:uiPriority w:val="0"/>
    <w:pPr>
      <w:ind w:firstLine="420" w:firstLineChars="100"/>
    </w:pPr>
  </w:style>
  <w:style w:type="character" w:styleId="16">
    <w:name w:val="Strong"/>
    <w:basedOn w:val="15"/>
    <w:qFormat/>
    <w:uiPriority w:val="22"/>
    <w:rPr>
      <w:b/>
      <w:bCs/>
    </w:rPr>
  </w:style>
  <w:style w:type="character" w:styleId="17">
    <w:name w:val="FollowedHyperlink"/>
    <w:basedOn w:val="15"/>
    <w:qFormat/>
    <w:uiPriority w:val="0"/>
    <w:rPr>
      <w:color w:val="954F72" w:themeColor="followedHyperlink"/>
      <w:u w:val="single"/>
      <w14:textFill>
        <w14:solidFill>
          <w14:schemeClr w14:val="folHlink"/>
        </w14:solidFill>
      </w14:textFill>
    </w:r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表格文字"/>
    <w:basedOn w:val="1"/>
    <w:qFormat/>
    <w:uiPriority w:val="99"/>
    <w:pPr>
      <w:spacing w:before="25" w:after="25"/>
    </w:pPr>
    <w:rPr>
      <w:spacing w:val="10"/>
      <w:sz w:val="24"/>
    </w:rPr>
  </w:style>
  <w:style w:type="character" w:customStyle="1" w:styleId="21">
    <w:name w:val="标题 3 Char"/>
    <w:qFormat/>
    <w:uiPriority w:val="0"/>
    <w:rPr>
      <w:rFonts w:ascii="黑体" w:eastAsia="黑体"/>
      <w:bCs/>
      <w:sz w:val="30"/>
    </w:rPr>
  </w:style>
  <w:style w:type="character" w:customStyle="1" w:styleId="22">
    <w:name w:val="Unresolved Mention"/>
    <w:basedOn w:val="15"/>
    <w:semiHidden/>
    <w:unhideWhenUsed/>
    <w:qFormat/>
    <w:uiPriority w:val="99"/>
    <w:rPr>
      <w:color w:val="605E5C"/>
      <w:shd w:val="clear" w:color="auto" w:fill="E1DFDD"/>
    </w:rPr>
  </w:style>
  <w:style w:type="paragraph" w:customStyle="1" w:styleId="23">
    <w:name w:val="列出段落1"/>
    <w:basedOn w:val="1"/>
    <w:qFormat/>
    <w:uiPriority w:val="34"/>
    <w:pPr>
      <w:ind w:firstLine="420" w:firstLineChars="200"/>
    </w:p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1584</Words>
  <Characters>9029</Characters>
  <Lines>75</Lines>
  <Paragraphs>21</Paragraphs>
  <TotalTime>0</TotalTime>
  <ScaleCrop>false</ScaleCrop>
  <LinksUpToDate>false</LinksUpToDate>
  <CharactersWithSpaces>10592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2023-10-13T03:02:00Z</cp:lastPrinted>
  <dcterms:modified xsi:type="dcterms:W3CDTF">2023-12-04T08:33:37Z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FD6E686AA8F54FA38A5CBE3EAA1F9D5D_13</vt:lpwstr>
  </property>
</Properties>
</file>