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智能财税基本技能训练平台</w:t>
      </w:r>
      <w:r>
        <w:rPr>
          <w:rFonts w:hint="eastAsia" w:ascii="华文中宋" w:hAnsi="华文中宋" w:eastAsia="华文中宋"/>
          <w:b/>
          <w:bCs/>
          <w:sz w:val="50"/>
          <w:szCs w:val="44"/>
          <w:lang w:eastAsia="zh-CN"/>
        </w:rPr>
        <w:t>采购</w:t>
      </w:r>
      <w:r>
        <w:rPr>
          <w:rFonts w:hint="eastAsia" w:ascii="华文中宋" w:hAnsi="华文中宋" w:eastAsia="华文中宋"/>
          <w:b/>
          <w:bCs/>
          <w:sz w:val="50"/>
          <w:szCs w:val="44"/>
        </w:rPr>
        <w:t>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w:t>
      </w:r>
      <w:r>
        <w:rPr>
          <w:rFonts w:hint="eastAsia" w:ascii="黑体" w:hAnsi="华文中宋" w:eastAsia="黑体" w:cs="Arial"/>
          <w:sz w:val="32"/>
          <w:szCs w:val="32"/>
          <w:lang w:eastAsia="zh-CN"/>
        </w:rPr>
        <w:t>一</w:t>
      </w:r>
      <w:r>
        <w:rPr>
          <w:rFonts w:hint="eastAsia" w:ascii="黑体" w:hAnsi="华文中宋" w:eastAsia="黑体" w:cs="Arial"/>
          <w:sz w:val="32"/>
          <w:szCs w:val="32"/>
        </w:rPr>
        <w:t>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深圳市第一职业技术学校智能财税基本技能训练平台采购项目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Lines="36"/>
        <w:jc w:val="center"/>
        <w:rPr>
          <w:rFonts w:ascii="宋体" w:hAnsi="宋体" w:cs="宋体"/>
          <w:b/>
        </w:rPr>
      </w:pPr>
      <w:r>
        <w:rPr>
          <w:rFonts w:hint="eastAsia" w:ascii="宋体" w:hAnsi="宋体" w:cs="宋体"/>
          <w:b/>
        </w:rPr>
        <w:t>（凡有下列情形之一的，投标文件无效，投标作废标处理）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6"/>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
      <w:pPr>
        <w:pStyle w:val="11"/>
      </w:pPr>
    </w:p>
    <w:tbl>
      <w:tblPr>
        <w:tblStyle w:val="16"/>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4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22"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31"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kern w:val="0"/>
                <w:szCs w:val="21"/>
              </w:rPr>
              <w:t>技术保障措施</w:t>
            </w:r>
          </w:p>
        </w:tc>
        <w:tc>
          <w:tcPr>
            <w:tcW w:w="1431" w:type="dxa"/>
            <w:vAlign w:val="center"/>
          </w:tcPr>
          <w:p>
            <w:pPr>
              <w:jc w:val="center"/>
              <w:rPr>
                <w:rFonts w:hint="eastAsia" w:ascii="宋体" w:hAnsi="宋体" w:eastAsia="宋体" w:cs="宋体"/>
                <w:kern w:val="0"/>
                <w:sz w:val="22"/>
              </w:rPr>
            </w:pPr>
            <w:r>
              <w:rPr>
                <w:rFonts w:hint="eastAsia" w:ascii="宋体" w:hAnsi="宋体" w:eastAsia="宋体" w:cs="宋体"/>
                <w:szCs w:val="21"/>
                <w:lang w:val="en-US" w:eastAsia="zh-CN"/>
              </w:rPr>
              <w:t>3</w:t>
            </w:r>
          </w:p>
        </w:tc>
        <w:tc>
          <w:tcPr>
            <w:tcW w:w="4678" w:type="dxa"/>
            <w:vAlign w:val="center"/>
          </w:tcPr>
          <w:p>
            <w:pPr>
              <w:rPr>
                <w:rFonts w:hint="eastAsia" w:ascii="宋体" w:hAnsi="宋体" w:eastAsia="宋体" w:cs="宋体"/>
                <w:szCs w:val="21"/>
              </w:rPr>
            </w:pPr>
            <w:r>
              <w:rPr>
                <w:rFonts w:hint="eastAsia" w:ascii="宋体" w:hAnsi="宋体" w:eastAsia="宋体" w:cs="宋体"/>
                <w:szCs w:val="21"/>
              </w:rPr>
              <w:t>(一）评审内容：</w:t>
            </w:r>
          </w:p>
          <w:p>
            <w:pPr>
              <w:rPr>
                <w:rFonts w:hint="eastAsia" w:ascii="宋体" w:hAnsi="宋体" w:eastAsia="宋体" w:cs="宋体"/>
                <w:szCs w:val="21"/>
              </w:rPr>
            </w:pPr>
            <w:r>
              <w:rPr>
                <w:rFonts w:hint="eastAsia" w:ascii="宋体" w:hAnsi="宋体" w:eastAsia="宋体" w:cs="宋体"/>
                <w:szCs w:val="21"/>
              </w:rPr>
              <w:t>在投标文件中详细说明用于本项目的实施方案，内容包含：</w:t>
            </w:r>
          </w:p>
          <w:p>
            <w:pPr>
              <w:rPr>
                <w:rFonts w:hint="eastAsia" w:ascii="宋体" w:hAnsi="宋体" w:eastAsia="宋体" w:cs="宋体"/>
                <w:szCs w:val="21"/>
              </w:rPr>
            </w:pPr>
            <w:r>
              <w:rPr>
                <w:rFonts w:hint="eastAsia" w:ascii="宋体" w:hAnsi="宋体" w:eastAsia="宋体" w:cs="宋体"/>
                <w:szCs w:val="21"/>
              </w:rPr>
              <w:t>（1）项目实施进度表</w:t>
            </w:r>
          </w:p>
          <w:p>
            <w:pPr>
              <w:rPr>
                <w:rFonts w:hint="eastAsia" w:ascii="宋体" w:hAnsi="宋体" w:eastAsia="宋体" w:cs="宋体"/>
                <w:szCs w:val="21"/>
              </w:rPr>
            </w:pPr>
            <w:r>
              <w:rPr>
                <w:rFonts w:hint="eastAsia" w:ascii="宋体" w:hAnsi="宋体" w:eastAsia="宋体" w:cs="宋体"/>
                <w:szCs w:val="21"/>
              </w:rPr>
              <w:t>（2）相关措施方案</w:t>
            </w:r>
          </w:p>
          <w:p>
            <w:pPr>
              <w:rPr>
                <w:rFonts w:hint="eastAsia" w:ascii="宋体" w:hAnsi="宋体" w:eastAsia="宋体" w:cs="宋体"/>
                <w:szCs w:val="21"/>
              </w:rPr>
            </w:pPr>
            <w:r>
              <w:rPr>
                <w:rFonts w:hint="eastAsia" w:ascii="宋体" w:hAnsi="宋体" w:eastAsia="宋体" w:cs="宋体"/>
                <w:szCs w:val="21"/>
              </w:rPr>
              <w:t>（3）安装调试验收方案</w:t>
            </w:r>
          </w:p>
          <w:p>
            <w:pPr>
              <w:rPr>
                <w:rFonts w:hint="eastAsia" w:ascii="宋体" w:hAnsi="宋体" w:eastAsia="宋体" w:cs="宋体"/>
                <w:szCs w:val="21"/>
              </w:rPr>
            </w:pPr>
            <w:r>
              <w:rPr>
                <w:rFonts w:hint="eastAsia" w:ascii="宋体" w:hAnsi="宋体" w:eastAsia="宋体" w:cs="宋体"/>
                <w:szCs w:val="21"/>
              </w:rPr>
              <w:t>（二）评分标准：</w:t>
            </w:r>
          </w:p>
          <w:p>
            <w:pPr>
              <w:rPr>
                <w:rFonts w:hint="eastAsia" w:ascii="宋体" w:hAnsi="宋体" w:eastAsia="宋体" w:cs="宋体"/>
                <w:szCs w:val="21"/>
              </w:rPr>
            </w:pPr>
            <w:r>
              <w:rPr>
                <w:rFonts w:hint="eastAsia" w:ascii="宋体" w:hAnsi="宋体" w:eastAsia="宋体" w:cs="宋体"/>
                <w:szCs w:val="21"/>
                <w:lang w:val="en-US" w:eastAsia="zh-CN"/>
              </w:rPr>
              <w:t>评审专家根据项目实施方案进行评审</w:t>
            </w:r>
            <w:r>
              <w:rPr>
                <w:rFonts w:hint="eastAsia" w:ascii="宋体" w:hAnsi="宋体" w:eastAsia="宋体" w:cs="宋体"/>
                <w:szCs w:val="21"/>
              </w:rPr>
              <w:t>，</w:t>
            </w:r>
            <w:r>
              <w:rPr>
                <w:rFonts w:hint="eastAsia" w:ascii="宋体" w:hAnsi="宋体" w:eastAsia="宋体" w:cs="宋体"/>
                <w:szCs w:val="21"/>
                <w:lang w:val="en-US" w:eastAsia="zh-CN"/>
              </w:rPr>
              <w:t>优得3分，良得2分，中得1分，差得0分；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jc w:val="center"/>
              <w:rPr>
                <w:rFonts w:hint="eastAsia" w:ascii="宋体" w:hAnsi="宋体" w:eastAsia="宋体" w:cs="宋体"/>
                <w:kern w:val="0"/>
                <w:sz w:val="22"/>
                <w:lang w:val="zh-CN"/>
              </w:rPr>
            </w:pPr>
            <w:r>
              <w:rPr>
                <w:rFonts w:hint="eastAsia" w:ascii="宋体" w:hAnsi="宋体" w:eastAsia="宋体" w:cs="宋体"/>
                <w:kern w:val="0"/>
                <w:szCs w:val="21"/>
              </w:rPr>
              <w:t>技术规格偏离情况</w:t>
            </w:r>
          </w:p>
        </w:tc>
        <w:tc>
          <w:tcPr>
            <w:tcW w:w="1431" w:type="dxa"/>
            <w:vAlign w:val="center"/>
          </w:tcPr>
          <w:p>
            <w:pPr>
              <w:jc w:val="center"/>
              <w:rPr>
                <w:rFonts w:hint="eastAsia" w:ascii="宋体" w:hAnsi="宋体" w:eastAsia="宋体" w:cs="宋体"/>
                <w:kern w:val="0"/>
                <w:sz w:val="22"/>
                <w:lang w:val="zh-CN"/>
              </w:rPr>
            </w:pPr>
            <w:r>
              <w:rPr>
                <w:rFonts w:hint="eastAsia" w:ascii="宋体" w:hAnsi="宋体" w:eastAsia="宋体" w:cs="宋体"/>
                <w:szCs w:val="21"/>
              </w:rPr>
              <w:t>4</w:t>
            </w:r>
            <w:r>
              <w:rPr>
                <w:rFonts w:hint="eastAsia" w:ascii="宋体" w:hAnsi="宋体" w:eastAsia="宋体" w:cs="宋体"/>
                <w:szCs w:val="21"/>
                <w:lang w:val="en-US" w:eastAsia="zh-CN"/>
              </w:rPr>
              <w:t>3</w:t>
            </w:r>
          </w:p>
        </w:tc>
        <w:tc>
          <w:tcPr>
            <w:tcW w:w="4678" w:type="dxa"/>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tabs>
                <w:tab w:val="left" w:pos="2869"/>
                <w:tab w:val="left" w:pos="3010"/>
              </w:tabs>
              <w:jc w:val="left"/>
              <w:rPr>
                <w:rFonts w:hint="eastAsia" w:ascii="宋体" w:hAnsi="宋体" w:eastAsia="宋体" w:cs="宋体"/>
                <w:szCs w:val="21"/>
              </w:rPr>
            </w:pPr>
            <w:r>
              <w:rPr>
                <w:rFonts w:hint="eastAsia" w:ascii="宋体" w:hAnsi="宋体" w:eastAsia="宋体" w:cs="宋体"/>
                <w:szCs w:val="21"/>
              </w:rPr>
              <w:t>投标人应如实填写《技术规格偏离表》，评审专家根据技术需求参数响应情况进行评审。</w:t>
            </w:r>
          </w:p>
          <w:p>
            <w:pPr>
              <w:tabs>
                <w:tab w:val="left" w:pos="2869"/>
                <w:tab w:val="left" w:pos="3010"/>
              </w:tabs>
              <w:jc w:val="left"/>
              <w:rPr>
                <w:rFonts w:hint="eastAsia" w:ascii="宋体" w:hAnsi="宋体" w:eastAsia="宋体" w:cs="宋体"/>
                <w:b/>
                <w:szCs w:val="21"/>
              </w:rPr>
            </w:pPr>
            <w:r>
              <w:rPr>
                <w:rFonts w:hint="eastAsia" w:ascii="宋体" w:hAnsi="宋体" w:eastAsia="宋体" w:cs="宋体"/>
                <w:b/>
                <w:szCs w:val="21"/>
              </w:rPr>
              <w:t>（二）评分标准与依据：</w:t>
            </w: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完全满足招标文件要求的得满分，标注“▲”条款，每负偏离一项扣4分；未标注“▲”的为一般条款，每负偏离一项扣</w:t>
            </w:r>
            <w:r>
              <w:rPr>
                <w:rFonts w:hint="eastAsia" w:ascii="宋体" w:hAnsi="宋体" w:cs="宋体"/>
                <w:szCs w:val="21"/>
                <w:lang w:val="en-US" w:eastAsia="zh-CN"/>
              </w:rPr>
              <w:t>2</w:t>
            </w:r>
            <w:r>
              <w:rPr>
                <w:rFonts w:hint="eastAsia" w:ascii="宋体" w:hAnsi="宋体" w:eastAsia="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22" w:type="dxa"/>
            <w:gridSpan w:val="2"/>
            <w:vAlign w:val="center"/>
          </w:tcPr>
          <w:p>
            <w:pPr>
              <w:jc w:val="center"/>
              <w:rPr>
                <w:rFonts w:hint="eastAsia" w:ascii="宋体" w:hAnsi="宋体" w:eastAsia="宋体" w:cs="宋体"/>
                <w:kern w:val="0"/>
                <w:szCs w:val="21"/>
              </w:rPr>
            </w:pPr>
            <w:r>
              <w:rPr>
                <w:rFonts w:hint="eastAsia" w:ascii="宋体" w:hAnsi="宋体" w:eastAsia="宋体" w:cs="宋体"/>
                <w:szCs w:val="21"/>
                <w:lang w:val="en-US" w:eastAsia="zh-CN"/>
              </w:rPr>
              <w:t>技术团队</w:t>
            </w:r>
          </w:p>
        </w:tc>
        <w:tc>
          <w:tcPr>
            <w:tcW w:w="1431" w:type="dxa"/>
            <w:vAlign w:val="center"/>
          </w:tcPr>
          <w:p>
            <w:pPr>
              <w:jc w:val="center"/>
              <w:rPr>
                <w:rFonts w:hint="eastAsia" w:ascii="宋体" w:hAnsi="宋体" w:eastAsia="宋体" w:cs="宋体"/>
                <w:kern w:val="0"/>
                <w:szCs w:val="21"/>
              </w:rPr>
            </w:pPr>
            <w:r>
              <w:rPr>
                <w:rFonts w:hint="eastAsia" w:ascii="宋体" w:hAnsi="宋体" w:eastAsia="宋体" w:cs="宋体"/>
                <w:szCs w:val="21"/>
              </w:rPr>
              <w:t xml:space="preserve">3 </w:t>
            </w:r>
          </w:p>
        </w:tc>
        <w:tc>
          <w:tcPr>
            <w:tcW w:w="4678" w:type="dxa"/>
            <w:vAlign w:val="center"/>
          </w:tcPr>
          <w:p>
            <w:pPr>
              <w:rPr>
                <w:rFonts w:hint="eastAsia" w:ascii="宋体" w:hAnsi="宋体" w:eastAsia="宋体" w:cs="宋体"/>
                <w:szCs w:val="21"/>
              </w:rPr>
            </w:pPr>
            <w:r>
              <w:rPr>
                <w:rFonts w:hint="eastAsia" w:ascii="宋体" w:hAnsi="宋体" w:eastAsia="宋体" w:cs="宋体"/>
                <w:szCs w:val="21"/>
              </w:rPr>
              <w:t>拟派项目实施负责人：</w:t>
            </w:r>
          </w:p>
          <w:p>
            <w:pPr>
              <w:rPr>
                <w:rFonts w:hint="eastAsia" w:ascii="宋体" w:hAnsi="宋体" w:eastAsia="宋体" w:cs="宋体"/>
                <w:szCs w:val="21"/>
              </w:rPr>
            </w:pPr>
            <w:r>
              <w:rPr>
                <w:rFonts w:hint="eastAsia" w:ascii="宋体" w:hAnsi="宋体" w:eastAsia="宋体" w:cs="宋体"/>
                <w:szCs w:val="21"/>
              </w:rPr>
              <w:t>该负责人具有人社部门颁发的计算机技术与软件专业技术资格证书（专业：系统集成项目管理工程师）。</w:t>
            </w:r>
          </w:p>
          <w:p>
            <w:pPr>
              <w:wordWrap w:val="0"/>
              <w:textAlignment w:val="top"/>
              <w:rPr>
                <w:rFonts w:hint="eastAsia" w:ascii="宋体" w:hAnsi="宋体" w:eastAsia="宋体" w:cs="宋体"/>
                <w:kern w:val="0"/>
                <w:szCs w:val="21"/>
              </w:rPr>
            </w:pPr>
            <w:r>
              <w:rPr>
                <w:rFonts w:hint="eastAsia" w:ascii="宋体" w:hAnsi="宋体" w:eastAsia="宋体" w:cs="宋体"/>
                <w:szCs w:val="21"/>
              </w:rPr>
              <w:t>证明文件：</w:t>
            </w:r>
          </w:p>
          <w:p>
            <w:pPr>
              <w:rPr>
                <w:rFonts w:hint="eastAsia" w:ascii="宋体" w:hAnsi="宋体" w:eastAsia="宋体" w:cs="宋体"/>
                <w:szCs w:val="21"/>
              </w:rPr>
            </w:pPr>
            <w:r>
              <w:rPr>
                <w:rFonts w:hint="eastAsia" w:ascii="宋体" w:hAnsi="宋体" w:eastAsia="宋体" w:cs="宋体"/>
                <w:szCs w:val="21"/>
              </w:rPr>
              <w:t>以上人员必须为投标人自有员工，提供上述人员相关证书</w:t>
            </w:r>
            <w:r>
              <w:rPr>
                <w:rFonts w:hint="eastAsia" w:ascii="宋体" w:hAnsi="宋体" w:cs="宋体"/>
                <w:szCs w:val="21"/>
                <w:lang w:eastAsia="zh-CN"/>
              </w:rPr>
              <w:t>复印</w:t>
            </w:r>
            <w:r>
              <w:rPr>
                <w:rFonts w:hint="eastAsia" w:ascii="宋体" w:hAnsi="宋体" w:eastAsia="宋体" w:cs="宋体"/>
                <w:szCs w:val="21"/>
              </w:rPr>
              <w:t>件（</w:t>
            </w:r>
            <w:r>
              <w:rPr>
                <w:rFonts w:hint="eastAsia" w:ascii="宋体" w:hAnsi="宋体" w:eastAsia="宋体" w:cs="宋体"/>
              </w:rPr>
              <w:fldChar w:fldCharType="begin"/>
            </w:r>
            <w:r>
              <w:rPr>
                <w:rFonts w:hint="eastAsia" w:ascii="宋体" w:hAnsi="宋体" w:eastAsia="宋体" w:cs="宋体"/>
              </w:rPr>
              <w:instrText xml:space="preserve"> HYPERLINK "https://www.ruankao.org.cn/" </w:instrText>
            </w:r>
            <w:r>
              <w:rPr>
                <w:rFonts w:hint="eastAsia" w:ascii="宋体" w:hAnsi="宋体" w:eastAsia="宋体" w:cs="宋体"/>
              </w:rPr>
              <w:fldChar w:fldCharType="separate"/>
            </w:r>
            <w:r>
              <w:rPr>
                <w:rStyle w:val="20"/>
                <w:rFonts w:hint="eastAsia" w:ascii="宋体" w:hAnsi="宋体" w:eastAsia="宋体" w:cs="宋体"/>
                <w:szCs w:val="21"/>
              </w:rPr>
              <w:t>https://www.ruankao.org.cn/</w:t>
            </w:r>
            <w:r>
              <w:rPr>
                <w:rStyle w:val="20"/>
                <w:rFonts w:hint="eastAsia" w:ascii="宋体" w:hAnsi="宋体" w:eastAsia="宋体" w:cs="宋体"/>
                <w:szCs w:val="21"/>
              </w:rPr>
              <w:fldChar w:fldCharType="end"/>
            </w:r>
            <w:r>
              <w:rPr>
                <w:rFonts w:hint="eastAsia" w:ascii="宋体" w:hAnsi="宋体" w:eastAsia="宋体" w:cs="宋体"/>
                <w:szCs w:val="21"/>
              </w:rPr>
              <w:t>官网查询截图）及开标日前由投标人为其缴交的载有社保部门公章的近三个月（2023年8月至2023年10月）社保缴交证明材料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22" w:type="dxa"/>
            <w:gridSpan w:val="2"/>
            <w:vAlign w:val="center"/>
          </w:tcPr>
          <w:p>
            <w:pPr>
              <w:jc w:val="center"/>
              <w:rPr>
                <w:rFonts w:hint="eastAsia" w:ascii="宋体" w:hAnsi="宋体" w:eastAsia="宋体" w:cs="宋体"/>
                <w:kern w:val="0"/>
                <w:szCs w:val="21"/>
              </w:rPr>
            </w:pPr>
            <w:r>
              <w:rPr>
                <w:rFonts w:hint="eastAsia" w:ascii="宋体" w:hAnsi="宋体" w:eastAsia="宋体" w:cs="宋体"/>
                <w:szCs w:val="21"/>
              </w:rPr>
              <w:t>软件演示</w:t>
            </w:r>
          </w:p>
        </w:tc>
        <w:tc>
          <w:tcPr>
            <w:tcW w:w="1431" w:type="dxa"/>
            <w:vAlign w:val="center"/>
          </w:tcPr>
          <w:p>
            <w:pPr>
              <w:jc w:val="center"/>
              <w:rPr>
                <w:rFonts w:hint="eastAsia" w:ascii="宋体" w:hAnsi="宋体" w:eastAsia="宋体" w:cs="宋体"/>
                <w:kern w:val="0"/>
                <w:szCs w:val="21"/>
              </w:rPr>
            </w:pPr>
            <w:r>
              <w:rPr>
                <w:rFonts w:hint="eastAsia" w:ascii="宋体" w:hAnsi="宋体" w:eastAsia="宋体" w:cs="宋体"/>
                <w:szCs w:val="21"/>
              </w:rPr>
              <w:t>6</w:t>
            </w:r>
          </w:p>
        </w:tc>
        <w:tc>
          <w:tcPr>
            <w:tcW w:w="4678" w:type="dxa"/>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rPr>
                <w:rFonts w:hint="eastAsia" w:ascii="宋体" w:hAnsi="宋体" w:eastAsia="宋体" w:cs="宋体"/>
                <w:b/>
                <w:szCs w:val="21"/>
              </w:rPr>
            </w:pPr>
            <w:r>
              <w:rPr>
                <w:rFonts w:hint="eastAsia" w:ascii="宋体" w:hAnsi="宋体" w:eastAsia="宋体" w:cs="宋体"/>
                <w:szCs w:val="21"/>
              </w:rPr>
              <w:t>投标人进行《演示功能要求》，评审专家根据投标人的演示情况进行评审，功能全部满足的得满分，每缺一项的扣2分，扣完为止。</w:t>
            </w:r>
          </w:p>
          <w:p>
            <w:pPr>
              <w:rPr>
                <w:rFonts w:hint="eastAsia" w:ascii="宋体" w:hAnsi="宋体" w:eastAsia="宋体" w:cs="宋体"/>
                <w:b/>
                <w:szCs w:val="21"/>
              </w:rPr>
            </w:pPr>
            <w:r>
              <w:rPr>
                <w:rFonts w:hint="eastAsia" w:ascii="宋体" w:hAnsi="宋体" w:eastAsia="宋体" w:cs="宋体"/>
                <w:b/>
                <w:szCs w:val="21"/>
              </w:rPr>
              <w:t>（二）评分标准与依据：</w:t>
            </w:r>
          </w:p>
          <w:p>
            <w:pPr>
              <w:jc w:val="left"/>
              <w:rPr>
                <w:rFonts w:hint="eastAsia"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.每个实训任务应包含任务详情、背景单据、操作平台，布局清晰，可分屏操作。</w:t>
            </w:r>
          </w:p>
          <w:p>
            <w:pPr>
              <w:jc w:val="left"/>
              <w:rPr>
                <w:rFonts w:hint="eastAsia" w:ascii="宋体" w:hAnsi="宋体" w:eastAsia="宋体" w:cs="宋体"/>
                <w:szCs w:val="21"/>
              </w:rPr>
            </w:pPr>
            <w:r>
              <w:rPr>
                <w:rFonts w:hint="eastAsia" w:ascii="宋体" w:hAnsi="宋体" w:eastAsia="宋体" w:cs="宋体"/>
                <w:bCs/>
                <w:szCs w:val="21"/>
                <w:lang w:val="en-US" w:eastAsia="zh-CN"/>
              </w:rPr>
              <w:t>2</w:t>
            </w:r>
            <w:r>
              <w:rPr>
                <w:rFonts w:hint="eastAsia" w:ascii="宋体" w:hAnsi="宋体" w:eastAsia="宋体" w:cs="宋体"/>
                <w:bCs/>
                <w:szCs w:val="21"/>
              </w:rPr>
              <w:t>.任务模板基于千条单据模板、印章库、字典库构建丰富的业务信息，采用业务单据、业务平台等多种形式展现，符合实际工作场景。</w:t>
            </w:r>
            <w:r>
              <w:rPr>
                <w:rFonts w:hint="eastAsia" w:ascii="宋体" w:hAnsi="宋体" w:eastAsia="宋体" w:cs="宋体"/>
                <w:bCs/>
                <w:szCs w:val="21"/>
              </w:rPr>
              <w:br w:type="textWrapping"/>
            </w:r>
            <w:r>
              <w:rPr>
                <w:rFonts w:hint="eastAsia" w:ascii="宋体" w:hAnsi="宋体" w:eastAsia="宋体" w:cs="宋体"/>
                <w:bCs/>
                <w:szCs w:val="21"/>
                <w:lang w:val="en-US" w:eastAsia="zh-CN"/>
              </w:rPr>
              <w:t>3.</w:t>
            </w:r>
            <w:r>
              <w:rPr>
                <w:rFonts w:hint="eastAsia" w:ascii="宋体" w:hAnsi="宋体" w:eastAsia="宋体" w:cs="宋体"/>
                <w:bCs/>
                <w:szCs w:val="21"/>
              </w:rPr>
              <w:t>课程应包含课程介绍、导学、任务、作业、考试，其中每个任务包含预习、实训、单元测试等学习任务。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商务条款</w:t>
            </w:r>
          </w:p>
          <w:p>
            <w:pPr>
              <w:jc w:val="center"/>
              <w:rPr>
                <w:rFonts w:hint="eastAsia" w:ascii="宋体" w:hAnsi="宋体" w:eastAsia="宋体" w:cs="宋体"/>
                <w:szCs w:val="21"/>
              </w:rPr>
            </w:pPr>
            <w:r>
              <w:rPr>
                <w:rFonts w:hint="eastAsia" w:ascii="宋体" w:hAnsi="宋体" w:eastAsia="宋体" w:cs="宋体"/>
                <w:szCs w:val="21"/>
              </w:rPr>
              <w:t>偏离情况</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vAlign w:val="center"/>
          </w:tcPr>
          <w:p>
            <w:pPr>
              <w:tabs>
                <w:tab w:val="left" w:pos="2869"/>
                <w:tab w:val="left" w:pos="3010"/>
              </w:tabs>
              <w:rPr>
                <w:rFonts w:hint="eastAsia" w:ascii="宋体" w:hAnsi="宋体" w:eastAsia="宋体" w:cs="宋体"/>
                <w:szCs w:val="21"/>
              </w:rPr>
            </w:pPr>
            <w:r>
              <w:rPr>
                <w:rFonts w:hint="eastAsia" w:ascii="宋体" w:hAnsi="宋体" w:eastAsia="宋体" w:cs="宋体"/>
                <w:bCs/>
                <w:szCs w:val="21"/>
              </w:rPr>
              <w:t>评审委员会根据《商务需求偏离表》响应情况进行打分，实质性条款除外，全部满足要求的得满分，每负偏离一项扣1分，扣完为止。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投标软件著作权情况</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4678" w:type="dxa"/>
            <w:vAlign w:val="top"/>
          </w:tcPr>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考察内容：</w:t>
            </w:r>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投标人所投的“智能财税基本技能竞赛系统”，具有计算机软件著作权登记证书的，得满分；</w:t>
            </w:r>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证明文件：</w:t>
            </w:r>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提供相关计算机软件著作权登记证书；</w:t>
            </w:r>
          </w:p>
          <w:p>
            <w:pPr>
              <w:tabs>
                <w:tab w:val="left" w:pos="2869"/>
                <w:tab w:val="left" w:pos="3010"/>
              </w:tabs>
              <w:rPr>
                <w:rFonts w:hint="eastAsia" w:ascii="宋体" w:hAnsi="宋体" w:eastAsia="宋体" w:cs="宋体"/>
                <w:color w:val="000000"/>
              </w:rPr>
            </w:pPr>
            <w:r>
              <w:rPr>
                <w:rFonts w:hint="eastAsia" w:ascii="宋体" w:hAnsi="宋体" w:eastAsia="宋体" w:cs="宋体"/>
                <w:bCs/>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22" w:type="dxa"/>
            <w:gridSpan w:val="2"/>
            <w:vAlign w:val="center"/>
          </w:tcPr>
          <w:p>
            <w:pPr>
              <w:jc w:val="center"/>
              <w:rPr>
                <w:rFonts w:hint="eastAsia" w:ascii="宋体" w:hAnsi="宋体" w:eastAsia="宋体" w:cs="宋体"/>
                <w:kern w:val="0"/>
                <w:szCs w:val="21"/>
                <w:lang w:val="zh-CN"/>
              </w:rPr>
            </w:pPr>
            <w:r>
              <w:rPr>
                <w:rFonts w:hint="eastAsia" w:ascii="宋体" w:hAnsi="宋体" w:eastAsia="宋体" w:cs="宋体"/>
                <w:szCs w:val="21"/>
              </w:rPr>
              <w:t>同类业绩</w:t>
            </w:r>
          </w:p>
        </w:tc>
        <w:tc>
          <w:tcPr>
            <w:tcW w:w="1431" w:type="dxa"/>
            <w:vAlign w:val="center"/>
          </w:tcPr>
          <w:p>
            <w:pPr>
              <w:jc w:val="center"/>
              <w:rPr>
                <w:rFonts w:hint="eastAsia" w:ascii="宋体" w:hAnsi="宋体" w:eastAsia="宋体" w:cs="宋体"/>
                <w:kern w:val="0"/>
                <w:szCs w:val="21"/>
                <w:lang w:val="zh-CN"/>
              </w:rPr>
            </w:pPr>
            <w:r>
              <w:rPr>
                <w:rFonts w:hint="eastAsia" w:ascii="宋体" w:hAnsi="宋体" w:eastAsia="宋体" w:cs="宋体"/>
                <w:szCs w:val="21"/>
              </w:rPr>
              <w:t>3</w:t>
            </w:r>
          </w:p>
        </w:tc>
        <w:tc>
          <w:tcPr>
            <w:tcW w:w="4678" w:type="dxa"/>
            <w:vAlign w:val="center"/>
          </w:tcPr>
          <w:p>
            <w:pPr>
              <w:jc w:val="left"/>
              <w:rPr>
                <w:rFonts w:hint="eastAsia" w:ascii="宋体" w:hAnsi="宋体" w:eastAsia="宋体" w:cs="宋体"/>
                <w:b/>
                <w:bCs/>
                <w:kern w:val="0"/>
                <w:szCs w:val="21"/>
              </w:rPr>
            </w:pPr>
            <w:r>
              <w:rPr>
                <w:rFonts w:hint="eastAsia" w:ascii="宋体" w:hAnsi="宋体" w:eastAsia="宋体" w:cs="宋体"/>
                <w:b/>
                <w:bCs/>
                <w:szCs w:val="21"/>
              </w:rPr>
              <w:t>考察内容：</w:t>
            </w:r>
          </w:p>
          <w:p>
            <w:pPr>
              <w:jc w:val="left"/>
              <w:rPr>
                <w:rFonts w:hint="eastAsia" w:ascii="宋体" w:hAnsi="宋体" w:eastAsia="宋体" w:cs="宋体"/>
                <w:szCs w:val="21"/>
              </w:rPr>
            </w:pPr>
            <w:r>
              <w:rPr>
                <w:rFonts w:hint="eastAsia" w:ascii="宋体" w:hAnsi="宋体" w:eastAsia="宋体" w:cs="宋体"/>
                <w:szCs w:val="21"/>
              </w:rPr>
              <w:t>2020年1月1日至本项目投标截止之日（以合同签订时间为准），投标人提供1个实训软件建设项目业绩的，得1分，最高</w:t>
            </w:r>
            <w:r>
              <w:rPr>
                <w:rFonts w:hint="eastAsia" w:ascii="宋体" w:hAnsi="宋体" w:eastAsia="宋体" w:cs="宋体"/>
                <w:szCs w:val="21"/>
                <w:lang w:val="en-US" w:eastAsia="zh-CN"/>
              </w:rPr>
              <w:t>3</w:t>
            </w:r>
            <w:r>
              <w:rPr>
                <w:rFonts w:hint="eastAsia" w:ascii="宋体" w:hAnsi="宋体" w:eastAsia="宋体" w:cs="宋体"/>
                <w:szCs w:val="21"/>
              </w:rPr>
              <w:t>分。</w:t>
            </w:r>
          </w:p>
          <w:p>
            <w:pPr>
              <w:wordWrap w:val="0"/>
              <w:jc w:val="left"/>
              <w:rPr>
                <w:rFonts w:hint="eastAsia" w:ascii="宋体" w:hAnsi="宋体" w:eastAsia="宋体" w:cs="宋体"/>
                <w:b/>
                <w:bCs/>
                <w:szCs w:val="21"/>
              </w:rPr>
            </w:pPr>
            <w:r>
              <w:rPr>
                <w:rFonts w:hint="eastAsia" w:ascii="宋体" w:hAnsi="宋体" w:eastAsia="宋体" w:cs="宋体"/>
                <w:b/>
                <w:bCs/>
                <w:szCs w:val="21"/>
              </w:rPr>
              <w:t>证明文件：</w:t>
            </w:r>
          </w:p>
          <w:p>
            <w:pPr>
              <w:tabs>
                <w:tab w:val="left" w:pos="2869"/>
                <w:tab w:val="left" w:pos="3010"/>
              </w:tabs>
              <w:rPr>
                <w:rFonts w:hint="eastAsia" w:ascii="宋体" w:hAnsi="宋体" w:eastAsia="宋体" w:cs="宋体"/>
                <w:kern w:val="0"/>
                <w:szCs w:val="21"/>
                <w:lang w:val="zh-CN"/>
              </w:rPr>
            </w:pPr>
            <w:r>
              <w:rPr>
                <w:rFonts w:hint="eastAsia" w:ascii="宋体" w:hAnsi="宋体" w:eastAsia="宋体" w:cs="宋体"/>
                <w:szCs w:val="21"/>
              </w:rPr>
              <w:t>提供项目合同和项目验收报告</w:t>
            </w:r>
            <w:r>
              <w:rPr>
                <w:rFonts w:hint="eastAsia" w:ascii="宋体" w:hAnsi="宋体" w:cs="宋体"/>
                <w:szCs w:val="21"/>
                <w:lang w:eastAsia="zh-CN"/>
              </w:rPr>
              <w:t>复印</w:t>
            </w:r>
            <w:r>
              <w:rPr>
                <w:rFonts w:hint="eastAsia" w:ascii="宋体" w:hAnsi="宋体" w:eastAsia="宋体" w:cs="宋体"/>
                <w:szCs w:val="21"/>
              </w:rPr>
              <w:t>件。原件备查，未提供或未按要求提供或提供的不清晰导致专家无法判断的，不得分。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履约评价</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vAlign w:val="top"/>
          </w:tcPr>
          <w:p>
            <w:pPr>
              <w:jc w:val="left"/>
              <w:rPr>
                <w:rFonts w:hint="eastAsia" w:ascii="宋体" w:hAnsi="宋体" w:eastAsia="宋体" w:cs="宋体"/>
                <w:szCs w:val="21"/>
              </w:rPr>
            </w:pPr>
            <w:r>
              <w:rPr>
                <w:rFonts w:hint="eastAsia" w:ascii="宋体" w:hAnsi="宋体" w:eastAsia="宋体" w:cs="宋体"/>
                <w:szCs w:val="21"/>
              </w:rPr>
              <w:t>投标人在上述“业绩”评审项中参加评审的业绩，能够提供用户出具的履约评价书，且评价为满意（或同等级别的）或以上的，每份评价书得1分，最高得2分。</w:t>
            </w:r>
          </w:p>
          <w:p>
            <w:pPr>
              <w:jc w:val="left"/>
              <w:rPr>
                <w:rFonts w:hint="eastAsia" w:ascii="宋体" w:hAnsi="宋体" w:eastAsia="宋体" w:cs="宋体"/>
                <w:szCs w:val="21"/>
              </w:rPr>
            </w:pPr>
            <w:r>
              <w:rPr>
                <w:rFonts w:hint="eastAsia" w:ascii="宋体" w:hAnsi="宋体" w:eastAsia="宋体" w:cs="宋体"/>
                <w:szCs w:val="21"/>
              </w:rPr>
              <w:t>不提供或者不能有效证明的，得0分。</w:t>
            </w:r>
          </w:p>
          <w:p>
            <w:pPr>
              <w:jc w:val="left"/>
              <w:rPr>
                <w:rFonts w:hint="eastAsia" w:ascii="宋体" w:hAnsi="宋体" w:eastAsia="宋体" w:cs="宋体"/>
                <w:szCs w:val="21"/>
              </w:rPr>
            </w:pPr>
            <w:r>
              <w:rPr>
                <w:rFonts w:hint="eastAsia" w:ascii="宋体" w:hAnsi="宋体" w:eastAsia="宋体" w:cs="宋体"/>
                <w:szCs w:val="21"/>
              </w:rPr>
              <w:t>证明文件：</w:t>
            </w:r>
          </w:p>
          <w:p>
            <w:pPr>
              <w:jc w:val="left"/>
              <w:rPr>
                <w:rFonts w:hint="eastAsia" w:ascii="宋体" w:hAnsi="宋体" w:eastAsia="宋体" w:cs="宋体"/>
              </w:rPr>
            </w:pPr>
            <w:r>
              <w:rPr>
                <w:rFonts w:hint="eastAsia" w:ascii="宋体" w:hAnsi="宋体" w:eastAsia="宋体" w:cs="宋体"/>
                <w:szCs w:val="21"/>
              </w:rPr>
              <w:t>须提供用户出具的履约评价书</w:t>
            </w:r>
            <w:r>
              <w:rPr>
                <w:rFonts w:hint="eastAsia" w:ascii="宋体" w:hAnsi="宋体" w:cs="宋体"/>
                <w:szCs w:val="21"/>
                <w:lang w:eastAsia="zh-CN"/>
              </w:rPr>
              <w:t>复印</w:t>
            </w:r>
            <w:r>
              <w:rPr>
                <w:rFonts w:hint="eastAsia" w:ascii="宋体" w:hAnsi="宋体" w:eastAsia="宋体" w:cs="宋体"/>
                <w:szCs w:val="21"/>
              </w:rPr>
              <w:t>件（评价书需有甲方公章或业务章）。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4"/>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4"/>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2"/>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4"/>
        <w:spacing w:beforeLines="50" w:afterLines="50"/>
        <w:rPr>
          <w:rFonts w:cs="宋体"/>
          <w:szCs w:val="28"/>
        </w:rPr>
      </w:pPr>
      <w:bookmarkStart w:id="0" w:name="_Toc60560625"/>
      <w:bookmarkStart w:id="1" w:name="_Toc73517639"/>
      <w:bookmarkStart w:id="2" w:name="_Toc73521547"/>
      <w:bookmarkStart w:id="3" w:name="_Toc73521635"/>
      <w:bookmarkStart w:id="4" w:name="_Toc101074876"/>
      <w:bookmarkStart w:id="5" w:name="_Toc100052364"/>
      <w:bookmarkStart w:id="6" w:name="_Toc60631620"/>
      <w:bookmarkStart w:id="7" w:name="_Toc7351811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w:t>
      </w:r>
      <w:r>
        <w:rPr>
          <w:rFonts w:hint="eastAsia" w:ascii="宋体" w:hAnsi="宋体" w:eastAsia="宋体" w:cs="宋体"/>
          <w:szCs w:val="21"/>
        </w:rPr>
        <w:t>智能财税基本技能竞赛系统</w:t>
      </w:r>
      <w:r>
        <w:rPr>
          <w:rFonts w:hint="eastAsia" w:ascii="宋体" w:hAnsi="宋体" w:cs="宋体"/>
          <w:szCs w:val="21"/>
          <w:lang w:eastAsia="zh-CN"/>
        </w:rPr>
        <w:t>采购</w:t>
      </w:r>
      <w:r>
        <w:rPr>
          <w:rFonts w:hint="eastAsia" w:ascii="宋体" w:hAnsi="宋体" w:cs="宋体"/>
          <w:szCs w:val="21"/>
        </w:rPr>
        <w:t>项目。</w:t>
      </w:r>
    </w:p>
    <w:p>
      <w:pPr>
        <w:pStyle w:val="4"/>
        <w:numPr>
          <w:ilvl w:val="0"/>
          <w:numId w:val="1"/>
        </w:numPr>
        <w:spacing w:beforeLines="50" w:afterLines="50"/>
        <w:rPr>
          <w:rFonts w:cs="宋体"/>
          <w:szCs w:val="28"/>
        </w:rPr>
      </w:pPr>
      <w:r>
        <w:rPr>
          <w:rFonts w:hint="eastAsia" w:cs="宋体"/>
          <w:szCs w:val="28"/>
        </w:rPr>
        <w:t>货物清单</w:t>
      </w:r>
    </w:p>
    <w:tbl>
      <w:tblPr>
        <w:tblStyle w:val="1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1</w:t>
            </w:r>
          </w:p>
        </w:tc>
        <w:tc>
          <w:tcPr>
            <w:tcW w:w="2265" w:type="dxa"/>
            <w:vAlign w:val="center"/>
          </w:tcPr>
          <w:p>
            <w:pPr>
              <w:jc w:val="center"/>
              <w:rPr>
                <w:rFonts w:hint="eastAsia" w:ascii="宋体" w:hAnsi="宋体" w:eastAsia="宋体" w:cs="宋体"/>
                <w:szCs w:val="21"/>
              </w:rPr>
            </w:pPr>
            <w:r>
              <w:rPr>
                <w:rFonts w:hint="eastAsia" w:ascii="宋体" w:hAnsi="宋体" w:eastAsia="宋体" w:cs="宋体"/>
                <w:szCs w:val="21"/>
              </w:rPr>
              <w:t>智能财税基本技能竞赛系统</w:t>
            </w:r>
          </w:p>
        </w:tc>
        <w:tc>
          <w:tcPr>
            <w:tcW w:w="1335"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90" w:type="dxa"/>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2148" w:type="dxa"/>
            <w:vAlign w:val="center"/>
          </w:tcPr>
          <w:p>
            <w:pPr>
              <w:jc w:val="center"/>
              <w:rPr>
                <w:rFonts w:hint="eastAsia" w:ascii="宋体" w:hAnsi="宋体" w:eastAsia="宋体" w:cs="宋体"/>
                <w:szCs w:val="21"/>
              </w:rPr>
            </w:pPr>
            <w:r>
              <w:rPr>
                <w:rFonts w:hint="eastAsia" w:ascii="宋体" w:hAnsi="宋体" w:eastAsia="宋体" w:cs="宋体"/>
                <w:szCs w:val="21"/>
              </w:rPr>
              <w:t>拒绝进口</w:t>
            </w:r>
          </w:p>
        </w:tc>
      </w:tr>
    </w:tbl>
    <w:p>
      <w:pPr>
        <w:pStyle w:val="4"/>
        <w:spacing w:beforeLines="50" w:afterLines="50"/>
        <w:rPr>
          <w:rFonts w:cs="宋体"/>
          <w:szCs w:val="28"/>
        </w:rPr>
      </w:pPr>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序号</w:t>
            </w:r>
          </w:p>
        </w:tc>
        <w:tc>
          <w:tcPr>
            <w:tcW w:w="1476"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货物名称</w:t>
            </w:r>
          </w:p>
        </w:tc>
        <w:tc>
          <w:tcPr>
            <w:tcW w:w="5986"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widowControl/>
              <w:jc w:val="center"/>
              <w:rPr>
                <w:rFonts w:ascii="仿宋" w:hAnsi="仿宋" w:eastAsia="仿宋"/>
                <w:b/>
                <w:szCs w:val="21"/>
              </w:rPr>
            </w:pPr>
            <w:r>
              <w:rPr>
                <w:rFonts w:hint="eastAsia" w:ascii="仿宋" w:hAnsi="仿宋" w:eastAsia="仿宋"/>
                <w:szCs w:val="21"/>
              </w:rPr>
              <w:t>1</w:t>
            </w:r>
          </w:p>
        </w:tc>
        <w:tc>
          <w:tcPr>
            <w:tcW w:w="1476" w:type="dxa"/>
            <w:vAlign w:val="center"/>
          </w:tcPr>
          <w:p>
            <w:pPr>
              <w:widowControl/>
              <w:jc w:val="left"/>
              <w:rPr>
                <w:rFonts w:ascii="仿宋" w:hAnsi="仿宋" w:eastAsia="仿宋"/>
                <w:b/>
                <w:szCs w:val="21"/>
              </w:rPr>
            </w:pPr>
            <w:r>
              <w:rPr>
                <w:rFonts w:hint="eastAsia" w:ascii="仿宋" w:hAnsi="仿宋" w:eastAsia="仿宋"/>
                <w:szCs w:val="21"/>
              </w:rPr>
              <w:t>智能财税基本技能竞赛系统</w:t>
            </w:r>
          </w:p>
        </w:tc>
        <w:tc>
          <w:tcPr>
            <w:tcW w:w="5986" w:type="dxa"/>
            <w:vAlign w:val="center"/>
          </w:tcPr>
          <w:p>
            <w:pPr>
              <w:jc w:val="left"/>
              <w:rPr>
                <w:rFonts w:hint="eastAsia" w:ascii="仿宋" w:hAnsi="仿宋" w:eastAsia="仿宋" w:cs="Times New Roman"/>
                <w:bCs/>
                <w:szCs w:val="21"/>
              </w:rPr>
            </w:pPr>
            <w:r>
              <w:rPr>
                <w:rFonts w:hint="eastAsia" w:ascii="仿宋" w:hAnsi="仿宋" w:eastAsia="仿宋" w:cs="Times New Roman"/>
                <w:bCs/>
                <w:szCs w:val="21"/>
              </w:rPr>
              <w:t>面向中职会计事务和税务事务等专业学生开发的一款集教学、训练、测评、智能财税竞赛等功能为一体的综合训练系统，包含12组学生账号。</w:t>
            </w:r>
          </w:p>
          <w:p>
            <w:pPr>
              <w:jc w:val="left"/>
              <w:rPr>
                <w:rFonts w:hint="eastAsia" w:ascii="仿宋" w:hAnsi="仿宋" w:eastAsia="仿宋" w:cs="Times New Roman"/>
                <w:bCs/>
                <w:szCs w:val="21"/>
              </w:rPr>
            </w:pPr>
            <w:r>
              <w:rPr>
                <w:rFonts w:hint="eastAsia" w:ascii="仿宋" w:hAnsi="仿宋" w:eastAsia="仿宋" w:cs="Times New Roman"/>
                <w:bCs/>
                <w:szCs w:val="21"/>
              </w:rPr>
              <w:t>一、技术与功能要求：</w:t>
            </w:r>
          </w:p>
          <w:p>
            <w:pPr>
              <w:jc w:val="left"/>
              <w:rPr>
                <w:rFonts w:hint="eastAsia" w:ascii="仿宋" w:hAnsi="仿宋" w:eastAsia="仿宋" w:cs="Times New Roman"/>
                <w:bCs/>
                <w:szCs w:val="21"/>
              </w:rPr>
            </w:pPr>
            <w:r>
              <w:rPr>
                <w:rFonts w:hint="eastAsia" w:ascii="仿宋" w:hAnsi="仿宋" w:eastAsia="仿宋" w:cs="Times New Roman"/>
                <w:bCs/>
                <w:szCs w:val="21"/>
              </w:rPr>
              <w:t>1.平台应采用本地化部署，交付安装在学校本地服务器，基于B/S架构设计，不需要安装客户端，通过浏览器访问，可支持基于校园网的应用，兼容火狐、谷歌等主流浏览器。</w:t>
            </w:r>
          </w:p>
          <w:p>
            <w:pPr>
              <w:jc w:val="left"/>
              <w:rPr>
                <w:rFonts w:hint="eastAsia" w:ascii="仿宋" w:hAnsi="仿宋" w:eastAsia="仿宋" w:cs="Times New Roman"/>
                <w:bCs/>
                <w:szCs w:val="21"/>
              </w:rPr>
            </w:pPr>
            <w:r>
              <w:rPr>
                <w:rFonts w:hint="eastAsia" w:ascii="仿宋" w:hAnsi="仿宋" w:eastAsia="仿宋" w:cs="Times New Roman"/>
                <w:bCs/>
                <w:szCs w:val="21"/>
              </w:rPr>
              <w:t>2.平台采用临时保存机制，避免学生在实训过程中因为失误造成的错误。</w:t>
            </w:r>
          </w:p>
          <w:p>
            <w:pPr>
              <w:jc w:val="left"/>
              <w:rPr>
                <w:rFonts w:hint="eastAsia" w:ascii="仿宋" w:hAnsi="仿宋" w:eastAsia="仿宋" w:cs="Times New Roman"/>
                <w:bCs/>
                <w:szCs w:val="21"/>
              </w:rPr>
            </w:pPr>
            <w:r>
              <w:rPr>
                <w:rFonts w:hint="eastAsia" w:ascii="仿宋" w:hAnsi="仿宋" w:eastAsia="仿宋" w:cs="Times New Roman"/>
                <w:bCs/>
                <w:szCs w:val="21"/>
              </w:rPr>
              <w:t>3.平台应具备完整的教学管理功能，包括教学中心和学习中心，进行查看课程、开课申请、开课审批、课程统计分析、学生课程分析、课程对比分析。</w:t>
            </w:r>
          </w:p>
          <w:p>
            <w:pPr>
              <w:jc w:val="left"/>
              <w:rPr>
                <w:rFonts w:hint="eastAsia" w:ascii="仿宋" w:hAnsi="仿宋" w:eastAsia="仿宋" w:cs="Times New Roman"/>
                <w:bCs/>
                <w:szCs w:val="21"/>
              </w:rPr>
            </w:pPr>
            <w:r>
              <w:rPr>
                <w:rFonts w:hint="eastAsia" w:ascii="仿宋" w:hAnsi="仿宋" w:eastAsia="仿宋" w:cs="Times New Roman"/>
                <w:bCs/>
                <w:szCs w:val="21"/>
              </w:rPr>
              <w:t>4.平台支持资源库建设和管理，支持图片、视频、文件、富文本等多种类型资源上传、预览；支持题库建设和管理，支持单选、多选、判断等理论题型的题库添加、编辑、删除。</w:t>
            </w:r>
          </w:p>
          <w:p>
            <w:pPr>
              <w:jc w:val="left"/>
              <w:rPr>
                <w:rFonts w:hint="eastAsia" w:ascii="仿宋" w:hAnsi="仿宋" w:eastAsia="仿宋" w:cs="Times New Roman"/>
                <w:bCs/>
                <w:szCs w:val="21"/>
              </w:rPr>
            </w:pPr>
            <w:r>
              <w:rPr>
                <w:rFonts w:hint="eastAsia" w:ascii="仿宋" w:hAnsi="仿宋" w:eastAsia="仿宋" w:cs="Times New Roman"/>
                <w:bCs/>
                <w:szCs w:val="21"/>
              </w:rPr>
              <w:t>5.课程设计支持目录结构调整，添加预习、拓展和课件，可关联多种类型学习资源、实训任务、富文本和单元测试。</w:t>
            </w:r>
          </w:p>
          <w:p>
            <w:pPr>
              <w:jc w:val="left"/>
              <w:rPr>
                <w:rFonts w:hint="eastAsia" w:ascii="仿宋" w:hAnsi="仿宋" w:eastAsia="仿宋" w:cs="Times New Roman"/>
                <w:bCs/>
                <w:szCs w:val="21"/>
              </w:rPr>
            </w:pPr>
            <w:r>
              <w:rPr>
                <w:rFonts w:hint="eastAsia" w:ascii="仿宋" w:hAnsi="仿宋" w:eastAsia="仿宋" w:cs="Times New Roman"/>
                <w:bCs/>
                <w:szCs w:val="21"/>
              </w:rPr>
              <w:t>6.作业支持随机出题和手动出题两种模式，支持单选、多选、判断和实训题，均采用客观判分，可进行预览、编辑、删除。</w:t>
            </w:r>
          </w:p>
          <w:p>
            <w:pPr>
              <w:jc w:val="left"/>
              <w:rPr>
                <w:rFonts w:hint="eastAsia" w:ascii="仿宋" w:hAnsi="仿宋" w:eastAsia="仿宋" w:cs="Times New Roman"/>
                <w:bCs/>
                <w:szCs w:val="21"/>
              </w:rPr>
            </w:pPr>
            <w:r>
              <w:rPr>
                <w:rFonts w:hint="eastAsia" w:ascii="仿宋" w:hAnsi="仿宋" w:eastAsia="仿宋" w:cs="Times New Roman"/>
                <w:bCs/>
                <w:szCs w:val="21"/>
              </w:rPr>
              <w:t>7.考试支持状态、时间、答案公开时间设置，支持随机出题和手动出题两种模式，支持单选、多选、判断和实训题，均采用客观判分，可进行预览、编辑、删除。</w:t>
            </w:r>
          </w:p>
          <w:p>
            <w:pPr>
              <w:jc w:val="left"/>
              <w:rPr>
                <w:rFonts w:hint="eastAsia" w:ascii="仿宋" w:hAnsi="仿宋" w:eastAsia="仿宋" w:cs="Times New Roman"/>
                <w:bCs/>
                <w:szCs w:val="21"/>
              </w:rPr>
            </w:pPr>
            <w:r>
              <w:rPr>
                <w:rFonts w:hint="eastAsia" w:ascii="仿宋" w:hAnsi="仿宋" w:eastAsia="仿宋" w:cs="Times New Roman"/>
                <w:bCs/>
                <w:szCs w:val="21"/>
              </w:rPr>
              <w:t>8.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pPr>
              <w:jc w:val="left"/>
              <w:rPr>
                <w:rFonts w:hint="eastAsia" w:ascii="仿宋" w:hAnsi="仿宋" w:eastAsia="仿宋" w:cs="Times New Roman"/>
                <w:bCs/>
                <w:szCs w:val="21"/>
              </w:rPr>
            </w:pPr>
            <w:r>
              <w:rPr>
                <w:rFonts w:hint="eastAsia" w:ascii="仿宋" w:hAnsi="仿宋" w:eastAsia="仿宋" w:cs="Times New Roman"/>
                <w:bCs/>
                <w:szCs w:val="21"/>
              </w:rPr>
              <w:t>9.学习中心支持查看课程所属学期、整体进度、参与人数、实训个数、作业个数。</w:t>
            </w:r>
          </w:p>
          <w:p>
            <w:pPr>
              <w:jc w:val="left"/>
              <w:rPr>
                <w:rFonts w:hint="eastAsia" w:ascii="仿宋" w:hAnsi="仿宋" w:eastAsia="仿宋" w:cs="Times New Roman"/>
                <w:bCs/>
                <w:szCs w:val="21"/>
              </w:rPr>
            </w:pPr>
            <w:r>
              <w:rPr>
                <w:rFonts w:hint="eastAsia" w:ascii="仿宋" w:hAnsi="仿宋" w:eastAsia="仿宋" w:cs="Times New Roman"/>
                <w:bCs/>
                <w:szCs w:val="21"/>
              </w:rPr>
              <w:t>10.学习中心支持查看导学，方便把握课程整体情况、教学内容、课程目标等内容。</w:t>
            </w:r>
          </w:p>
          <w:p>
            <w:pPr>
              <w:jc w:val="left"/>
              <w:rPr>
                <w:rFonts w:hint="eastAsia" w:ascii="仿宋" w:hAnsi="仿宋" w:eastAsia="仿宋" w:cs="Times New Roman"/>
                <w:bCs/>
                <w:szCs w:val="21"/>
              </w:rPr>
            </w:pPr>
            <w:r>
              <w:rPr>
                <w:rFonts w:hint="eastAsia" w:ascii="仿宋" w:hAnsi="仿宋" w:eastAsia="仿宋" w:cs="Times New Roman"/>
                <w:bCs/>
                <w:szCs w:val="21"/>
              </w:rPr>
              <w:t>11.学习中心的课件模块，包含预习、测验、作业、实训等教学内容，显示任务记录和测试记录，满足学生自主学习。</w:t>
            </w:r>
          </w:p>
          <w:p>
            <w:pPr>
              <w:jc w:val="left"/>
              <w:rPr>
                <w:rFonts w:hint="eastAsia" w:ascii="仿宋" w:hAnsi="仿宋" w:eastAsia="仿宋" w:cs="Times New Roman"/>
                <w:bCs/>
                <w:szCs w:val="21"/>
              </w:rPr>
            </w:pPr>
            <w:r>
              <w:rPr>
                <w:rFonts w:hint="eastAsia" w:ascii="仿宋" w:hAnsi="仿宋" w:eastAsia="仿宋" w:cs="Times New Roman"/>
                <w:bCs/>
                <w:szCs w:val="21"/>
              </w:rPr>
              <w:t>12.学习中心的作业和考试模块，应显示未开始、进行中、已结束三种状态，并能显示相应得分，能按状态和名称进行快速筛选。</w:t>
            </w:r>
          </w:p>
          <w:p>
            <w:pPr>
              <w:jc w:val="left"/>
              <w:rPr>
                <w:rFonts w:hint="eastAsia" w:ascii="仿宋" w:hAnsi="仿宋" w:eastAsia="仿宋" w:cs="Times New Roman"/>
                <w:bCs/>
                <w:szCs w:val="21"/>
              </w:rPr>
            </w:pPr>
            <w:r>
              <w:rPr>
                <w:rFonts w:hint="eastAsia" w:ascii="仿宋" w:hAnsi="仿宋" w:eastAsia="仿宋" w:cs="Times New Roman"/>
                <w:bCs/>
                <w:szCs w:val="21"/>
              </w:rPr>
              <w:t>13.学习中心的成绩模块，应按课件学习、课堂活动、作业、考试进行统计汇总，涵盖学习行为和学习结果统计。</w:t>
            </w:r>
          </w:p>
          <w:p>
            <w:pPr>
              <w:jc w:val="left"/>
              <w:rPr>
                <w:rFonts w:hint="eastAsia" w:ascii="仿宋" w:hAnsi="仿宋" w:eastAsia="仿宋" w:cs="Times New Roman"/>
                <w:bCs/>
                <w:szCs w:val="21"/>
              </w:rPr>
            </w:pPr>
            <w:r>
              <w:rPr>
                <w:rFonts w:hint="eastAsia" w:ascii="仿宋" w:hAnsi="仿宋" w:eastAsia="仿宋" w:cs="Times New Roman"/>
                <w:bCs/>
                <w:szCs w:val="21"/>
              </w:rPr>
              <w:t>★14.课程体系应包含知识树、课程介绍文本类素材、教学课件、微课及教学视频、案例、试题库、虚拟仿真实训等资源，满足课程自主学习和技能训练。（需提供软件功能截图证明）</w:t>
            </w:r>
          </w:p>
          <w:p>
            <w:pPr>
              <w:jc w:val="left"/>
              <w:rPr>
                <w:rFonts w:hint="eastAsia" w:ascii="仿宋" w:hAnsi="仿宋" w:eastAsia="仿宋" w:cs="Times New Roman"/>
                <w:bCs/>
                <w:szCs w:val="21"/>
              </w:rPr>
            </w:pPr>
            <w:r>
              <w:rPr>
                <w:rFonts w:hint="eastAsia" w:ascii="仿宋" w:hAnsi="仿宋" w:eastAsia="仿宋" w:cs="Times New Roman"/>
                <w:bCs/>
                <w:szCs w:val="21"/>
              </w:rPr>
              <w:t>15.课程应包含课程介绍、导学、任务、作业、考试，其中每个任务包含预习、实训、单元测试等学习任务。</w:t>
            </w:r>
          </w:p>
          <w:p>
            <w:pPr>
              <w:jc w:val="left"/>
              <w:rPr>
                <w:rFonts w:hint="eastAsia" w:ascii="仿宋" w:hAnsi="仿宋" w:eastAsia="仿宋" w:cs="Times New Roman"/>
                <w:bCs/>
                <w:szCs w:val="21"/>
              </w:rPr>
            </w:pPr>
            <w:r>
              <w:rPr>
                <w:rFonts w:hint="eastAsia" w:ascii="仿宋" w:hAnsi="仿宋" w:eastAsia="仿宋" w:cs="Times New Roman"/>
                <w:bCs/>
                <w:szCs w:val="21"/>
              </w:rPr>
              <w:t>▲16.系统中每个实训任务应包任务目标、任务背景和任务分析，其中任务分析提供任务解题思路、所需的工具、方法等内容,配套看微课、看实操视频资源，方便学生自主学习。（需提供软件功能截图证明）</w:t>
            </w:r>
          </w:p>
          <w:p>
            <w:pPr>
              <w:jc w:val="left"/>
              <w:rPr>
                <w:rFonts w:hint="eastAsia" w:ascii="仿宋" w:hAnsi="仿宋" w:eastAsia="仿宋" w:cs="Times New Roman"/>
                <w:bCs/>
                <w:szCs w:val="21"/>
              </w:rPr>
            </w:pPr>
            <w:r>
              <w:rPr>
                <w:rFonts w:hint="eastAsia" w:ascii="仿宋" w:hAnsi="仿宋" w:eastAsia="仿宋" w:cs="Times New Roman"/>
                <w:bCs/>
                <w:szCs w:val="21"/>
              </w:rPr>
              <w:t>17.每个实训任务应包含任务详情、背景单据、操作平台，布局清晰，可分屏操作。</w:t>
            </w:r>
          </w:p>
          <w:p>
            <w:pPr>
              <w:jc w:val="left"/>
              <w:rPr>
                <w:rFonts w:hint="eastAsia" w:ascii="仿宋" w:hAnsi="仿宋" w:eastAsia="仿宋" w:cs="Times New Roman"/>
                <w:bCs/>
                <w:szCs w:val="21"/>
              </w:rPr>
            </w:pPr>
            <w:r>
              <w:rPr>
                <w:rFonts w:hint="eastAsia" w:ascii="仿宋" w:hAnsi="仿宋" w:eastAsia="仿宋" w:cs="Times New Roman"/>
                <w:bCs/>
                <w:szCs w:val="21"/>
              </w:rPr>
              <w:t>18.任务模板基于千条单据模板、印章库、字典库构建丰富的业务信息，采用业务单据、业务平台等多种形式展现，符合实际工作场景。</w:t>
            </w:r>
          </w:p>
          <w:p>
            <w:pPr>
              <w:jc w:val="left"/>
              <w:rPr>
                <w:rFonts w:hint="eastAsia" w:ascii="仿宋" w:hAnsi="仿宋" w:eastAsia="仿宋" w:cs="Times New Roman"/>
                <w:bCs/>
                <w:szCs w:val="21"/>
              </w:rPr>
            </w:pPr>
            <w:r>
              <w:rPr>
                <w:rFonts w:hint="eastAsia" w:ascii="仿宋" w:hAnsi="仿宋" w:eastAsia="仿宋" w:cs="Times New Roman"/>
                <w:bCs/>
                <w:szCs w:val="21"/>
              </w:rPr>
              <w:t>▲19.平台采用智能答案对比方式，包含日期、数值、字符等多种文本格式答案对比规则，以及关键字提取对比。答案对比自动标注错误内容，并回显正确答案，方便自我纠错。（需提供软件功能截图证明）</w:t>
            </w:r>
          </w:p>
          <w:p>
            <w:pPr>
              <w:jc w:val="left"/>
              <w:rPr>
                <w:rFonts w:hint="eastAsia" w:ascii="仿宋" w:hAnsi="仿宋" w:eastAsia="仿宋" w:cs="Times New Roman"/>
                <w:bCs/>
                <w:szCs w:val="21"/>
              </w:rPr>
            </w:pPr>
            <w:r>
              <w:rPr>
                <w:rFonts w:hint="eastAsia" w:ascii="仿宋" w:hAnsi="仿宋" w:eastAsia="仿宋" w:cs="Times New Roman"/>
                <w:bCs/>
                <w:szCs w:val="21"/>
              </w:rPr>
              <w:t>★20.对接专业教学标准，涵盖纳税准备工作、发票管理、各个税种办税业务处理及风险管控、其他税务工作管理，税种涵盖增值税、消费税、关税、企业所得税、个人所得税、土地增值税、资源税、城镇土地使用税、房产税、车船税、契税、印花税、城市维护建设税、教育费附加、耕地占用税、烟叶税、车辆购置税、船舶吨税、环境保护税等核心技能点及业务情景。（需提供软件功能截图证明）</w:t>
            </w:r>
          </w:p>
          <w:p>
            <w:pPr>
              <w:jc w:val="left"/>
              <w:rPr>
                <w:rFonts w:hint="eastAsia" w:ascii="仿宋" w:hAnsi="仿宋" w:eastAsia="仿宋" w:cs="Times New Roman"/>
                <w:bCs/>
                <w:szCs w:val="21"/>
              </w:rPr>
            </w:pPr>
            <w:r>
              <w:rPr>
                <w:rFonts w:hint="eastAsia" w:ascii="仿宋" w:hAnsi="仿宋" w:eastAsia="仿宋" w:cs="Times New Roman"/>
                <w:bCs/>
                <w:szCs w:val="21"/>
              </w:rPr>
              <w:t>21.课程实训任务涵盖增值税发票税控开票软件、国家税务总局电子发票服务平台、国家税务总局电子税务局和增值税发票综合服务平台，对接会计信息系统平台。</w:t>
            </w:r>
          </w:p>
          <w:p>
            <w:pPr>
              <w:jc w:val="left"/>
              <w:rPr>
                <w:rFonts w:hint="eastAsia" w:ascii="仿宋" w:hAnsi="仿宋" w:eastAsia="仿宋" w:cs="Times New Roman"/>
                <w:bCs/>
                <w:szCs w:val="21"/>
              </w:rPr>
            </w:pPr>
            <w:r>
              <w:rPr>
                <w:rFonts w:hint="eastAsia" w:ascii="仿宋" w:hAnsi="仿宋" w:eastAsia="仿宋" w:cs="Times New Roman"/>
                <w:bCs/>
                <w:szCs w:val="21"/>
              </w:rPr>
              <w:t>22.需涵盖数据管理基本知识和素养、业务数据分析、财务报表分析、预算分析等技能训练内容。</w:t>
            </w:r>
          </w:p>
          <w:p>
            <w:pPr>
              <w:jc w:val="left"/>
              <w:rPr>
                <w:rFonts w:hint="eastAsia" w:ascii="仿宋" w:hAnsi="仿宋" w:eastAsia="仿宋" w:cs="Times New Roman"/>
                <w:bCs/>
                <w:szCs w:val="21"/>
              </w:rPr>
            </w:pPr>
            <w:r>
              <w:rPr>
                <w:rFonts w:hint="eastAsia" w:ascii="仿宋" w:hAnsi="仿宋" w:eastAsia="仿宋" w:cs="Times New Roman"/>
                <w:bCs/>
                <w:szCs w:val="21"/>
              </w:rPr>
              <w:t>23数据管理基本知识和素养应包含数据管理与数据分析人员的职业素养，数据要素、数据安全、大数据基本知识，数据分析的思路、维度与方法，电子会计档案管理的基本要求等内容。</w:t>
            </w:r>
          </w:p>
          <w:p>
            <w:pPr>
              <w:jc w:val="left"/>
              <w:rPr>
                <w:rFonts w:hint="eastAsia" w:ascii="仿宋" w:hAnsi="仿宋" w:eastAsia="仿宋" w:cs="Times New Roman"/>
                <w:bCs/>
                <w:szCs w:val="21"/>
              </w:rPr>
            </w:pPr>
            <w:r>
              <w:rPr>
                <w:rFonts w:hint="eastAsia" w:ascii="仿宋" w:hAnsi="仿宋" w:eastAsia="仿宋" w:cs="Times New Roman"/>
                <w:bCs/>
                <w:szCs w:val="21"/>
              </w:rPr>
              <w:t>▲24业务数据分析应包含采购业务和销售业务完成情况及计划执行差异分析、供应商和客户评价分析，并进行可视化呈现。（需提供软件功能截图证明）</w:t>
            </w:r>
          </w:p>
          <w:p>
            <w:pPr>
              <w:jc w:val="left"/>
              <w:rPr>
                <w:rFonts w:ascii="仿宋" w:hAnsi="仿宋" w:eastAsia="仿宋"/>
                <w:b/>
                <w:szCs w:val="21"/>
              </w:rPr>
            </w:pPr>
            <w:r>
              <w:rPr>
                <w:rFonts w:hint="eastAsia" w:ascii="仿宋" w:hAnsi="仿宋" w:eastAsia="仿宋" w:cs="Times New Roman"/>
                <w:bCs/>
                <w:szCs w:val="21"/>
              </w:rPr>
              <w:t>25.财务报表分析应包含资产负债表、利润表主要报表项目结构及趋势变动分析，并进行可视化呈现；偿债能力、盈利能力、营运能力、发展能力等主要财务指标的计算与对比分析，并进行可视化呈现。</w:t>
            </w: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4"/>
        <w:spacing w:beforeLines="50" w:afterLines="50"/>
        <w:rPr>
          <w:rFonts w:cs="宋体"/>
          <w:szCs w:val="28"/>
        </w:rPr>
      </w:pPr>
      <w:r>
        <w:rPr>
          <w:rFonts w:hint="eastAsia" w:cs="宋体"/>
          <w:szCs w:val="28"/>
        </w:rPr>
        <w:t>四、商务需求</w:t>
      </w:r>
    </w:p>
    <w:tbl>
      <w:tblPr>
        <w:tblStyle w:val="16"/>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426" w:type="dxa"/>
            <w:gridSpan w:val="3"/>
            <w:vAlign w:val="center"/>
          </w:tcPr>
          <w:p>
            <w:pPr>
              <w:rPr>
                <w:rFonts w:ascii="宋体" w:hAnsi="宋体" w:cs="宋体"/>
                <w:b/>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hint="eastAsia" w:ascii="宋体" w:hAnsi="宋体" w:eastAsia="宋体" w:cs="宋体"/>
                <w:b/>
              </w:rPr>
            </w:pPr>
            <w:r>
              <w:rPr>
                <w:rFonts w:hint="eastAsia" w:ascii="宋体" w:hAnsi="宋体" w:eastAsia="宋体" w:cs="宋体"/>
                <w:b/>
              </w:rPr>
              <w:t>1</w:t>
            </w:r>
          </w:p>
        </w:tc>
        <w:tc>
          <w:tcPr>
            <w:tcW w:w="1559" w:type="dxa"/>
            <w:vAlign w:val="center"/>
          </w:tcPr>
          <w:p>
            <w:pPr>
              <w:rPr>
                <w:rFonts w:hint="eastAsia" w:ascii="宋体" w:hAnsi="宋体" w:eastAsia="宋体" w:cs="宋体"/>
              </w:rPr>
            </w:pPr>
            <w:r>
              <w:rPr>
                <w:rFonts w:hint="eastAsia" w:ascii="宋体" w:hAnsi="宋体" w:eastAsia="宋体" w:cs="宋体"/>
              </w:rPr>
              <w:t>免费保修期</w:t>
            </w:r>
          </w:p>
        </w:tc>
        <w:tc>
          <w:tcPr>
            <w:tcW w:w="6158" w:type="dxa"/>
            <w:vAlign w:val="top"/>
          </w:tcPr>
          <w:p>
            <w:pPr>
              <w:rPr>
                <w:rFonts w:hint="eastAsia" w:ascii="宋体" w:hAnsi="宋体" w:eastAsia="宋体" w:cs="宋体"/>
                <w:b/>
              </w:rPr>
            </w:pPr>
            <w:r>
              <w:rPr>
                <w:rFonts w:hint="eastAsia" w:ascii="宋体" w:hAnsi="宋体" w:eastAsia="宋体" w:cs="宋体"/>
                <w:bCs/>
                <w:szCs w:val="21"/>
              </w:rPr>
              <w:t>货物免费保修期</w:t>
            </w:r>
            <w:r>
              <w:rPr>
                <w:rFonts w:hint="eastAsia" w:ascii="宋体" w:hAnsi="宋体" w:eastAsia="宋体" w:cs="宋体"/>
                <w:bCs/>
                <w:szCs w:val="21"/>
                <w:u w:val="single"/>
              </w:rPr>
              <w:t xml:space="preserve"> </w:t>
            </w:r>
            <w:r>
              <w:rPr>
                <w:rFonts w:hint="eastAsia" w:ascii="宋体" w:hAnsi="宋体" w:eastAsia="宋体" w:cs="宋体"/>
                <w:bCs/>
                <w:szCs w:val="21"/>
                <w:highlight w:val="none"/>
                <w:u w:val="single"/>
              </w:rPr>
              <w:t xml:space="preserve"> 3 </w:t>
            </w:r>
            <w:r>
              <w:rPr>
                <w:rFonts w:hint="eastAsia" w:ascii="宋体" w:hAnsi="宋体" w:eastAsia="宋体" w:cs="宋体"/>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cs="宋体"/>
              </w:rPr>
            </w:pPr>
            <w:r>
              <w:rPr>
                <w:rFonts w:hint="eastAsia" w:ascii="宋体" w:hAnsi="宋体" w:eastAsia="宋体" w:cs="宋体"/>
                <w:b/>
              </w:rPr>
              <w:t>2</w:t>
            </w:r>
          </w:p>
        </w:tc>
        <w:tc>
          <w:tcPr>
            <w:tcW w:w="1559" w:type="dxa"/>
            <w:vAlign w:val="top"/>
          </w:tcPr>
          <w:p>
            <w:pPr>
              <w:rPr>
                <w:rFonts w:hint="eastAsia" w:ascii="宋体" w:hAnsi="宋体" w:eastAsia="宋体" w:cs="宋体"/>
              </w:rPr>
            </w:pPr>
            <w:r>
              <w:rPr>
                <w:rFonts w:hint="eastAsia" w:ascii="宋体" w:hAnsi="宋体" w:eastAsia="宋体" w:cs="宋体"/>
              </w:rPr>
              <w:t>维修响应及故障解决时间</w:t>
            </w:r>
          </w:p>
        </w:tc>
        <w:tc>
          <w:tcPr>
            <w:tcW w:w="6158" w:type="dxa"/>
            <w:vAlign w:val="top"/>
          </w:tcPr>
          <w:p>
            <w:pPr>
              <w:rPr>
                <w:rFonts w:hint="eastAsia" w:ascii="宋体" w:hAnsi="宋体" w:eastAsia="宋体" w:cs="宋体"/>
                <w:b/>
              </w:rPr>
            </w:pPr>
            <w:r>
              <w:rPr>
                <w:rFonts w:hint="eastAsia" w:ascii="宋体" w:hAnsi="宋体" w:eastAsia="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vAlign w:val="center"/>
          </w:tcPr>
          <w:p>
            <w:pPr>
              <w:rPr>
                <w:rFonts w:ascii="宋体" w:hAnsi="宋体" w:cs="宋体"/>
                <w:bCs/>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1559" w:type="dxa"/>
            <w:vMerge w:val="restart"/>
            <w:vAlign w:val="center"/>
          </w:tcPr>
          <w:p>
            <w:pPr>
              <w:jc w:val="center"/>
              <w:rPr>
                <w:rFonts w:hint="eastAsia" w:ascii="宋体" w:hAnsi="宋体" w:eastAsia="宋体" w:cs="宋体"/>
                <w:b/>
                <w:szCs w:val="21"/>
              </w:rPr>
            </w:pPr>
            <w:r>
              <w:rPr>
                <w:rFonts w:hint="eastAsia" w:ascii="仿宋" w:hAnsi="仿宋" w:eastAsia="仿宋" w:cs="宋体"/>
                <w:b/>
                <w:color w:val="FF0000"/>
                <w:kern w:val="0"/>
                <w:sz w:val="20"/>
                <w:szCs w:val="20"/>
              </w:rPr>
              <w:t>★</w:t>
            </w:r>
            <w:r>
              <w:rPr>
                <w:rFonts w:hint="eastAsia" w:ascii="仿宋" w:hAnsi="仿宋" w:eastAsia="仿宋"/>
              </w:rPr>
              <w:t>关于交货期</w:t>
            </w:r>
          </w:p>
        </w:tc>
        <w:tc>
          <w:tcPr>
            <w:tcW w:w="6158" w:type="dxa"/>
            <w:vAlign w:val="top"/>
          </w:tcPr>
          <w:p>
            <w:pPr>
              <w:rPr>
                <w:rFonts w:hint="eastAsia" w:ascii="宋体" w:hAnsi="宋体" w:eastAsia="宋体" w:cs="宋体"/>
                <w:bCs/>
                <w:szCs w:val="21"/>
              </w:rPr>
            </w:pPr>
            <w:r>
              <w:rPr>
                <w:rFonts w:hint="eastAsia" w:ascii="仿宋" w:hAnsi="仿宋" w:eastAsia="仿宋"/>
                <w:bCs/>
                <w:szCs w:val="21"/>
              </w:rPr>
              <w:t>1.签订合同之日起</w:t>
            </w:r>
            <w:r>
              <w:rPr>
                <w:rFonts w:hint="eastAsia" w:ascii="仿宋" w:hAnsi="仿宋" w:eastAsia="仿宋"/>
                <w:bCs/>
                <w:szCs w:val="21"/>
                <w:u w:val="single"/>
              </w:rPr>
              <w:t xml:space="preserve"> </w:t>
            </w:r>
            <w:r>
              <w:rPr>
                <w:rFonts w:hint="eastAsia" w:ascii="仿宋" w:hAnsi="仿宋" w:eastAsia="仿宋"/>
                <w:bCs/>
                <w:szCs w:val="21"/>
                <w:highlight w:val="none"/>
                <w:u w:val="single"/>
              </w:rPr>
              <w:t xml:space="preserve"> </w:t>
            </w:r>
            <w:r>
              <w:rPr>
                <w:rFonts w:hint="eastAsia" w:ascii="仿宋" w:hAnsi="仿宋" w:eastAsia="仿宋"/>
                <w:bCs/>
                <w:szCs w:val="21"/>
                <w:highlight w:val="none"/>
                <w:u w:val="single"/>
                <w:lang w:val="en-US" w:eastAsia="zh-CN"/>
              </w:rPr>
              <w:t>2</w:t>
            </w:r>
            <w:bookmarkStart w:id="8" w:name="_GoBack"/>
            <w:bookmarkEnd w:id="8"/>
            <w:r>
              <w:rPr>
                <w:rFonts w:hint="eastAsia" w:ascii="仿宋" w:hAnsi="仿宋" w:eastAsia="仿宋"/>
                <w:bCs/>
                <w:szCs w:val="21"/>
                <w:highlight w:val="none"/>
                <w:u w:val="single"/>
              </w:rPr>
              <w:t xml:space="preserve">0 </w:t>
            </w:r>
            <w:r>
              <w:rPr>
                <w:rFonts w:hint="eastAsia" w:ascii="仿宋" w:hAnsi="仿宋" w:eastAsia="仿宋"/>
                <w:bCs/>
                <w:szCs w:val="21"/>
                <w:u w:val="single"/>
              </w:rPr>
              <w:t xml:space="preserve"> </w:t>
            </w:r>
            <w:r>
              <w:rPr>
                <w:rFonts w:hint="eastAsia" w:ascii="仿宋" w:hAnsi="仿宋" w:eastAsia="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b/>
                <w:szCs w:val="21"/>
              </w:rPr>
            </w:pPr>
          </w:p>
        </w:tc>
        <w:tc>
          <w:tcPr>
            <w:tcW w:w="1559" w:type="dxa"/>
            <w:vMerge w:val="continue"/>
            <w:vAlign w:val="center"/>
          </w:tcPr>
          <w:p>
            <w:pPr>
              <w:jc w:val="center"/>
              <w:rPr>
                <w:rFonts w:hint="eastAsia" w:ascii="宋体" w:hAnsi="宋体" w:eastAsia="宋体" w:cs="宋体"/>
                <w:b/>
                <w:szCs w:val="21"/>
              </w:rPr>
            </w:pPr>
          </w:p>
        </w:tc>
        <w:tc>
          <w:tcPr>
            <w:tcW w:w="6158" w:type="dxa"/>
            <w:vAlign w:val="top"/>
          </w:tcPr>
          <w:p>
            <w:pPr>
              <w:rPr>
                <w:rFonts w:hint="eastAsia" w:ascii="宋体" w:hAnsi="宋体" w:eastAsia="宋体" w:cs="宋体"/>
                <w:bCs/>
                <w:szCs w:val="21"/>
              </w:rPr>
            </w:pPr>
            <w:r>
              <w:rPr>
                <w:rFonts w:hint="eastAsia" w:ascii="仿宋" w:hAnsi="仿宋" w:eastAsia="仿宋"/>
                <w:bCs/>
                <w:szCs w:val="21"/>
              </w:rPr>
              <w:t>2.投标人必须承担的货物运输、安装调试、验收检测和提供货物操作说明书等其他类似的义务。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2</w:t>
            </w:r>
          </w:p>
        </w:tc>
        <w:tc>
          <w:tcPr>
            <w:tcW w:w="1559" w:type="dxa"/>
            <w:vMerge w:val="restart"/>
            <w:vAlign w:val="center"/>
          </w:tcPr>
          <w:p>
            <w:pPr>
              <w:jc w:val="center"/>
              <w:rPr>
                <w:rFonts w:hint="eastAsia" w:ascii="宋体" w:hAnsi="宋体" w:eastAsia="宋体" w:cs="宋体"/>
                <w:b/>
                <w:szCs w:val="21"/>
              </w:rPr>
            </w:pPr>
            <w:r>
              <w:rPr>
                <w:rFonts w:hint="eastAsia" w:ascii="仿宋" w:hAnsi="仿宋" w:eastAsia="仿宋" w:cs="宋体"/>
                <w:b/>
                <w:color w:val="FF0000"/>
                <w:kern w:val="0"/>
                <w:sz w:val="20"/>
                <w:szCs w:val="20"/>
              </w:rPr>
              <w:t>★</w:t>
            </w:r>
            <w:r>
              <w:rPr>
                <w:rFonts w:hint="eastAsia" w:ascii="仿宋" w:hAnsi="仿宋" w:eastAsia="仿宋"/>
              </w:rPr>
              <w:t>关于验收</w:t>
            </w:r>
          </w:p>
        </w:tc>
        <w:tc>
          <w:tcPr>
            <w:tcW w:w="6158" w:type="dxa"/>
            <w:vAlign w:val="top"/>
          </w:tcPr>
          <w:p>
            <w:pPr>
              <w:spacing w:line="340" w:lineRule="exact"/>
              <w:rPr>
                <w:rFonts w:hint="eastAsia" w:ascii="宋体" w:hAnsi="宋体" w:eastAsia="宋体" w:cs="宋体"/>
                <w:bCs/>
                <w:szCs w:val="21"/>
              </w:rPr>
            </w:pPr>
            <w:r>
              <w:rPr>
                <w:rFonts w:hint="eastAsia" w:ascii="仿宋" w:hAnsi="仿宋" w:eastAsia="仿宋"/>
                <w:bCs/>
                <w:szCs w:val="21"/>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b/>
                <w:szCs w:val="21"/>
              </w:rPr>
            </w:pPr>
          </w:p>
        </w:tc>
        <w:tc>
          <w:tcPr>
            <w:tcW w:w="1559" w:type="dxa"/>
            <w:vMerge w:val="continue"/>
            <w:vAlign w:val="top"/>
          </w:tcPr>
          <w:p>
            <w:pPr>
              <w:rPr>
                <w:rFonts w:hint="eastAsia" w:ascii="宋体" w:hAnsi="宋体" w:eastAsia="宋体" w:cs="宋体"/>
                <w:b/>
                <w:szCs w:val="21"/>
              </w:rPr>
            </w:pPr>
          </w:p>
        </w:tc>
        <w:tc>
          <w:tcPr>
            <w:tcW w:w="6158" w:type="dxa"/>
            <w:vAlign w:val="top"/>
          </w:tcPr>
          <w:p>
            <w:pPr>
              <w:tabs>
                <w:tab w:val="left" w:pos="1260"/>
              </w:tabs>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hint="eastAsia" w:ascii="宋体" w:hAnsi="宋体" w:eastAsia="宋体" w:cs="宋体"/>
                <w:bCs/>
                <w:szCs w:val="21"/>
                <w:highlight w:val="yellow"/>
              </w:rPr>
            </w:pPr>
            <w:r>
              <w:rPr>
                <w:rFonts w:ascii="仿宋" w:hAnsi="仿宋" w:eastAsia="仿宋"/>
                <w:bCs/>
                <w:szCs w:val="21"/>
              </w:rPr>
              <w:t>b</w:t>
            </w:r>
            <w:r>
              <w:rPr>
                <w:rFonts w:hint="eastAsia" w:ascii="仿宋" w:hAnsi="仿宋" w:eastAsia="仿宋"/>
                <w:bCs/>
                <w:szCs w:val="21"/>
              </w:rPr>
              <w:t>、货物符合招标文件技术规格书的要求，性能满足要求。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3</w:t>
            </w:r>
          </w:p>
        </w:tc>
        <w:tc>
          <w:tcPr>
            <w:tcW w:w="1559" w:type="dxa"/>
            <w:vAlign w:val="center"/>
          </w:tcPr>
          <w:p>
            <w:pPr>
              <w:jc w:val="center"/>
              <w:rPr>
                <w:rFonts w:hint="eastAsia" w:ascii="宋体" w:hAnsi="宋体" w:eastAsia="宋体" w:cs="宋体"/>
                <w:b/>
                <w:szCs w:val="21"/>
              </w:rPr>
            </w:pPr>
            <w:r>
              <w:rPr>
                <w:rFonts w:hint="eastAsia" w:ascii="仿宋" w:hAnsi="仿宋" w:eastAsia="仿宋" w:cs="宋体"/>
                <w:color w:val="FF0000"/>
                <w:kern w:val="0"/>
                <w:sz w:val="20"/>
                <w:szCs w:val="20"/>
              </w:rPr>
              <w:t>★</w:t>
            </w:r>
            <w:r>
              <w:rPr>
                <w:rFonts w:hint="eastAsia" w:ascii="仿宋" w:hAnsi="仿宋" w:eastAsia="仿宋"/>
                <w:szCs w:val="21"/>
              </w:rPr>
              <w:t>付款方式</w:t>
            </w:r>
          </w:p>
        </w:tc>
        <w:tc>
          <w:tcPr>
            <w:tcW w:w="6158" w:type="dxa"/>
            <w:vAlign w:val="center"/>
          </w:tcPr>
          <w:p>
            <w:pPr>
              <w:rPr>
                <w:rFonts w:hint="eastAsia" w:ascii="宋体" w:hAnsi="宋体" w:eastAsia="宋体" w:cs="宋体"/>
                <w:bCs/>
                <w:szCs w:val="21"/>
              </w:rPr>
            </w:pPr>
            <w:r>
              <w:rPr>
                <w:rFonts w:hint="eastAsia" w:ascii="仿宋" w:hAnsi="仿宋" w:eastAsia="仿宋" w:cs="宋体"/>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4</w:t>
            </w:r>
          </w:p>
        </w:tc>
        <w:tc>
          <w:tcPr>
            <w:tcW w:w="1559" w:type="dxa"/>
            <w:vAlign w:val="center"/>
          </w:tcPr>
          <w:p>
            <w:pPr>
              <w:jc w:val="center"/>
              <w:rPr>
                <w:rFonts w:hint="eastAsia" w:ascii="宋体" w:hAnsi="宋体" w:eastAsia="宋体" w:cs="宋体"/>
                <w:b/>
                <w:szCs w:val="21"/>
              </w:rPr>
            </w:pPr>
            <w:r>
              <w:rPr>
                <w:rFonts w:hint="eastAsia" w:ascii="仿宋" w:hAnsi="仿宋" w:eastAsia="仿宋" w:cs="宋体"/>
                <w:color w:val="FF0000"/>
                <w:kern w:val="0"/>
                <w:sz w:val="20"/>
                <w:szCs w:val="20"/>
              </w:rPr>
              <w:t>★</w:t>
            </w:r>
            <w:r>
              <w:rPr>
                <w:rFonts w:hint="eastAsia" w:ascii="仿宋" w:hAnsi="仿宋" w:eastAsia="仿宋" w:cs="宋体"/>
                <w:kern w:val="0"/>
                <w:szCs w:val="21"/>
              </w:rPr>
              <w:t>诚信履约</w:t>
            </w:r>
          </w:p>
        </w:tc>
        <w:tc>
          <w:tcPr>
            <w:tcW w:w="6158" w:type="dxa"/>
            <w:vAlign w:val="center"/>
          </w:tcPr>
          <w:p>
            <w:pPr>
              <w:rPr>
                <w:rFonts w:hint="eastAsia" w:ascii="宋体" w:hAnsi="宋体" w:eastAsia="宋体" w:cs="宋体"/>
                <w:bCs/>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1"/>
        <w:ind w:firstLine="422"/>
        <w:rPr>
          <w:rFonts w:ascii="宋体" w:hAnsi="宋体" w:cs="宋体"/>
          <w:b/>
        </w:rPr>
      </w:pPr>
    </w:p>
    <w:p>
      <w:pPr>
        <w:pStyle w:val="11"/>
        <w:ind w:firstLine="422"/>
        <w:rPr>
          <w:rFonts w:ascii="宋体" w:hAnsi="宋体" w:cs="宋体"/>
          <w:b/>
        </w:rPr>
      </w:pPr>
    </w:p>
    <w:p>
      <w:pPr>
        <w:pStyle w:val="3"/>
      </w:pPr>
      <w:r>
        <w:rPr>
          <w:rFonts w:hint="eastAsia"/>
        </w:rPr>
        <w:t>第三章  投标文件格式</w:t>
      </w:r>
    </w:p>
    <w:p>
      <w:pPr>
        <w:rPr>
          <w:rStyle w:val="23"/>
          <w:rFonts w:ascii="宋体" w:hAnsi="宋体" w:eastAsia="宋体" w:cs="宋体"/>
          <w:sz w:val="28"/>
          <w:szCs w:val="28"/>
        </w:rPr>
      </w:pPr>
      <w:r>
        <w:rPr>
          <w:rStyle w:val="23"/>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5"/>
        <w:numPr>
          <w:ilvl w:val="0"/>
          <w:numId w:val="2"/>
        </w:numPr>
        <w:jc w:val="center"/>
        <w:rPr>
          <w:rFonts w:cs="宋体"/>
          <w:bCs w:val="0"/>
          <w:kern w:val="0"/>
          <w:szCs w:val="28"/>
        </w:rPr>
      </w:pPr>
      <w:r>
        <w:rPr>
          <w:rFonts w:hint="eastAsia" w:cs="宋体"/>
          <w:bCs w:val="0"/>
          <w:kern w:val="0"/>
          <w:szCs w:val="28"/>
        </w:rPr>
        <w:t>评标指引表</w:t>
      </w:r>
    </w:p>
    <w:tbl>
      <w:tblPr>
        <w:tblStyle w:val="1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5"/>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Lines="50"/>
        <w:ind w:firstLine="411" w:firstLineChars="196"/>
        <w:rPr>
          <w:rFonts w:ascii="宋体" w:hAnsi="宋体" w:cs="宋体"/>
          <w:szCs w:val="21"/>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Lines="50"/>
        <w:rPr>
          <w:rFonts w:ascii="宋体" w:hAnsi="宋体" w:cs="宋体"/>
          <w:b/>
          <w:bCs/>
          <w:sz w:val="24"/>
        </w:rPr>
      </w:pPr>
      <w:r>
        <w:rPr>
          <w:rFonts w:hint="eastAsia" w:ascii="宋体" w:hAnsi="宋体" w:cs="宋体"/>
          <w:b/>
          <w:bCs/>
          <w:sz w:val="24"/>
        </w:rPr>
        <w:t>（一）投标人资格要求的证明文件</w:t>
      </w:r>
    </w:p>
    <w:p>
      <w:pPr>
        <w:spacing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6"/>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5"/>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9"/>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5"/>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9"/>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5"/>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5"/>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5"/>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1"/>
        <w:ind w:firstLine="422"/>
        <w:rPr>
          <w:rFonts w:ascii="宋体" w:hAnsi="宋体" w:cs="宋体"/>
          <w:b/>
        </w:rPr>
      </w:pPr>
    </w:p>
    <w:p>
      <w:pPr>
        <w:pStyle w:val="6"/>
      </w:pP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mMDUyMDVkMjc2MTNiNTdkMDFmZjA3ODBmZTkxMDkifQ=="/>
  </w:docVars>
  <w:rsids>
    <w:rsidRoot w:val="008E06EA"/>
    <w:rsid w:val="000958E5"/>
    <w:rsid w:val="001338D7"/>
    <w:rsid w:val="002B1235"/>
    <w:rsid w:val="00324DC9"/>
    <w:rsid w:val="00390C90"/>
    <w:rsid w:val="003C1F11"/>
    <w:rsid w:val="003C75D3"/>
    <w:rsid w:val="003D140B"/>
    <w:rsid w:val="005821A2"/>
    <w:rsid w:val="006E43F1"/>
    <w:rsid w:val="0079565D"/>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1BED3472"/>
    <w:rsid w:val="26B82091"/>
    <w:rsid w:val="3C602787"/>
    <w:rsid w:val="3C740F3C"/>
    <w:rsid w:val="411F02FE"/>
    <w:rsid w:val="4B465BD2"/>
    <w:rsid w:val="4E273257"/>
    <w:rsid w:val="52B37A56"/>
    <w:rsid w:val="565A0366"/>
    <w:rsid w:val="57E06287"/>
    <w:rsid w:val="5AC957C9"/>
    <w:rsid w:val="5FA42BC0"/>
    <w:rsid w:val="6BBD7F7B"/>
    <w:rsid w:val="6EE92007"/>
    <w:rsid w:val="772174F0"/>
    <w:rsid w:val="7EAF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表 21"/>
    <w:basedOn w:val="1"/>
    <w:qFormat/>
    <w:uiPriority w:val="0"/>
    <w:pPr>
      <w:suppressAutoHyphens/>
      <w:ind w:left="100" w:hanging="200"/>
    </w:pPr>
    <w:rPr>
      <w:kern w:val="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line="360" w:lineRule="auto"/>
    </w:pPr>
    <w:rPr>
      <w:b/>
      <w:bCs/>
      <w:sz w:val="24"/>
    </w:rPr>
  </w:style>
  <w:style w:type="paragraph" w:styleId="10">
    <w:name w:val="Body Text Indent"/>
    <w:basedOn w:val="1"/>
    <w:next w:val="11"/>
    <w:qFormat/>
    <w:uiPriority w:val="0"/>
    <w:pPr>
      <w:spacing w:line="360" w:lineRule="auto"/>
      <w:ind w:firstLine="420" w:firstLineChars="200"/>
    </w:pPr>
  </w:style>
  <w:style w:type="paragraph" w:styleId="11">
    <w:name w:val="Body Text First Indent 2"/>
    <w:basedOn w:val="10"/>
    <w:unhideWhenUsed/>
    <w:qFormat/>
    <w:uiPriority w:val="99"/>
    <w:pPr>
      <w:spacing w:after="120"/>
      <w:ind w:left="420" w:leftChars="200"/>
    </w:pPr>
    <w:rPr>
      <w:rFonts w:ascii="Calibri" w:hAnsi="Calibri"/>
      <w:szCs w:val="22"/>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character" w:styleId="18">
    <w:name w:val="Strong"/>
    <w:basedOn w:val="17"/>
    <w:qFormat/>
    <w:uiPriority w:val="22"/>
    <w:rPr>
      <w:b/>
      <w:bCs/>
    </w:rPr>
  </w:style>
  <w:style w:type="character" w:styleId="19">
    <w:name w:val="FollowedHyperlink"/>
    <w:basedOn w:val="17"/>
    <w:qFormat/>
    <w:uiPriority w:val="0"/>
    <w:rPr>
      <w:color w:val="954F72" w:themeColor="followedHyperlink"/>
      <w:u w:val="single"/>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paragraph" w:customStyle="1" w:styleId="22">
    <w:name w:val="表格文字"/>
    <w:basedOn w:val="1"/>
    <w:qFormat/>
    <w:uiPriority w:val="99"/>
    <w:pPr>
      <w:spacing w:before="25" w:after="25"/>
    </w:pPr>
    <w:rPr>
      <w:spacing w:val="10"/>
      <w:sz w:val="24"/>
    </w:rPr>
  </w:style>
  <w:style w:type="character" w:customStyle="1" w:styleId="23">
    <w:name w:val="标题 3 Char"/>
    <w:qFormat/>
    <w:uiPriority w:val="0"/>
    <w:rPr>
      <w:rFonts w:ascii="黑体" w:eastAsia="黑体"/>
      <w:bCs/>
      <w:sz w:val="30"/>
    </w:rPr>
  </w:style>
  <w:style w:type="character" w:customStyle="1" w:styleId="24">
    <w:name w:val="Unresolved Mention"/>
    <w:basedOn w:val="17"/>
    <w:semiHidden/>
    <w:unhideWhenUsed/>
    <w:qFormat/>
    <w:uiPriority w:val="99"/>
    <w:rPr>
      <w:color w:val="605E5C"/>
      <w:shd w:val="clear" w:color="auto" w:fill="E1DFDD"/>
    </w:rPr>
  </w:style>
  <w:style w:type="character" w:customStyle="1" w:styleId="25">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1484</Words>
  <Characters>8459</Characters>
  <Lines>70</Lines>
  <Paragraphs>19</Paragraphs>
  <TotalTime>9</TotalTime>
  <ScaleCrop>false</ScaleCrop>
  <LinksUpToDate>false</LinksUpToDate>
  <CharactersWithSpaces>9924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2023-11-08T02:30:21Z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FD6E686AA8F54FA38A5CBE3EAA1F9D5D_13</vt:lpwstr>
  </property>
</Properties>
</file>