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华文中宋" w:hAnsi="华文中宋" w:eastAsia="华文中宋"/>
          <w:b/>
          <w:bCs/>
          <w:sz w:val="50"/>
          <w:szCs w:val="44"/>
        </w:rPr>
      </w:pPr>
    </w:p>
    <w:p>
      <w:pPr>
        <w:adjustRightInd w:val="0"/>
        <w:snapToGrid w:val="0"/>
        <w:jc w:val="center"/>
        <w:rPr>
          <w:rFonts w:hint="eastAsia" w:ascii="华文中宋" w:hAnsi="华文中宋" w:eastAsia="华文中宋"/>
          <w:b/>
          <w:bCs/>
          <w:sz w:val="50"/>
          <w:szCs w:val="44"/>
        </w:rPr>
      </w:pPr>
    </w:p>
    <w:p>
      <w:pPr>
        <w:adjustRightInd w:val="0"/>
        <w:snapToGrid w:val="0"/>
        <w:jc w:val="center"/>
        <w:rPr>
          <w:rFonts w:hint="eastAsia"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lang w:val="en-US" w:eastAsia="zh-CN"/>
        </w:rPr>
        <w:t>综合楼东侧楼梯与涉及围墙改造项目</w:t>
      </w: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20"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hint="eastAsia" w:ascii="黑体" w:hAnsi="华文中宋" w:eastAsia="黑体" w:cs="Arial"/>
          <w:szCs w:val="21"/>
          <w:lang w:eastAsia="zh-CN"/>
        </w:rPr>
      </w:pPr>
      <w:r>
        <w:rPr>
          <w:rFonts w:hint="eastAsia" w:ascii="黑体" w:hAnsi="华文中宋" w:eastAsia="黑体" w:cs="Arial"/>
          <w:sz w:val="32"/>
          <w:szCs w:val="32"/>
          <w:lang w:eastAsia="zh-CN"/>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eastAsia="zh-CN"/>
        </w:rPr>
        <w:t>三</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十</w:t>
      </w:r>
      <w:r>
        <w:rPr>
          <w:rFonts w:hint="eastAsia" w:ascii="黑体" w:hAnsi="华文中宋" w:eastAsia="黑体" w:cs="Arial"/>
          <w:sz w:val="32"/>
          <w:szCs w:val="32"/>
        </w:rPr>
        <w:t>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w:t>
      </w:r>
      <w:r>
        <w:rPr>
          <w:rFonts w:hint="eastAsia" w:ascii="宋体" w:hAnsi="宋体" w:cs="宋体"/>
          <w:szCs w:val="21"/>
          <w:lang w:eastAsia="zh-CN"/>
        </w:rPr>
        <w:t>综合楼东侧楼梯与涉及围墙改造项目</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工程类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5"/>
        <w:rPr>
          <w:rFonts w:cs="宋体"/>
          <w:szCs w:val="28"/>
        </w:rPr>
      </w:pPr>
      <w:r>
        <w:rPr>
          <w:rFonts w:hint="eastAsia" w:cs="宋体"/>
          <w:szCs w:val="28"/>
        </w:rPr>
        <w:t>投标文件初审表</w:t>
      </w:r>
    </w:p>
    <w:p>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hint="eastAsia" w:ascii="宋体" w:hAnsi="宋体" w:eastAsia="宋体" w:cs="宋体"/>
                <w:lang w:eastAsia="zh-CN"/>
              </w:rPr>
            </w:pPr>
            <w:r>
              <w:rPr>
                <w:rFonts w:hint="eastAsia" w:ascii="宋体" w:hAnsi="宋体" w:cs="宋体"/>
                <w:b/>
              </w:rPr>
              <w:t>投标文件载明的</w:t>
            </w:r>
            <w:r>
              <w:rPr>
                <w:rFonts w:hint="eastAsia" w:ascii="宋体" w:hAnsi="宋体" w:cs="宋体"/>
                <w:b/>
                <w:lang w:val="en-US" w:eastAsia="zh-CN"/>
              </w:rPr>
              <w:t>项目工</w:t>
            </w:r>
            <w:r>
              <w:rPr>
                <w:rFonts w:hint="eastAsia" w:ascii="宋体" w:hAnsi="宋体" w:cs="宋体"/>
                <w:b/>
              </w:rPr>
              <w:t>期超过招标文件规定的期限</w:t>
            </w:r>
            <w:r>
              <w:rPr>
                <w:rFonts w:hint="eastAsia" w:ascii="宋体" w:hAnsi="宋体" w:cs="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5"/>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5"/>
        <w:jc w:val="both"/>
        <w:rPr>
          <w:rFonts w:cs="宋体"/>
        </w:rPr>
      </w:pPr>
      <w:r>
        <w:rPr>
          <w:rFonts w:hint="eastAsia" w:cs="宋体"/>
        </w:rPr>
        <w:t>评标方法</w:t>
      </w:r>
    </w:p>
    <w:tbl>
      <w:tblPr>
        <w:tblStyle w:val="14"/>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8685"/>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8685" w:type="dxa"/>
            <w:shd w:val="clear" w:color="auto" w:fill="auto"/>
            <w:vAlign w:val="center"/>
          </w:tcPr>
          <w:p>
            <w:pPr>
              <w:widowControl/>
              <w:jc w:val="left"/>
              <w:rPr>
                <w:b/>
                <w:bCs/>
                <w:sz w:val="24"/>
              </w:rPr>
            </w:pPr>
            <w:r>
              <w:rPr>
                <w:b/>
                <w:bCs/>
              </w:rPr>
              <w:t>评标方法：综合评分法</w:t>
            </w:r>
          </w:p>
        </w:tc>
        <w:tc>
          <w:tcPr>
            <w:tcW w:w="393" w:type="dxa"/>
            <w:shd w:val="clear" w:color="auto" w:fill="auto"/>
            <w:vAlign w:val="center"/>
          </w:tcPr>
          <w:p>
            <w:pPr>
              <w:jc w:val="right"/>
              <w:rPr>
                <w:rFonts w:ascii="宋体"/>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2"/>
              <w:widowControl/>
              <w:spacing w:line="324" w:lineRule="auto"/>
              <w:ind w:left="420"/>
              <w:rPr>
                <w:rFonts w:hint="eastAsia" w:eastAsia="宋体"/>
                <w:kern w:val="2"/>
                <w:sz w:val="21"/>
                <w:szCs w:val="21"/>
                <w:lang w:eastAsia="zh-CN"/>
              </w:rPr>
            </w:pPr>
            <w:r>
              <w:rPr>
                <w:kern w:val="2"/>
                <w:sz w:val="21"/>
                <w:szCs w:val="21"/>
              </w:rPr>
              <w:t xml:space="preserve">采用低价优先法计算，即满足招标文件要求且投标价格最低的投标报价为评标基准价，其价格分为满分。其他投标人的价格分统一按照下列公式计算： </w:t>
            </w:r>
          </w:p>
          <w:p>
            <w:pPr>
              <w:pStyle w:val="12"/>
              <w:widowControl/>
              <w:spacing w:line="324" w:lineRule="auto"/>
              <w:ind w:left="420"/>
              <w:rPr>
                <w:rFonts w:hint="eastAsia" w:eastAsia="宋体"/>
                <w:kern w:val="2"/>
                <w:sz w:val="21"/>
                <w:szCs w:val="21"/>
                <w:lang w:eastAsia="zh-CN"/>
              </w:rPr>
            </w:pPr>
            <w:r>
              <w:rPr>
                <w:kern w:val="2"/>
                <w:sz w:val="21"/>
                <w:szCs w:val="21"/>
              </w:rPr>
              <w:t>投标报价得分=(评标基准价／投标报价)×100</w:t>
            </w:r>
          </w:p>
          <w:p>
            <w:pPr>
              <w:pStyle w:val="12"/>
              <w:widowControl/>
              <w:spacing w:line="324" w:lineRule="auto"/>
              <w:ind w:left="420"/>
              <w:rPr>
                <w:rFonts w:hint="eastAsia" w:eastAsia="宋体"/>
                <w:kern w:val="2"/>
                <w:sz w:val="21"/>
                <w:szCs w:val="21"/>
                <w:lang w:eastAsia="zh-CN"/>
              </w:rPr>
            </w:pPr>
            <w:r>
              <w:rPr>
                <w:kern w:val="2"/>
                <w:sz w:val="21"/>
                <w:szCs w:val="21"/>
              </w:rPr>
              <w:t xml:space="preserve">评标总得分＝F1×A1＋F2×A2＋……＋Fn×An </w:t>
            </w:r>
          </w:p>
          <w:p>
            <w:pPr>
              <w:pStyle w:val="12"/>
              <w:widowControl/>
              <w:spacing w:line="324" w:lineRule="auto"/>
              <w:ind w:left="420"/>
              <w:rPr>
                <w:rFonts w:hint="eastAsia" w:eastAsia="宋体"/>
                <w:kern w:val="2"/>
                <w:sz w:val="21"/>
                <w:szCs w:val="21"/>
                <w:lang w:eastAsia="zh-CN"/>
              </w:rPr>
            </w:pPr>
            <w:r>
              <w:rPr>
                <w:kern w:val="2"/>
                <w:sz w:val="21"/>
                <w:szCs w:val="21"/>
              </w:rPr>
              <w:t xml:space="preserve">F1、F2……Fn分别为各项评审因素的得分； </w:t>
            </w:r>
          </w:p>
          <w:p>
            <w:pPr>
              <w:pStyle w:val="12"/>
              <w:widowControl/>
              <w:spacing w:line="324" w:lineRule="auto"/>
              <w:ind w:left="420"/>
              <w:rPr>
                <w:rFonts w:hint="eastAsia" w:eastAsia="宋体"/>
                <w:kern w:val="2"/>
                <w:sz w:val="21"/>
                <w:szCs w:val="21"/>
                <w:lang w:eastAsia="zh-CN"/>
              </w:rPr>
            </w:pPr>
            <w:r>
              <w:rPr>
                <w:kern w:val="2"/>
                <w:sz w:val="21"/>
                <w:szCs w:val="21"/>
              </w:rPr>
              <w:t xml:space="preserve">A1、A2、……An 分别为各项评审因素所占的权重(A1＋A2＋……＋An＝1)。 </w:t>
            </w:r>
          </w:p>
          <w:p>
            <w:pPr>
              <w:pStyle w:val="12"/>
              <w:widowControl/>
              <w:spacing w:line="324" w:lineRule="auto"/>
              <w:ind w:left="420"/>
              <w:rPr>
                <w:rFonts w:hint="eastAsia" w:eastAsia="宋体"/>
                <w:kern w:val="2"/>
                <w:sz w:val="21"/>
                <w:szCs w:val="21"/>
                <w:lang w:eastAsia="zh-CN"/>
              </w:rPr>
            </w:pPr>
            <w:r>
              <w:rPr>
                <w:kern w:val="2"/>
                <w:sz w:val="21"/>
                <w:szCs w:val="21"/>
              </w:rPr>
              <w:t xml:space="preserve">评标过程中，不得去掉报价中的最高报价和最低报价。 </w:t>
            </w:r>
          </w:p>
          <w:p>
            <w:pPr>
              <w:pStyle w:val="12"/>
              <w:widowControl/>
              <w:spacing w:line="324" w:lineRule="auto"/>
              <w:ind w:left="420"/>
              <w:rPr>
                <w:sz w:val="21"/>
                <w:szCs w:val="21"/>
              </w:rPr>
            </w:pPr>
            <w:r>
              <w:rPr>
                <w:kern w:val="2"/>
                <w:sz w:val="21"/>
                <w:szCs w:val="21"/>
              </w:rPr>
              <w:t>此方法适用于货物类、服务类、工程类项目。</w:t>
            </w:r>
          </w:p>
        </w:tc>
      </w:tr>
    </w:tbl>
    <w:tbl>
      <w:tblPr>
        <w:tblStyle w:val="15"/>
        <w:tblpPr w:leftFromText="180" w:rightFromText="180" w:vertAnchor="text" w:tblpX="10214" w:tblpY="-994"/>
        <w:tblOverlap w:val="never"/>
        <w:tblW w:w="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60" w:type="dxa"/>
          </w:tcPr>
          <w:p>
            <w:pPr>
              <w:rPr>
                <w:vertAlign w:val="baseline"/>
              </w:rPr>
            </w:pPr>
          </w:p>
        </w:tc>
      </w:tr>
    </w:tbl>
    <w:tbl>
      <w:tblPr>
        <w:tblStyle w:val="15"/>
        <w:tblpPr w:leftFromText="180" w:rightFromText="180" w:vertAnchor="text" w:tblpX="10214"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1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19" w:type="dxa"/>
          </w:tcPr>
          <w:p>
            <w:pPr>
              <w:rPr>
                <w:vertAlign w:val="baseline"/>
              </w:rPr>
            </w:pPr>
          </w:p>
        </w:tc>
      </w:tr>
    </w:tbl>
    <w:p/>
    <w:tbl>
      <w:tblPr>
        <w:tblStyle w:val="14"/>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评审部分</w:t>
            </w:r>
          </w:p>
        </w:tc>
        <w:tc>
          <w:tcPr>
            <w:tcW w:w="1355"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评审因素</w:t>
            </w:r>
          </w:p>
        </w:tc>
        <w:tc>
          <w:tcPr>
            <w:tcW w:w="5635"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权重（%）</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技术部分（</w:t>
            </w:r>
            <w:r>
              <w:rPr>
                <w:rFonts w:hint="eastAsia" w:asciiTheme="minorEastAsia" w:hAnsiTheme="minorEastAsia" w:eastAsiaTheme="minorEastAsia" w:cstheme="minorEastAsia"/>
                <w:b/>
                <w:color w:val="auto"/>
                <w:sz w:val="21"/>
                <w:szCs w:val="21"/>
                <w:lang w:val="en-US" w:eastAsia="zh-CN"/>
              </w:rPr>
              <w:t>28</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项目总体概述及理解</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全面阐述项目总体概况以及项目建设的内容，深入分析说明学校的管理需求、面临的管理难点以及技术方案的优化选择。</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评审内容：</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项</w:t>
            </w:r>
            <w:r>
              <w:rPr>
                <w:rFonts w:hint="eastAsia" w:asciiTheme="minorEastAsia" w:hAnsiTheme="minorEastAsia" w:eastAsiaTheme="minorEastAsia" w:cstheme="minorEastAsia"/>
                <w:color w:val="auto"/>
                <w:sz w:val="21"/>
                <w:szCs w:val="21"/>
              </w:rPr>
              <w:t>目总体概述；</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项</w:t>
            </w:r>
            <w:r>
              <w:rPr>
                <w:rFonts w:hint="eastAsia" w:asciiTheme="minorEastAsia" w:hAnsiTheme="minorEastAsia" w:eastAsiaTheme="minorEastAsia" w:cstheme="minorEastAsia"/>
                <w:color w:val="auto"/>
                <w:sz w:val="21"/>
                <w:szCs w:val="21"/>
              </w:rPr>
              <w:t>目开展的思路；</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项</w:t>
            </w:r>
            <w:r>
              <w:rPr>
                <w:rFonts w:hint="eastAsia" w:asciiTheme="minorEastAsia" w:hAnsiTheme="minorEastAsia" w:eastAsiaTheme="minorEastAsia" w:cstheme="minorEastAsia"/>
                <w:color w:val="auto"/>
                <w:sz w:val="21"/>
                <w:szCs w:val="21"/>
              </w:rPr>
              <w:t>目工作内容的理解；</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考察以上评审内容的1、2、3点。以上三点内容均满足得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分，满足任意两点得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分，满足任意一点得</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分，未满足不得分。</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1.有具体的发展规划及实施措施； </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2.从多角度分析项目背景及发展规划； </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关键施工技术、工艺及工程项目实施的重点、难点分析和解决方案</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关键施工技术、工艺及工程项目实施的重点、难点分析和解决方案</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评审内容：</w:t>
            </w:r>
          </w:p>
          <w:p>
            <w:pPr>
              <w:keepNext w:val="0"/>
              <w:keepLines w:val="0"/>
              <w:pageBreakBefore w:val="0"/>
              <w:numPr>
                <w:ilvl w:val="0"/>
                <w:numId w:val="2"/>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关键施工技术</w:t>
            </w:r>
          </w:p>
          <w:p>
            <w:pPr>
              <w:keepNext w:val="0"/>
              <w:keepLines w:val="0"/>
              <w:pageBreakBefore w:val="0"/>
              <w:numPr>
                <w:ilvl w:val="0"/>
                <w:numId w:val="2"/>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工艺及工程项目实施的重点</w:t>
            </w:r>
          </w:p>
          <w:p>
            <w:pPr>
              <w:keepNext w:val="0"/>
              <w:keepLines w:val="0"/>
              <w:pageBreakBefore w:val="0"/>
              <w:numPr>
                <w:ilvl w:val="0"/>
                <w:numId w:val="2"/>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难点分析和解决方案</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考察以上评审内容的1、2、3点。以上三点内容均满足得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分，满足任意两点得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分，满足任意一点得</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分，未满足不得分。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根据投标人关键施工技术、工艺及工程项目实施的重点、难点分析和解决方案具体响应内容进一步评审。</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1.对本项目关键技术、工艺有深入的表述；</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2.对重点、难点有先进、合理的建议；</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3.解决方案完整、经济、安全、切实可行，措施得力。</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施工质量（安全、环保、工期、售后服务）保障措施及相关的违约承诺</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评审内容：</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投标人提供</w:t>
            </w:r>
            <w:r>
              <w:rPr>
                <w:rFonts w:hint="eastAsia" w:asciiTheme="minorEastAsia" w:hAnsiTheme="minorEastAsia" w:eastAsiaTheme="minorEastAsia" w:cstheme="minorEastAsia"/>
                <w:sz w:val="21"/>
                <w:szCs w:val="21"/>
              </w:rPr>
              <w:t>施工质量（安全、环保、工期、售后服务）保障措施及相关的违约承诺</w:t>
            </w:r>
            <w:r>
              <w:rPr>
                <w:rFonts w:hint="eastAsia" w:asciiTheme="minorEastAsia" w:hAnsiTheme="minorEastAsia" w:eastAsiaTheme="minorEastAsia" w:cstheme="minorEastAsia"/>
                <w:b w:val="0"/>
                <w:bCs/>
                <w:sz w:val="21"/>
                <w:szCs w:val="21"/>
                <w:lang w:eastAsia="zh-CN"/>
              </w:rPr>
              <w:t>，专家以此作为评审依据。</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评审内容：</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施工质量（安全、环保、工期、售后服务）</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保障措施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违约承诺</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考察以上评审内容的1、2、3点。以上三点内容均满足得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分，满足任意两点得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分，满足任意一点得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分，未满足不得分。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根据投标人关键施工技术、工艺及工程项目实施的重点、难点分析和解决方案具体响应内容进一步评审。</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1.项目质量管理组织机构完善、合理；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2.项目质量控制措施全面、完善；</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3.确保项目文明施工的技术组织措施全面、完善；</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4.确保安全生产的技术组织措施全面、完善；</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5.工期安排满足招标要求，确保工期的技术组织措施切实、可行。</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项目使用的材料性能、劳动力、机械设备、材料投入计划及其保证措施</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投标人提供</w:t>
            </w:r>
            <w:r>
              <w:rPr>
                <w:rFonts w:hint="eastAsia" w:asciiTheme="minorEastAsia" w:hAnsiTheme="minorEastAsia" w:eastAsiaTheme="minorEastAsia" w:cstheme="minorEastAsia"/>
                <w:sz w:val="21"/>
                <w:szCs w:val="21"/>
              </w:rPr>
              <w:t>项目使用的材料性能、劳动力、机械设备、材料投入计划及其保证措施</w:t>
            </w:r>
            <w:r>
              <w:rPr>
                <w:rFonts w:hint="eastAsia" w:asciiTheme="minorEastAsia" w:hAnsiTheme="minorEastAsia" w:eastAsiaTheme="minorEastAsia" w:cstheme="minorEastAsia"/>
                <w:b w:val="0"/>
                <w:bCs/>
                <w:sz w:val="21"/>
                <w:szCs w:val="21"/>
                <w:lang w:eastAsia="zh-CN"/>
              </w:rPr>
              <w:t>，专家以此作为评审依据。</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评审内容：</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材料性能计划及其保证措施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劳动力计划及其保证措施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机械设备计划及其保证措施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材料投入计划及其保证措施</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考察以上评审内容的1、2、3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点。以上</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点内容均满足得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分，以上</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点内容均满足得</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满足任意两点得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分，满足任意一点得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分，未满足不得分。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根据投标人关键施工技术、工艺及工程项目实施的重点、难点分析和解决方案具体响应内容进一步评审。</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1.实施使用的材料性能、机械设备配备方案科学、合理；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2.实施劳动力备置方案科学、合理；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3.实施材料投入计划科学、合理。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商务部分（</w:t>
            </w:r>
            <w:r>
              <w:rPr>
                <w:rFonts w:hint="eastAsia" w:asciiTheme="minorEastAsia" w:hAnsiTheme="minorEastAsia" w:eastAsiaTheme="minorEastAsia" w:cstheme="minorEastAsia"/>
                <w:b/>
                <w:color w:val="auto"/>
                <w:sz w:val="21"/>
                <w:szCs w:val="21"/>
                <w:lang w:val="en-US" w:eastAsia="zh-CN"/>
              </w:rPr>
              <w:t>32</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投标人认证情况</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bCs/>
                <w:color w:val="auto"/>
                <w:sz w:val="21"/>
                <w:szCs w:val="21"/>
              </w:rPr>
              <w:t>评分内容：</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投标人具备：</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1.质量管理体系认证证书；</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2.环境管理体系认证证书；</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3.职业健康安全管理体系认证证书；</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以上证书每提供一个得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rPr>
              <w:t>标准</w:t>
            </w:r>
            <w:r>
              <w:rPr>
                <w:rFonts w:hint="eastAsia" w:asciiTheme="minorEastAsia" w:hAnsiTheme="minorEastAsia" w:eastAsiaTheme="minorEastAsia" w:cstheme="minorEastAsia"/>
                <w:b/>
                <w:bCs/>
                <w:color w:val="auto"/>
                <w:sz w:val="21"/>
                <w:szCs w:val="21"/>
              </w:rPr>
              <w:t>：</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1.要求提供有效的证书、国家认证认可监督管理委员会官方网站（www.cnca.gov.cn）查询截图及证书年审合格证明材料复印件（或官方网站截图）加盖投标人公章作为得分依据</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以上资料均要求提供</w:t>
            </w:r>
            <w:r>
              <w:rPr>
                <w:rFonts w:hint="eastAsia" w:asciiTheme="minorEastAsia" w:hAnsiTheme="minorEastAsia" w:eastAsiaTheme="minorEastAsia" w:cstheme="minorEastAsia"/>
                <w:color w:val="auto"/>
                <w:sz w:val="21"/>
                <w:szCs w:val="21"/>
                <w:lang w:eastAsia="zh-CN"/>
              </w:rPr>
              <w:t>复印件</w:t>
            </w:r>
            <w:r>
              <w:rPr>
                <w:rFonts w:hint="eastAsia" w:asciiTheme="minorEastAsia" w:hAnsiTheme="minorEastAsia" w:eastAsiaTheme="minorEastAsia" w:cstheme="minorEastAsia"/>
                <w:color w:val="auto"/>
                <w:sz w:val="21"/>
                <w:szCs w:val="21"/>
              </w:rPr>
              <w:t>，原件备查。评分中出现无证明资料或专家无法凭所提供资料判断是否得分的情况，一律作不得分处理。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拟安排的项目负责人情况（仅限一人）</w:t>
            </w:r>
          </w:p>
        </w:tc>
        <w:tc>
          <w:tcPr>
            <w:tcW w:w="5635" w:type="dxa"/>
            <w:vAlign w:val="center"/>
          </w:tcPr>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（一）评分内容：</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拟派项目负责人：</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同时具备建筑工程专业一级以上建造师及中级工程师以上职称证书及安全生产考核合格证书B证得5分，否则不得分。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rPr>
              <w:t>标准</w:t>
            </w:r>
            <w:r>
              <w:rPr>
                <w:rFonts w:hint="eastAsia" w:asciiTheme="minorEastAsia" w:hAnsiTheme="minorEastAsia" w:eastAsiaTheme="minorEastAsia" w:cstheme="minorEastAsia"/>
                <w:b/>
                <w:bCs/>
                <w:color w:val="auto"/>
                <w:sz w:val="21"/>
                <w:szCs w:val="21"/>
              </w:rPr>
              <w:t>：</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1.提供证书</w:t>
            </w:r>
            <w:r>
              <w:rPr>
                <w:rFonts w:hint="eastAsia" w:asciiTheme="minorEastAsia" w:hAnsiTheme="minorEastAsia" w:eastAsiaTheme="minorEastAsia" w:cstheme="minorEastAsia"/>
                <w:color w:val="auto"/>
                <w:sz w:val="21"/>
                <w:szCs w:val="21"/>
                <w:lang w:eastAsia="zh-CN"/>
              </w:rPr>
              <w:t>复印件</w:t>
            </w:r>
            <w:r>
              <w:rPr>
                <w:rFonts w:hint="eastAsia" w:asciiTheme="minorEastAsia" w:hAnsiTheme="minorEastAsia" w:eastAsiaTheme="minorEastAsia" w:cstheme="minorEastAsia"/>
                <w:color w:val="auto"/>
                <w:sz w:val="21"/>
                <w:szCs w:val="21"/>
              </w:rPr>
              <w:t>并加盖投标人公章，未提供不得分。</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要求提供通过投标人缴纳的近三个月（由于社保部门或税务部门原因最近一个月的社保证明无法提供的可往前顺延一个月）的社保证明作为证明依据，如投标人为新成立企业且成立时间不足三个月可提供加盖公章的情况说明或者证明材料亦视为符合。若为退休返聘人员，提供退休证明和返聘协议。</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.以上资料均要求提供</w:t>
            </w:r>
            <w:r>
              <w:rPr>
                <w:rFonts w:hint="eastAsia" w:asciiTheme="minorEastAsia" w:hAnsiTheme="minorEastAsia" w:eastAsiaTheme="minorEastAsia" w:cstheme="minorEastAsia"/>
                <w:color w:val="auto"/>
                <w:sz w:val="21"/>
                <w:szCs w:val="21"/>
                <w:lang w:eastAsia="zh-CN"/>
              </w:rPr>
              <w:t>复印件</w:t>
            </w:r>
            <w:r>
              <w:rPr>
                <w:rFonts w:hint="eastAsia" w:asciiTheme="minorEastAsia" w:hAnsiTheme="minorEastAsia" w:eastAsiaTheme="minorEastAsia" w:cstheme="minorEastAsia"/>
                <w:color w:val="auto"/>
                <w:sz w:val="21"/>
                <w:szCs w:val="21"/>
              </w:rPr>
              <w:t>。评分中出现无证明资料或专家无法凭所提供资料判断是否得分的情况，一律作不得分处理。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拟安排的项目主要团队成员（主要技术人员）情况（项目负责人除外）</w:t>
            </w:r>
          </w:p>
        </w:tc>
        <w:tc>
          <w:tcPr>
            <w:tcW w:w="5635" w:type="dxa"/>
            <w:vAlign w:val="center"/>
          </w:tcPr>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（一）评分内容：</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1.技术负责人：</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具有安全生产考核合格证书A证得3分。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2.团队人员（项目经理、技术负责人除外）：</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具有施工员、材料员、质量员、</w:t>
            </w:r>
            <w:r>
              <w:rPr>
                <w:rFonts w:hint="eastAsia" w:asciiTheme="minorEastAsia" w:hAnsiTheme="minorEastAsia" w:eastAsiaTheme="minorEastAsia" w:cstheme="minorEastAsia"/>
                <w:color w:val="auto"/>
                <w:sz w:val="21"/>
                <w:szCs w:val="21"/>
                <w:lang w:eastAsia="zh-CN"/>
              </w:rPr>
              <w:t>安全员（具备安全生产考核合格证书C证）</w:t>
            </w:r>
            <w:r>
              <w:rPr>
                <w:rFonts w:hint="eastAsia" w:asciiTheme="minorEastAsia" w:hAnsiTheme="minorEastAsia" w:eastAsiaTheme="minorEastAsia" w:cstheme="minorEastAsia"/>
                <w:color w:val="auto"/>
                <w:sz w:val="21"/>
                <w:szCs w:val="21"/>
              </w:rPr>
              <w:t>，每提供一个得1分，最多6分，同一人员不累计加分。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rPr>
              <w:t>标准</w:t>
            </w:r>
            <w:r>
              <w:rPr>
                <w:rFonts w:hint="eastAsia" w:asciiTheme="minorEastAsia" w:hAnsiTheme="minorEastAsia" w:eastAsiaTheme="minorEastAsia" w:cstheme="minorEastAsia"/>
                <w:b/>
                <w:bCs/>
                <w:color w:val="auto"/>
                <w:sz w:val="21"/>
                <w:szCs w:val="21"/>
              </w:rPr>
              <w:t>：</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提供通过投标人缴纳的近三个月（由于社保部门或税务部门原因最近一个月的社保证明无法提供的可往前顺延一个月）的社保证明作为证明依据，如投标人为新成立企业且成立时间不足三个月可提供加盖公章的情况说明或者证明材料亦视为符合。若为退休返聘人员，提供退休证明和返聘协议。</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4.提供证书复印件并加盖投标人公章作为得分依据。评分中出现无证明资料或专家无法凭所提供资料判断是否得分的情况，一律作不得分处理。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同类业绩</w:t>
            </w:r>
          </w:p>
        </w:tc>
        <w:tc>
          <w:tcPr>
            <w:tcW w:w="5635" w:type="dxa"/>
            <w:vAlign w:val="center"/>
          </w:tcPr>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sz w:val="21"/>
                <w:szCs w:val="21"/>
              </w:rPr>
              <w:t>（一）评分内容：</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w:t>
            </w:r>
            <w:r>
              <w:rPr>
                <w:rFonts w:hint="eastAsia" w:asciiTheme="minorEastAsia" w:hAnsiTheme="minorEastAsia" w:eastAsiaTheme="minorEastAsia" w:cstheme="minorEastAsia"/>
                <w:color w:val="auto"/>
                <w:kern w:val="0"/>
                <w:sz w:val="21"/>
                <w:szCs w:val="21"/>
                <w:lang w:eastAsia="zh-CN"/>
              </w:rPr>
              <w:t>自</w:t>
            </w:r>
            <w:r>
              <w:rPr>
                <w:rFonts w:hint="eastAsia" w:asciiTheme="minorEastAsia" w:hAnsiTheme="minorEastAsia" w:eastAsiaTheme="minorEastAsia" w:cstheme="minorEastAsia"/>
                <w:color w:val="auto"/>
                <w:kern w:val="0"/>
                <w:sz w:val="21"/>
                <w:szCs w:val="21"/>
              </w:rPr>
              <w:t>2020年1月</w:t>
            </w:r>
            <w:r>
              <w:rPr>
                <w:rFonts w:hint="eastAsia" w:asciiTheme="minorEastAsia" w:hAnsiTheme="minorEastAsia" w:eastAsiaTheme="minorEastAsia" w:cstheme="minorEastAsia"/>
                <w:color w:val="auto"/>
                <w:kern w:val="0"/>
                <w:sz w:val="21"/>
                <w:szCs w:val="21"/>
                <w:lang w:val="en-US" w:eastAsia="zh-CN"/>
              </w:rPr>
              <w:t>1日</w:t>
            </w:r>
            <w:r>
              <w:rPr>
                <w:rFonts w:hint="eastAsia" w:asciiTheme="minorEastAsia" w:hAnsiTheme="minorEastAsia" w:eastAsiaTheme="minorEastAsia" w:cstheme="minorEastAsia"/>
                <w:color w:val="auto"/>
                <w:kern w:val="0"/>
                <w:sz w:val="21"/>
                <w:szCs w:val="21"/>
                <w:lang w:eastAsia="zh-CN"/>
              </w:rPr>
              <w:t>（以合同签订时间为准）</w:t>
            </w:r>
            <w:r>
              <w:rPr>
                <w:rFonts w:hint="eastAsia" w:asciiTheme="minorEastAsia" w:hAnsiTheme="minorEastAsia" w:eastAsiaTheme="minorEastAsia" w:cstheme="minorEastAsia"/>
                <w:color w:val="auto"/>
                <w:kern w:val="0"/>
                <w:sz w:val="21"/>
                <w:szCs w:val="21"/>
              </w:rPr>
              <w:t>以来5个装修修缮同类业绩，每提供1个得2分，未提供的不得分。</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lang w:eastAsia="zh-CN"/>
              </w:rPr>
              <w:t>依据</w:t>
            </w:r>
            <w:r>
              <w:rPr>
                <w:rFonts w:hint="eastAsia" w:asciiTheme="minorEastAsia" w:hAnsiTheme="minorEastAsia" w:eastAsiaTheme="minorEastAsia" w:cstheme="minorEastAsia"/>
                <w:b/>
                <w:bCs/>
                <w:color w:val="auto"/>
                <w:sz w:val="21"/>
                <w:szCs w:val="21"/>
              </w:rPr>
              <w:t>：</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1.同时提供合同关键信息</w:t>
            </w:r>
            <w:r>
              <w:rPr>
                <w:rFonts w:hint="eastAsia" w:asciiTheme="minorEastAsia" w:hAnsiTheme="minorEastAsia" w:eastAsiaTheme="minorEastAsia" w:cstheme="minorEastAsia"/>
                <w:sz w:val="21"/>
                <w:szCs w:val="21"/>
              </w:rPr>
              <w:t>（含签订合同双方的单位名称、合同项目名称与含签订合同双方的落款盖章、签订日期的关键页）</w:t>
            </w:r>
            <w:r>
              <w:rPr>
                <w:rFonts w:hint="eastAsia" w:asciiTheme="minorEastAsia" w:hAnsiTheme="minorEastAsia" w:eastAsiaTheme="minorEastAsia" w:cstheme="minorEastAsia"/>
                <w:color w:val="auto"/>
                <w:sz w:val="21"/>
                <w:szCs w:val="21"/>
              </w:rPr>
              <w:t>、项目验收报告作为得分依据。</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2.通过合同关键信息无法判断是否得分的，也可提供能证明得分的其它证明资料，如项目报告或合同甲方出具的证明文件等。</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诚信</w:t>
            </w:r>
          </w:p>
        </w:tc>
        <w:tc>
          <w:tcPr>
            <w:tcW w:w="5635" w:type="dxa"/>
            <w:vAlign w:val="center"/>
          </w:tcPr>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投标人在参与政府采购活动中存在《深圳市财政局政府采购供应商信</w:t>
            </w:r>
            <w:r>
              <w:rPr>
                <w:rFonts w:hint="eastAsia" w:asciiTheme="minorEastAsia" w:hAnsiTheme="minorEastAsia" w:eastAsiaTheme="minorEastAsia" w:cstheme="minorEastAsia"/>
                <w:color w:val="auto"/>
                <w:sz w:val="21"/>
                <w:szCs w:val="21"/>
                <w:highlight w:val="none"/>
                <w:lang w:val="en-US" w:eastAsia="zh-CN"/>
              </w:rPr>
              <w:t>用</w:t>
            </w:r>
            <w:r>
              <w:rPr>
                <w:rFonts w:hint="eastAsia" w:asciiTheme="minorEastAsia" w:hAnsiTheme="minorEastAsia" w:eastAsiaTheme="minorEastAsia" w:cstheme="minorEastAsia"/>
                <w:color w:val="auto"/>
                <w:sz w:val="21"/>
                <w:szCs w:val="21"/>
                <w:highlight w:val="none"/>
              </w:rPr>
              <w:t>信息管理办法》第</w:t>
            </w:r>
            <w:r>
              <w:rPr>
                <w:rFonts w:hint="eastAsia" w:asciiTheme="minorEastAsia" w:hAnsiTheme="minorEastAsia" w:eastAsiaTheme="minorEastAsia" w:cstheme="minorEastAsia"/>
                <w:color w:val="auto"/>
                <w:sz w:val="21"/>
                <w:szCs w:val="21"/>
                <w:highlight w:val="none"/>
                <w:lang w:val="en-US" w:eastAsia="zh-CN"/>
              </w:rPr>
              <w:t>十一</w:t>
            </w:r>
            <w:r>
              <w:rPr>
                <w:rFonts w:hint="eastAsia" w:asciiTheme="minorEastAsia" w:hAnsiTheme="minorEastAsia" w:eastAsiaTheme="minorEastAsia" w:cstheme="minorEastAsia"/>
                <w:color w:val="auto"/>
                <w:sz w:val="21"/>
                <w:szCs w:val="21"/>
                <w:highlight w:val="none"/>
              </w:rPr>
              <w:t>条诚信相关问题且在主管部门相关处理措施实施期限内的，本项不得分，否则得满分。投标人无需提供任何证明材料，由工作人员查询后向评审委员会提供相关信息。</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价格部分（</w:t>
            </w:r>
            <w:r>
              <w:rPr>
                <w:rFonts w:hint="eastAsia" w:asciiTheme="minorEastAsia" w:hAnsiTheme="minorEastAsia" w:eastAsiaTheme="minorEastAsia" w:cstheme="minorEastAsia"/>
                <w:b/>
                <w:color w:val="auto"/>
                <w:sz w:val="21"/>
                <w:szCs w:val="21"/>
                <w:lang w:val="en-US" w:eastAsia="zh-CN"/>
              </w:rPr>
              <w:t>40</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680"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投标报价得分=(评标基准价／投标报价)×100×权重</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keepNext w:val="0"/>
              <w:keepLines w:val="0"/>
              <w:pageBreakBefore w:val="0"/>
              <w:kinsoku/>
              <w:wordWrap/>
              <w:overflowPunct/>
              <w:topLinePunct w:val="0"/>
              <w:bidi w:val="0"/>
              <w:spacing w:line="240" w:lineRule="auto"/>
              <w:textAlignment w:val="auto"/>
              <w:rPr>
                <w:rStyle w:val="19"/>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1、投标报价得分四舍五入后，</w:t>
            </w:r>
            <w:r>
              <w:rPr>
                <w:rFonts w:hint="eastAsia" w:asciiTheme="minorEastAsia" w:hAnsiTheme="minorEastAsia" w:eastAsiaTheme="minorEastAsia" w:cstheme="minorEastAsia"/>
                <w:color w:val="auto"/>
                <w:sz w:val="21"/>
                <w:szCs w:val="21"/>
              </w:rPr>
              <w:t>小数点后保留两位有效数</w:t>
            </w:r>
            <w:r>
              <w:rPr>
                <w:rFonts w:hint="eastAsia" w:asciiTheme="minorEastAsia" w:hAnsiTheme="minorEastAsia" w:eastAsiaTheme="minorEastAsia" w:cstheme="minorEastAsia"/>
                <w:bCs/>
                <w:color w:val="auto"/>
                <w:sz w:val="21"/>
                <w:szCs w:val="21"/>
              </w:rPr>
              <w:t>。</w:t>
            </w:r>
          </w:p>
          <w:p>
            <w:pPr>
              <w:keepNext w:val="0"/>
              <w:keepLines w:val="0"/>
              <w:pageBreakBefore w:val="0"/>
              <w:kinsoku/>
              <w:wordWrap/>
              <w:overflowPunct/>
              <w:topLinePunct w:val="0"/>
              <w:bidi w:val="0"/>
              <w:spacing w:line="240" w:lineRule="auto"/>
              <w:textAlignment w:val="auto"/>
              <w:rPr>
                <w:rStyle w:val="19"/>
                <w:rFonts w:hint="eastAsia" w:asciiTheme="minorEastAsia" w:hAnsiTheme="minorEastAsia" w:eastAsiaTheme="minorEastAsia" w:cstheme="minorEastAsia"/>
                <w:color w:val="auto"/>
                <w:sz w:val="21"/>
                <w:szCs w:val="21"/>
              </w:rPr>
            </w:pPr>
            <w:r>
              <w:rPr>
                <w:rStyle w:val="19"/>
                <w:rFonts w:hint="eastAsia" w:asciiTheme="minorEastAsia" w:hAnsiTheme="minorEastAsia" w:eastAsiaTheme="minorEastAsia" w:cstheme="minorEastAsia"/>
                <w:color w:val="auto"/>
                <w:sz w:val="21"/>
                <w:szCs w:val="21"/>
                <w:lang w:val="en-US" w:eastAsia="zh-CN"/>
              </w:rPr>
              <w:t>2</w:t>
            </w:r>
            <w:r>
              <w:rPr>
                <w:rStyle w:val="19"/>
                <w:rFonts w:hint="eastAsia" w:asciiTheme="minorEastAsia" w:hAnsiTheme="minorEastAsia" w:eastAsiaTheme="minorEastAsia" w:cstheme="minorEastAsia"/>
                <w:color w:val="auto"/>
                <w:sz w:val="21"/>
                <w:szCs w:val="21"/>
              </w:rPr>
              <w:t>、因落实政府采购政策进行价格调整的，以调整后的价格计算评标基准价和投标报价,详见《价格扣除》。</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Pr>
        <w:pStyle w:val="10"/>
      </w:pPr>
    </w:p>
    <w:p>
      <w:pPr>
        <w:pStyle w:val="5"/>
        <w:numPr>
          <w:ilvl w:val="0"/>
          <w:numId w:val="4"/>
        </w:numPr>
        <w:rPr>
          <w:rFonts w:hint="eastAsia" w:ascii="黑体" w:hAnsi="黑体" w:eastAsia="黑体"/>
          <w:b w:val="0"/>
          <w:bCs w:val="0"/>
          <w:kern w:val="28"/>
          <w:sz w:val="44"/>
          <w:szCs w:val="44"/>
        </w:rPr>
      </w:pPr>
      <w:bookmarkStart w:id="0" w:name="_Toc138601800"/>
      <w:r>
        <w:rPr>
          <w:rFonts w:ascii="黑体" w:hAnsi="黑体" w:eastAsia="黑体"/>
          <w:b w:val="0"/>
          <w:bCs w:val="0"/>
          <w:kern w:val="28"/>
          <w:sz w:val="44"/>
          <w:szCs w:val="44"/>
        </w:rPr>
        <w:t xml:space="preserve"> </w:t>
      </w:r>
      <w:r>
        <w:rPr>
          <w:rFonts w:hint="eastAsia" w:ascii="黑体" w:hAnsi="黑体" w:eastAsia="黑体"/>
          <w:b w:val="0"/>
          <w:bCs w:val="0"/>
          <w:kern w:val="28"/>
          <w:sz w:val="44"/>
          <w:szCs w:val="44"/>
        </w:rPr>
        <w:t>项目需求</w:t>
      </w:r>
      <w:bookmarkEnd w:id="0"/>
      <w:bookmarkStart w:id="1" w:name="_Toc138601803"/>
    </w:p>
    <w:p>
      <w:pPr>
        <w:pStyle w:val="5"/>
        <w:numPr>
          <w:ilvl w:val="0"/>
          <w:numId w:val="0"/>
        </w:numPr>
        <w:ind w:firstLine="3654" w:firstLineChars="1300"/>
        <w:jc w:val="both"/>
        <w:rPr>
          <w:rFonts w:hint="eastAsia"/>
        </w:rPr>
      </w:pPr>
      <w:r>
        <w:rPr>
          <w:rFonts w:hint="eastAsia"/>
          <w:lang w:val="en-US" w:eastAsia="zh-CN"/>
        </w:rPr>
        <w:t>一</w:t>
      </w:r>
      <w:r>
        <w:rPr>
          <w:rFonts w:hint="eastAsia"/>
        </w:rPr>
        <w:t>、项目概况</w:t>
      </w:r>
      <w:bookmarkEnd w:id="1"/>
    </w:p>
    <w:p>
      <w:pPr>
        <w:numPr>
          <w:ilvl w:val="0"/>
          <w:numId w:val="0"/>
        </w:numPr>
        <w:ind w:leftChars="0" w:firstLine="420" w:firstLineChars="200"/>
        <w:rPr>
          <w:rFonts w:hint="eastAsia"/>
          <w:highlight w:val="none"/>
        </w:rPr>
      </w:pPr>
      <w:r>
        <w:rPr>
          <w:rFonts w:hint="eastAsia"/>
          <w:highlight w:val="none"/>
          <w:lang w:val="en-US" w:eastAsia="zh-CN"/>
        </w:rPr>
        <w:t>由于综合楼一楼面馆进行改造和扩建，预计新建食堂就餐学生将新增至1000人，就餐高峰期，排队学生较多；综合楼负一楼至一楼的楼梯较窄、较陡，如同时使用人数较多，容易出现安全事故，故将校本部综合楼东侧一楼的楼梯进行改造，让就餐学生在综合楼东侧楼梯排队，保证学生就餐排队安全，避免安全事故。并对综合楼东侧楼梯靠皇岗路的围栏加高加固，保障就餐学生安全。</w:t>
      </w:r>
      <w:r>
        <w:rPr>
          <w:rFonts w:hint="eastAsia" w:ascii="Times New Roman" w:hAnsi="Times New Roman" w:eastAsia="宋体" w:cs="Times New Roman"/>
          <w:b w:val="0"/>
          <w:bCs w:val="0"/>
          <w:kern w:val="2"/>
          <w:sz w:val="21"/>
          <w:szCs w:val="24"/>
          <w:highlight w:val="none"/>
          <w:lang w:val="en-US" w:eastAsia="zh-CN" w:bidi="ar-SA"/>
        </w:rPr>
        <w:t>施工工期约</w:t>
      </w:r>
      <w:r>
        <w:rPr>
          <w:rFonts w:hint="eastAsia" w:cs="Times New Roman"/>
          <w:b w:val="0"/>
          <w:bCs w:val="0"/>
          <w:kern w:val="2"/>
          <w:sz w:val="21"/>
          <w:szCs w:val="24"/>
          <w:highlight w:val="none"/>
          <w:lang w:val="en-US" w:eastAsia="zh-CN" w:bidi="ar-SA"/>
        </w:rPr>
        <w:t>20</w:t>
      </w:r>
      <w:r>
        <w:rPr>
          <w:rFonts w:hint="eastAsia" w:ascii="Times New Roman" w:hAnsi="Times New Roman" w:eastAsia="宋体" w:cs="Times New Roman"/>
          <w:b w:val="0"/>
          <w:bCs w:val="0"/>
          <w:kern w:val="2"/>
          <w:sz w:val="21"/>
          <w:szCs w:val="24"/>
          <w:highlight w:val="none"/>
          <w:lang w:val="en-US" w:eastAsia="zh-CN" w:bidi="ar-SA"/>
        </w:rPr>
        <w:t>天</w:t>
      </w:r>
      <w:r>
        <w:rPr>
          <w:rFonts w:hint="eastAsia" w:ascii="Times New Roman" w:hAnsi="Times New Roman" w:cs="Times New Roman"/>
          <w:b w:val="0"/>
          <w:bCs w:val="0"/>
          <w:kern w:val="2"/>
          <w:sz w:val="21"/>
          <w:szCs w:val="24"/>
          <w:highlight w:val="none"/>
          <w:lang w:val="en-US" w:eastAsia="zh-CN" w:bidi="ar-SA"/>
        </w:rPr>
        <w:t>。</w:t>
      </w:r>
      <w:r>
        <w:rPr>
          <w:rFonts w:hint="eastAsia"/>
          <w:highlight w:val="none"/>
        </w:rPr>
        <w:t>具体内容详见工程量清单。</w:t>
      </w:r>
    </w:p>
    <w:p>
      <w:pPr>
        <w:ind w:left="737"/>
        <w:rPr>
          <w:rFonts w:hint="eastAsia"/>
          <w:highlight w:val="none"/>
        </w:rPr>
      </w:pPr>
    </w:p>
    <w:p>
      <w:pPr>
        <w:numPr>
          <w:ilvl w:val="0"/>
          <w:numId w:val="5"/>
        </w:numPr>
        <w:rPr>
          <w:rFonts w:hint="eastAsia"/>
          <w:highlight w:val="none"/>
        </w:rPr>
      </w:pPr>
      <w:r>
        <w:rPr>
          <w:rFonts w:hint="eastAsia"/>
          <w:highlight w:val="none"/>
        </w:rPr>
        <w:t>编制依据：</w:t>
      </w:r>
    </w:p>
    <w:p>
      <w:pPr>
        <w:numPr>
          <w:ilvl w:val="1"/>
          <w:numId w:val="5"/>
        </w:numPr>
        <w:rPr>
          <w:rFonts w:hint="eastAsia"/>
          <w:highlight w:val="none"/>
        </w:rPr>
      </w:pPr>
      <w:r>
        <w:rPr>
          <w:rFonts w:hint="eastAsia"/>
          <w:highlight w:val="none"/>
        </w:rPr>
        <w:t>《建设工程工程量清单计价规范》（GB50500-2013）及各专业《工程量计算规范》（GB50854～862－2013）的相关规定；</w:t>
      </w:r>
    </w:p>
    <w:p>
      <w:pPr>
        <w:numPr>
          <w:ilvl w:val="1"/>
          <w:numId w:val="5"/>
        </w:numPr>
        <w:rPr>
          <w:rFonts w:hint="eastAsia"/>
          <w:highlight w:val="none"/>
        </w:rPr>
      </w:pPr>
      <w:r>
        <w:rPr>
          <w:rFonts w:hint="eastAsia"/>
          <w:highlight w:val="none"/>
        </w:rPr>
        <w:t>《深圳市装饰工程消耗量定额（2020）》、《深圳市安装工程消耗量定额（2020）》、《深圳市房屋修缮工程消耗量定额(2011)(2014机械)》等及相关配套文件；</w:t>
      </w:r>
    </w:p>
    <w:p>
      <w:pPr>
        <w:numPr>
          <w:ilvl w:val="1"/>
          <w:numId w:val="5"/>
        </w:numPr>
        <w:rPr>
          <w:rFonts w:hint="eastAsia"/>
          <w:highlight w:val="none"/>
        </w:rPr>
      </w:pPr>
      <w:r>
        <w:rPr>
          <w:rFonts w:hint="eastAsia"/>
          <w:highlight w:val="none"/>
        </w:rPr>
        <w:t>执行“深圳市建设工程造价管理站关于发布《深圳市建设工程计价费率标准（2018）》的通知”（深建价[2018]25号、深建市场[2021]20号）；</w:t>
      </w:r>
    </w:p>
    <w:p>
      <w:pPr>
        <w:numPr>
          <w:ilvl w:val="1"/>
          <w:numId w:val="5"/>
        </w:numPr>
        <w:rPr>
          <w:rFonts w:hint="eastAsia"/>
          <w:highlight w:val="none"/>
        </w:rPr>
      </w:pPr>
      <w:r>
        <w:rPr>
          <w:rFonts w:hint="eastAsia"/>
          <w:highlight w:val="none"/>
        </w:rPr>
        <w:t>人工、材料、设备价格参考2023年第 4 月《深圳建设工程价格信息》，《深圳建设工程价格信息》缺项的参考市场询价；</w:t>
      </w:r>
    </w:p>
    <w:p>
      <w:pPr>
        <w:numPr>
          <w:ilvl w:val="1"/>
          <w:numId w:val="5"/>
        </w:numPr>
        <w:rPr>
          <w:rFonts w:hint="eastAsia"/>
          <w:highlight w:val="none"/>
        </w:rPr>
      </w:pPr>
      <w:r>
        <w:rPr>
          <w:rFonts w:hint="eastAsia"/>
          <w:highlight w:val="none"/>
        </w:rPr>
        <w:t>与建设项目相关的标准、规范、技术资料。</w:t>
      </w:r>
    </w:p>
    <w:p>
      <w:pPr>
        <w:ind w:left="737"/>
        <w:rPr>
          <w:rFonts w:hint="eastAsia"/>
          <w:highlight w:val="none"/>
        </w:rPr>
      </w:pPr>
    </w:p>
    <w:p>
      <w:pPr>
        <w:numPr>
          <w:ilvl w:val="0"/>
          <w:numId w:val="5"/>
        </w:numPr>
        <w:rPr>
          <w:rFonts w:hint="eastAsia"/>
          <w:highlight w:val="none"/>
        </w:rPr>
      </w:pPr>
      <w:r>
        <w:rPr>
          <w:rFonts w:hint="eastAsia"/>
          <w:highlight w:val="none"/>
        </w:rPr>
        <w:t>其他说明：</w:t>
      </w:r>
    </w:p>
    <w:p>
      <w:pPr>
        <w:numPr>
          <w:ilvl w:val="1"/>
          <w:numId w:val="5"/>
        </w:numPr>
        <w:rPr>
          <w:rFonts w:hint="eastAsia"/>
          <w:highlight w:val="none"/>
        </w:rPr>
      </w:pPr>
      <w:r>
        <w:rPr>
          <w:rFonts w:hint="eastAsia"/>
          <w:highlight w:val="none"/>
        </w:rPr>
        <w:t>本项目土方运距按</w:t>
      </w:r>
      <w:r>
        <w:rPr>
          <w:rFonts w:hint="eastAsia"/>
          <w:highlight w:val="none"/>
          <w:lang w:eastAsia="zh-CN"/>
        </w:rPr>
        <w:t>20</w:t>
      </w:r>
      <w:r>
        <w:rPr>
          <w:rFonts w:hint="eastAsia"/>
          <w:highlight w:val="none"/>
        </w:rPr>
        <w:t>km计算；</w:t>
      </w:r>
    </w:p>
    <w:p>
      <w:pPr>
        <w:numPr>
          <w:ilvl w:val="1"/>
          <w:numId w:val="5"/>
        </w:numPr>
        <w:rPr>
          <w:rFonts w:hint="eastAsia"/>
          <w:highlight w:val="none"/>
        </w:rPr>
      </w:pPr>
      <w:r>
        <w:rPr>
          <w:rFonts w:hint="eastAsia"/>
          <w:highlight w:val="none"/>
        </w:rPr>
        <w:t>本项目弃土场受纳处置费按每立方47元计算；</w:t>
      </w:r>
    </w:p>
    <w:p>
      <w:pPr>
        <w:numPr>
          <w:ilvl w:val="1"/>
          <w:numId w:val="5"/>
        </w:numPr>
        <w:rPr>
          <w:rFonts w:hint="eastAsia"/>
          <w:highlight w:val="none"/>
        </w:rPr>
      </w:pPr>
      <w:r>
        <w:rPr>
          <w:rFonts w:hint="eastAsia"/>
          <w:highlight w:val="none"/>
        </w:rPr>
        <w:t>暂列金额按建安费2%计取；</w:t>
      </w:r>
    </w:p>
    <w:p>
      <w:pPr>
        <w:numPr>
          <w:ilvl w:val="1"/>
          <w:numId w:val="5"/>
        </w:numPr>
        <w:rPr>
          <w:rFonts w:hint="eastAsia"/>
          <w:highlight w:val="none"/>
        </w:rPr>
      </w:pPr>
      <w:r>
        <w:rPr>
          <w:rFonts w:hint="eastAsia"/>
          <w:highlight w:val="none"/>
        </w:rPr>
        <w:t>工程保险费按建安费1‰计取。</w:t>
      </w:r>
    </w:p>
    <w:p>
      <w:pPr>
        <w:ind w:left="737"/>
        <w:rPr>
          <w:rFonts w:hint="eastAsia"/>
        </w:rPr>
      </w:pPr>
    </w:p>
    <w:p>
      <w:pPr>
        <w:numPr>
          <w:ilvl w:val="0"/>
          <w:numId w:val="5"/>
        </w:numPr>
        <w:rPr>
          <w:rFonts w:hint="eastAsia"/>
          <w:b/>
          <w:color w:val="FF0000"/>
        </w:rPr>
      </w:pPr>
      <w:r>
        <w:rPr>
          <w:rFonts w:hint="eastAsia"/>
          <w:b/>
          <w:color w:val="FF0000"/>
        </w:rPr>
        <w:t>★项目工期要求：合同签订之日起</w:t>
      </w:r>
      <w:r>
        <w:rPr>
          <w:rFonts w:hint="eastAsia"/>
          <w:b/>
          <w:color w:val="FF0000"/>
          <w:lang w:val="en-US" w:eastAsia="zh-CN"/>
        </w:rPr>
        <w:t>20</w:t>
      </w:r>
      <w:r>
        <w:rPr>
          <w:rFonts w:hint="eastAsia"/>
          <w:b/>
          <w:color w:val="FF0000"/>
        </w:rPr>
        <w:t>个日历日内完工并验收合格。</w:t>
      </w:r>
    </w:p>
    <w:p>
      <w:pPr>
        <w:rPr>
          <w:rFonts w:hint="eastAsia"/>
        </w:rPr>
      </w:pPr>
    </w:p>
    <w:p>
      <w:pPr>
        <w:pStyle w:val="3"/>
        <w:jc w:val="center"/>
        <w:rPr>
          <w:rFonts w:hint="eastAsia"/>
        </w:rPr>
      </w:pPr>
      <w:bookmarkStart w:id="2" w:name="_Toc138601804"/>
      <w:r>
        <w:rPr>
          <w:rFonts w:hint="eastAsia"/>
          <w:lang w:val="en-US" w:eastAsia="zh-CN"/>
        </w:rPr>
        <w:t>二</w:t>
      </w:r>
      <w:r>
        <w:rPr>
          <w:rFonts w:hint="eastAsia"/>
        </w:rPr>
        <w:t>、项目技术要求</w:t>
      </w:r>
      <w:bookmarkEnd w:id="2"/>
    </w:p>
    <w:p>
      <w:pPr>
        <w:numPr>
          <w:ilvl w:val="0"/>
          <w:numId w:val="6"/>
        </w:numPr>
      </w:pPr>
      <w:r>
        <w:rPr>
          <w:rFonts w:hint="eastAsia"/>
        </w:rPr>
        <w:t>除非合同文件中另有特别注明，本工程适用中华人民共和国现行有效的国家规范、规程和标准。谈判文件和其他设计文件中的有关文字说明是本工程技术规范的组成部分。对于涉及新技术、新工艺和新材料的工作，相应厂家使用说明或操作说明等内容也是本工程技术规范的组成部分。在符合本工程技术要求外，更应符合国家与地方的法律、法规、规范、规程的要求。</w:t>
      </w:r>
    </w:p>
    <w:p>
      <w:pPr>
        <w:numPr>
          <w:ilvl w:val="0"/>
          <w:numId w:val="6"/>
        </w:numPr>
      </w:pPr>
      <w:r>
        <w:rPr>
          <w:rFonts w:hint="eastAsia"/>
        </w:rPr>
        <w:t>工程验收标准：合格。（工程质量标准必须符合现行国家有关工程施工质量验收规范和标准的要求。有关工程质量的特殊标准或要求由合同当事人另行书面约定。）</w:t>
      </w:r>
    </w:p>
    <w:p>
      <w:pPr>
        <w:numPr>
          <w:ilvl w:val="0"/>
          <w:numId w:val="6"/>
        </w:numPr>
      </w:pPr>
      <w:r>
        <w:rPr>
          <w:rFonts w:hint="eastAsia"/>
        </w:rPr>
        <w:t>所用材料的品种、规格和质量须符合设计要求和国家现行标准的规定。严禁使用国家明令淘汰的建筑材料、建筑设备、耗能高的产品及民用建筑挥发性有害物质含量释放量超过国家规定的产品。</w:t>
      </w:r>
    </w:p>
    <w:p>
      <w:pPr>
        <w:numPr>
          <w:ilvl w:val="0"/>
          <w:numId w:val="6"/>
        </w:numPr>
      </w:pPr>
      <w:r>
        <w:rPr>
          <w:rFonts w:hint="eastAsia"/>
        </w:rPr>
        <w:t>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pPr>
        <w:numPr>
          <w:ilvl w:val="0"/>
          <w:numId w:val="6"/>
        </w:numPr>
      </w:pPr>
      <w:r>
        <w:rPr>
          <w:rFonts w:hint="eastAsia"/>
        </w:rPr>
        <w:t>当工程量清单与招标文件的“技术要求”不一致时，投标人在投标报价、中标人在采购时以最高的技术要求为准。</w:t>
      </w:r>
    </w:p>
    <w:p>
      <w:pPr>
        <w:numPr>
          <w:ilvl w:val="0"/>
          <w:numId w:val="6"/>
        </w:numPr>
      </w:pPr>
      <w:r>
        <w:rPr>
          <w:rFonts w:hint="eastAsia"/>
        </w:rPr>
        <w:t>中标人应编制《安全文明施工组织设计》专项方案，该方案应满足国家、地方现行法律法规及合同有关条款的规定并经监理工程师批准后实施。</w:t>
      </w:r>
    </w:p>
    <w:p>
      <w:pPr>
        <w:numPr>
          <w:ilvl w:val="0"/>
          <w:numId w:val="6"/>
        </w:numPr>
      </w:pPr>
      <w:r>
        <w:rPr>
          <w:rFonts w:hint="eastAsia"/>
        </w:rPr>
        <w:t>施工中涉及需要拆改原建筑物结构或设备管线的，中标人应当向采购人提出意见。若须办理相关审批手续，中标人应向采购人提出所需材料的完整清单。若因中标人所列出的送审资料不完整，所造成的工期延误及其他损失概由中标人负责。未办理相关审批手续或未经采购人同意，中标人不得拆改原建筑物结构或设备管线，否则，由此造成的事故或发生的损失（包括罚款），由中标人负责并承担。</w:t>
      </w:r>
    </w:p>
    <w:p>
      <w:pPr>
        <w:numPr>
          <w:ilvl w:val="0"/>
          <w:numId w:val="6"/>
        </w:numPr>
      </w:pPr>
      <w:r>
        <w:rPr>
          <w:rFonts w:hint="eastAsia"/>
        </w:rPr>
        <w:t>所需用的脚手架、支架搭设应符合有关规定要求。</w:t>
      </w:r>
    </w:p>
    <w:p>
      <w:pPr>
        <w:numPr>
          <w:ilvl w:val="0"/>
          <w:numId w:val="6"/>
        </w:numPr>
      </w:pPr>
      <w:r>
        <w:rPr>
          <w:rFonts w:hint="eastAsia"/>
        </w:rPr>
        <w:t>本工程要求竣工验收一次性通过，若因承包人原因造成工程竣工验收没有一次性通过，承包人必须负责修复工程质量缺陷，直至达到合同约定的质量标准，所发生的费用由承包人承担。</w:t>
      </w:r>
    </w:p>
    <w:p>
      <w:pPr>
        <w:numPr>
          <w:ilvl w:val="0"/>
          <w:numId w:val="6"/>
        </w:numPr>
      </w:pPr>
      <w:r>
        <w:rPr>
          <w:rFonts w:hint="eastAsia"/>
        </w:rPr>
        <w:t>中标人必须服从采购人或采购人指定的监理机构的监督管理。</w:t>
      </w:r>
    </w:p>
    <w:p>
      <w:pPr>
        <w:numPr>
          <w:ilvl w:val="0"/>
          <w:numId w:val="6"/>
        </w:numPr>
        <w:rPr>
          <w:rFonts w:hint="eastAsia"/>
        </w:rPr>
      </w:pPr>
      <w:r>
        <w:rPr>
          <w:rFonts w:hint="eastAsia"/>
        </w:rPr>
        <w:t>材料进场时，中标人应负责提前一天提供所供应的材料设备合格证明及材料样板。若材料设备不符合质量要求或规格出现差异，中标人应承担责任及由此发生的费用。</w:t>
      </w:r>
    </w:p>
    <w:p>
      <w:pPr>
        <w:rPr>
          <w:rFonts w:hint="eastAsia"/>
        </w:rPr>
      </w:pPr>
    </w:p>
    <w:p>
      <w:pPr>
        <w:pStyle w:val="3"/>
        <w:jc w:val="center"/>
        <w:rPr>
          <w:rFonts w:hint="eastAsia"/>
        </w:rPr>
      </w:pPr>
      <w:bookmarkStart w:id="3" w:name="_Toc138601805"/>
      <w:r>
        <w:rPr>
          <w:rFonts w:hint="eastAsia"/>
          <w:lang w:val="en-US" w:eastAsia="zh-CN"/>
        </w:rPr>
        <w:t>三</w:t>
      </w:r>
      <w:r>
        <w:rPr>
          <w:rFonts w:hint="eastAsia"/>
        </w:rPr>
        <w:t>、管理要求</w:t>
      </w:r>
      <w:bookmarkEnd w:id="3"/>
    </w:p>
    <w:p>
      <w:pPr>
        <w:numPr>
          <w:ilvl w:val="0"/>
          <w:numId w:val="7"/>
        </w:numPr>
      </w:pPr>
      <w:r>
        <w:rPr>
          <w:rFonts w:hint="eastAsia"/>
        </w:rPr>
        <w:t>中标单位必须作好施工记录、隐蔽工程记录、施工资料的整理、竣工资料的编制等工作。</w:t>
      </w:r>
    </w:p>
    <w:p>
      <w:pPr>
        <w:numPr>
          <w:ilvl w:val="0"/>
          <w:numId w:val="7"/>
        </w:numPr>
      </w:pPr>
      <w:r>
        <w:rPr>
          <w:rFonts w:hint="eastAsia"/>
        </w:rPr>
        <w:t>中标单位必须在施工现场显眼位置设置正规施工警示牌、工程概况牌，标注</w:t>
      </w:r>
      <w:r>
        <w:t>“</w:t>
      </w:r>
      <w:r>
        <w:rPr>
          <w:rFonts w:hint="eastAsia"/>
        </w:rPr>
        <w:t>温馨提示</w:t>
      </w:r>
      <w:r>
        <w:t>”</w:t>
      </w:r>
      <w:r>
        <w:rPr>
          <w:rFonts w:hint="eastAsia"/>
        </w:rPr>
        <w:t>语言。靠近人行通道边（或建设方以为有必要的其他周边）必须用整齐美观的板材围护密封施工。</w:t>
      </w:r>
    </w:p>
    <w:p>
      <w:pPr>
        <w:numPr>
          <w:ilvl w:val="0"/>
          <w:numId w:val="7"/>
        </w:numPr>
      </w:pPr>
      <w:r>
        <w:rPr>
          <w:rFonts w:hint="eastAsia"/>
        </w:rPr>
        <w:t>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pPr>
        <w:numPr>
          <w:ilvl w:val="0"/>
          <w:numId w:val="7"/>
        </w:numPr>
      </w:pPr>
      <w:r>
        <w:rPr>
          <w:rFonts w:hint="eastAsia"/>
        </w:rPr>
        <w:t>中标单位必须在施工过程中注意自身及周边安全，做好现场及周边安全设施搭设，遵守有关安全保护规程，负责施工过程中的所有事故处理和费用。</w:t>
      </w:r>
    </w:p>
    <w:p>
      <w:pPr>
        <w:numPr>
          <w:ilvl w:val="0"/>
          <w:numId w:val="7"/>
        </w:numPr>
      </w:pPr>
      <w:r>
        <w:rPr>
          <w:rFonts w:hint="eastAsia"/>
        </w:rPr>
        <w:t>中标单位必须服从采购单位，监理公司的监督、指导并积极主动配合上述管理机构的工作。</w:t>
      </w:r>
    </w:p>
    <w:p>
      <w:pPr>
        <w:numPr>
          <w:ilvl w:val="0"/>
          <w:numId w:val="7"/>
        </w:numPr>
      </w:pPr>
      <w:r>
        <w:rPr>
          <w:rFonts w:hint="eastAsia"/>
        </w:rPr>
        <w:t>中标单位施工时须提供材料样板，经采购人最终确认后，方可进场使用，供应商所提供的样板或厂家应符合甲方要求，如供应商不能提供的可由采购人根据市场考察情况确认并实施。</w:t>
      </w:r>
    </w:p>
    <w:p>
      <w:pPr>
        <w:numPr>
          <w:ilvl w:val="0"/>
          <w:numId w:val="7"/>
        </w:numPr>
      </w:pPr>
      <w:r>
        <w:rPr>
          <w:rFonts w:hint="eastAsia"/>
        </w:rPr>
        <w:t>用在本工程的任何材料在使用前必须得到采购人的批准，样品须在大批订货前送审。获准的样品存放在工地，作为以后验收材料的标准。样品和其包装，由中标人无偿提供。</w:t>
      </w:r>
    </w:p>
    <w:p>
      <w:pPr>
        <w:numPr>
          <w:ilvl w:val="0"/>
          <w:numId w:val="7"/>
        </w:numPr>
      </w:pPr>
      <w:r>
        <w:rPr>
          <w:rFonts w:hint="eastAsia"/>
        </w:rPr>
        <w:t>承包人在工程施工前，须全面检查工地情况，若发现错误须立刻通知工程师。若未能遵从此规定，使本工程的任何项目因此等错误或缺陷而错误地建造，则中标人须自费予以拆除及重建。</w:t>
      </w:r>
    </w:p>
    <w:p>
      <w:pPr>
        <w:numPr>
          <w:ilvl w:val="0"/>
          <w:numId w:val="7"/>
        </w:numPr>
        <w:rPr>
          <w:rFonts w:hint="eastAsia"/>
        </w:rPr>
      </w:pPr>
      <w:r>
        <w:rPr>
          <w:rFonts w:hint="eastAsia"/>
        </w:rPr>
        <w:t>施工时，电气安装人员应与土建施工人员密切配合，严格按照相关施工规范及专业图集进行施工，并做好管线及洞口的预埋、预留工作。</w:t>
      </w:r>
    </w:p>
    <w:p>
      <w:pPr>
        <w:numPr>
          <w:ilvl w:val="0"/>
          <w:numId w:val="7"/>
        </w:numPr>
        <w:rPr>
          <w:rFonts w:hint="eastAsia"/>
        </w:rPr>
      </w:pPr>
      <w:r>
        <w:rPr>
          <w:rFonts w:hint="eastAsia"/>
        </w:rPr>
        <w:t>施工单位须设计后施工，具体误差以现场尺寸为准。</w:t>
      </w:r>
    </w:p>
    <w:p>
      <w:pPr>
        <w:numPr>
          <w:ilvl w:val="0"/>
          <w:numId w:val="7"/>
        </w:numPr>
        <w:rPr>
          <w:rFonts w:hint="eastAsia"/>
        </w:rPr>
      </w:pPr>
      <w:r>
        <w:rPr>
          <w:rFonts w:hint="eastAsia"/>
        </w:rPr>
        <w:t>其他未尽事宜，按照有关规程、规范进行或协商解决。</w:t>
      </w:r>
    </w:p>
    <w:p>
      <w:pPr>
        <w:numPr>
          <w:ilvl w:val="0"/>
          <w:numId w:val="7"/>
        </w:numPr>
        <w:rPr>
          <w:rFonts w:hint="eastAsia"/>
        </w:rPr>
      </w:pPr>
      <w:r>
        <w:rPr>
          <w:rFonts w:hint="eastAsia"/>
        </w:rPr>
        <w:t>本项目采购人已聘请监理服务，中标单位施工过程中需配合监理工作。</w:t>
      </w:r>
    </w:p>
    <w:p>
      <w:pPr>
        <w:rPr>
          <w:rFonts w:hint="eastAsia"/>
          <w:color w:val="FF0000"/>
        </w:rPr>
      </w:pPr>
    </w:p>
    <w:p>
      <w:pPr>
        <w:pStyle w:val="3"/>
        <w:jc w:val="center"/>
        <w:rPr>
          <w:rFonts w:hint="eastAsia" w:ascii="Calibri" w:hAnsi="Calibri"/>
          <w:b/>
          <w:szCs w:val="21"/>
        </w:rPr>
      </w:pPr>
      <w:bookmarkStart w:id="4" w:name="_Toc138601806"/>
      <w:r>
        <w:rPr>
          <w:rFonts w:hint="eastAsia"/>
          <w:lang w:val="en-US" w:eastAsia="zh-CN"/>
        </w:rPr>
        <w:t>四</w:t>
      </w:r>
      <w:r>
        <w:rPr>
          <w:rFonts w:hint="eastAsia"/>
        </w:rPr>
        <w:t>、商务要求</w:t>
      </w:r>
      <w:bookmarkEnd w:id="4"/>
    </w:p>
    <w:p>
      <w:pPr>
        <w:numPr>
          <w:ilvl w:val="0"/>
          <w:numId w:val="8"/>
        </w:numPr>
        <w:rPr>
          <w:b/>
          <w:color w:val="FF0000"/>
        </w:rPr>
      </w:pPr>
      <w:r>
        <w:rPr>
          <w:rFonts w:hint="eastAsia"/>
          <w:b/>
          <w:color w:val="FF0000"/>
        </w:rPr>
        <w:t>★项目工期：合同签订之日起</w:t>
      </w:r>
      <w:r>
        <w:rPr>
          <w:rFonts w:hint="eastAsia"/>
          <w:b/>
          <w:color w:val="FF0000"/>
          <w:lang w:val="en-US" w:eastAsia="zh-CN"/>
        </w:rPr>
        <w:t>20</w:t>
      </w:r>
      <w:r>
        <w:rPr>
          <w:rFonts w:hint="eastAsia"/>
          <w:b/>
          <w:color w:val="FF0000"/>
        </w:rPr>
        <w:t>个日历日内完工并验收合格。</w:t>
      </w:r>
    </w:p>
    <w:p>
      <w:pPr>
        <w:numPr>
          <w:ilvl w:val="0"/>
          <w:numId w:val="8"/>
        </w:numPr>
      </w:pPr>
      <w:r>
        <w:rPr>
          <w:rFonts w:hint="eastAsia"/>
        </w:rPr>
        <w:t>承包方式：包工包料。</w:t>
      </w:r>
    </w:p>
    <w:p>
      <w:pPr>
        <w:numPr>
          <w:ilvl w:val="0"/>
          <w:numId w:val="8"/>
        </w:numPr>
      </w:pPr>
      <w:r>
        <w:rPr>
          <w:rFonts w:hint="eastAsia"/>
        </w:rPr>
        <w:t>合同方式：总价合同，工程结算时，工程变更在合同总价10%之内，结算不做调整。</w:t>
      </w:r>
    </w:p>
    <w:p>
      <w:pPr>
        <w:numPr>
          <w:ilvl w:val="0"/>
          <w:numId w:val="8"/>
        </w:numPr>
      </w:pPr>
      <w:r>
        <w:rPr>
          <w:rFonts w:hint="eastAsia"/>
        </w:rPr>
        <w:t>工程验收质量标准：</w:t>
      </w:r>
    </w:p>
    <w:p>
      <w:pPr>
        <w:numPr>
          <w:ilvl w:val="1"/>
          <w:numId w:val="8"/>
        </w:numPr>
      </w:pPr>
      <w:r>
        <w:rPr>
          <w:rFonts w:hint="eastAsia"/>
        </w:rPr>
        <w:t xml:space="preserve">本工程使用的材料、设备以及施工必须符合国家、部委、行业及工程所在省、市颁布的有关标准、规范、规程 和验收标准等的要求，当国家、行业及工程所在地地方标 准、规范存在不一致时，以要求更严格者为准，如设计另有 规定，按设计规定执行，但不得低于现行更严格的标准、规 范、规程和验收标准。 </w:t>
      </w:r>
    </w:p>
    <w:p>
      <w:pPr>
        <w:numPr>
          <w:ilvl w:val="1"/>
          <w:numId w:val="8"/>
        </w:numPr>
      </w:pPr>
      <w:r>
        <w:rPr>
          <w:rFonts w:hint="eastAsia"/>
        </w:rPr>
        <w:t xml:space="preserve">所有装修材料及家具的甲醛及挥发性有机化合物含量必须符合国家规范环保要求，所有施工前需提供所有材料的证明材料，方可使用，施工完成对室内进行空气检测，家具完成安装后再次进行空气检测。所有检测报告符合国家规范，方可做项目验收。 </w:t>
      </w:r>
    </w:p>
    <w:p>
      <w:pPr>
        <w:numPr>
          <w:ilvl w:val="1"/>
          <w:numId w:val="8"/>
        </w:numPr>
      </w:pPr>
      <w:r>
        <w:rPr>
          <w:rFonts w:hint="eastAsia"/>
        </w:rPr>
        <w:t xml:space="preserve">投标人施工项目经过双方验收认可后，签署验收报告，保修期自验收合格之日起算。 </w:t>
      </w:r>
    </w:p>
    <w:p>
      <w:pPr>
        <w:numPr>
          <w:ilvl w:val="1"/>
          <w:numId w:val="8"/>
        </w:numPr>
      </w:pPr>
      <w:r>
        <w:rPr>
          <w:rFonts w:hint="eastAsia"/>
        </w:rPr>
        <w:t>当满足以下条件时，采购人才向成交供应商签发验收报告：</w:t>
      </w:r>
    </w:p>
    <w:p>
      <w:pPr>
        <w:numPr>
          <w:ilvl w:val="2"/>
          <w:numId w:val="8"/>
        </w:numPr>
        <w:tabs>
          <w:tab w:val="left" w:pos="737"/>
        </w:tabs>
      </w:pPr>
      <w:r>
        <w:rPr>
          <w:rFonts w:hint="eastAsia"/>
        </w:rPr>
        <w:t>成交供应商已按照合同规定完成了全部内容。</w:t>
      </w:r>
    </w:p>
    <w:p>
      <w:pPr>
        <w:numPr>
          <w:ilvl w:val="2"/>
          <w:numId w:val="8"/>
        </w:numPr>
        <w:tabs>
          <w:tab w:val="left" w:pos="737"/>
        </w:tabs>
      </w:pPr>
      <w:r>
        <w:rPr>
          <w:rFonts w:hint="eastAsia"/>
        </w:rPr>
        <w:t>工程符合谈判文件要求，工程质量满足要求。</w:t>
      </w:r>
    </w:p>
    <w:p>
      <w:pPr>
        <w:numPr>
          <w:ilvl w:val="2"/>
          <w:numId w:val="8"/>
        </w:numPr>
        <w:tabs>
          <w:tab w:val="left" w:pos="737"/>
        </w:tabs>
      </w:pPr>
      <w:r>
        <w:rPr>
          <w:rFonts w:hint="eastAsia"/>
        </w:rPr>
        <w:t>项目运行顺利。</w:t>
      </w:r>
    </w:p>
    <w:p>
      <w:pPr>
        <w:numPr>
          <w:ilvl w:val="0"/>
          <w:numId w:val="8"/>
        </w:numPr>
        <w:rPr>
          <w:b/>
        </w:rPr>
      </w:pPr>
      <w:bookmarkStart w:id="5" w:name="_Toc22433"/>
      <w:bookmarkStart w:id="6" w:name="_Toc19707"/>
      <w:r>
        <w:rPr>
          <w:rFonts w:hint="eastAsia"/>
          <w:b/>
        </w:rPr>
        <w:t>★保修或售后服务要求</w:t>
      </w:r>
      <w:bookmarkEnd w:id="5"/>
      <w:bookmarkEnd w:id="6"/>
    </w:p>
    <w:p>
      <w:pPr>
        <w:numPr>
          <w:ilvl w:val="1"/>
          <w:numId w:val="8"/>
        </w:numPr>
      </w:pPr>
      <w:r>
        <w:rPr>
          <w:rFonts w:hint="eastAsia"/>
        </w:rPr>
        <w:t>质量保修责任：自工程竣工验收完毕之日的第二天计算，整体免费保修期为2年，防水工程为不少于5年；施工质量问题和中标供应商提供材料原因造成的损坏，由中标供应商保修</w:t>
      </w:r>
      <w:r>
        <w:rPr>
          <w:rFonts w:hint="eastAsia"/>
          <w:lang w:eastAsia="zh-CN"/>
        </w:rPr>
        <w:t>；</w:t>
      </w:r>
      <w:r>
        <w:rPr>
          <w:rFonts w:hint="eastAsia"/>
        </w:rPr>
        <w:t>在保修期内，中标供应商工程质量原因造成的其它财产损失，由中标供应商按当时市场价格全额赔偿。</w:t>
      </w:r>
    </w:p>
    <w:p>
      <w:pPr>
        <w:numPr>
          <w:ilvl w:val="1"/>
          <w:numId w:val="8"/>
        </w:numPr>
        <w:rPr>
          <w:highlight w:val="none"/>
        </w:rPr>
      </w:pPr>
      <w:r>
        <w:rPr>
          <w:rFonts w:hint="eastAsia"/>
          <w:highlight w:val="none"/>
        </w:rPr>
        <w:t>售后服务要求：属于保修范围、内容的项目，中标人应当在接到保修通知之日24小时内派人保修。</w:t>
      </w:r>
    </w:p>
    <w:p>
      <w:pPr>
        <w:numPr>
          <w:ilvl w:val="0"/>
          <w:numId w:val="8"/>
        </w:numPr>
        <w:rPr>
          <w:highlight w:val="none"/>
        </w:rPr>
      </w:pPr>
      <w:r>
        <w:rPr>
          <w:rFonts w:hint="eastAsia"/>
          <w:highlight w:val="none"/>
        </w:rPr>
        <w:t>付款方式：</w:t>
      </w:r>
    </w:p>
    <w:p>
      <w:pPr>
        <w:numPr>
          <w:ilvl w:val="1"/>
          <w:numId w:val="8"/>
        </w:numPr>
        <w:ind w:left="737" w:leftChars="0" w:hanging="737" w:firstLineChars="0"/>
        <w:rPr>
          <w:rFonts w:hint="eastAsia"/>
          <w:highlight w:val="none"/>
        </w:rPr>
      </w:pPr>
      <w:r>
        <w:rPr>
          <w:rFonts w:hint="eastAsia"/>
          <w:highlight w:val="none"/>
        </w:rPr>
        <w:t>本合同签订后，中标供应商完成项目整体进度的100%，并经过采购人项目负责人、监理的确认后由中标供应商提出付款申请，采购人在收到中标供应商付款申请及付款所需要的材料后10个工作日内，向中标供应商支付工程合同金额的100% 。</w:t>
      </w:r>
    </w:p>
    <w:p>
      <w:pPr>
        <w:numPr>
          <w:ilvl w:val="1"/>
          <w:numId w:val="8"/>
        </w:numPr>
        <w:ind w:left="737" w:leftChars="0" w:hanging="737" w:firstLineChars="0"/>
        <w:rPr>
          <w:rFonts w:hint="eastAsia"/>
          <w:highlight w:val="none"/>
        </w:rPr>
      </w:pPr>
      <w:r>
        <w:rPr>
          <w:rFonts w:hint="eastAsia"/>
          <w:highlight w:val="none"/>
        </w:rPr>
        <w:t>中标供应商完成所有工程的施工、所有设备的安装及调试，并经采购人组织的竣工验收合格后，并经过采购人项目负责人、监理的确认后由中标供应商提出付款申请，采购人在收到中标供应商付款申请、缴纳的质保金及付款所需要的材料后10个工作日内，向中标供应商付清工程合同款。</w:t>
      </w:r>
    </w:p>
    <w:p>
      <w:pPr>
        <w:numPr>
          <w:ilvl w:val="0"/>
          <w:numId w:val="8"/>
        </w:numPr>
        <w:rPr>
          <w:rFonts w:hint="eastAsia"/>
          <w:highlight w:val="none"/>
        </w:rPr>
      </w:pPr>
      <w:r>
        <w:rPr>
          <w:rFonts w:hint="eastAsia"/>
          <w:highlight w:val="none"/>
        </w:rPr>
        <w:t>质保金：</w:t>
      </w:r>
    </w:p>
    <w:p>
      <w:pPr>
        <w:numPr>
          <w:ilvl w:val="0"/>
          <w:numId w:val="0"/>
        </w:numPr>
        <w:ind w:left="638" w:leftChars="304" w:firstLine="409" w:firstLineChars="195"/>
        <w:rPr>
          <w:rFonts w:hint="eastAsia"/>
          <w:highlight w:val="none"/>
        </w:rPr>
      </w:pPr>
      <w:r>
        <w:rPr>
          <w:rFonts w:hint="eastAsia"/>
          <w:highlight w:val="none"/>
        </w:rPr>
        <w:t>合同金额的3%。在竣工验收合格后，以银行转账方式向采购人财务支付合同金额的3%作为质保金，如中标供应商未出现应由中标供应商承担的责任，从竣工验收之日起 1年期满后10个工作日内甲方不计利息将质保金退回给中标供应商；中标供应商如有违约或出现应由中标供应商承担的责任，中标供应商同意采购人可以直接从保证金中扣除，不足部分仍应由乙方承担。</w:t>
      </w:r>
    </w:p>
    <w:p>
      <w:pPr>
        <w:numPr>
          <w:ilvl w:val="0"/>
          <w:numId w:val="8"/>
        </w:numPr>
        <w:rPr>
          <w:highlight w:val="none"/>
        </w:rPr>
      </w:pPr>
      <w:r>
        <w:rPr>
          <w:rFonts w:hint="eastAsia"/>
          <w:highlight w:val="none"/>
        </w:rPr>
        <w:t>违约责任</w:t>
      </w:r>
    </w:p>
    <w:p>
      <w:pPr>
        <w:ind w:left="737"/>
      </w:pPr>
      <w:r>
        <w:rPr>
          <w:rFonts w:hint="eastAsia"/>
        </w:rPr>
        <w:t>在合同履行期间，中标供应商履行采购合同规定的基本责任、招标文件的要求以及其投标文件中承诺的服务责任情况将作为判断中标供应商是否违约的主要依据。如果中标供应商存在违约情况，给采购单位造成经济损失的，采购单位有权追究该中标供应商的违约责任，并有权直接解除合同，但并不因此免除属于保险责任范围内的赔偿。</w:t>
      </w:r>
    </w:p>
    <w:p>
      <w:pPr>
        <w:numPr>
          <w:ilvl w:val="0"/>
          <w:numId w:val="8"/>
        </w:numPr>
      </w:pPr>
      <w:r>
        <w:rPr>
          <w:rFonts w:hint="eastAsia"/>
        </w:rPr>
        <w:t>特别说明</w:t>
      </w:r>
    </w:p>
    <w:p>
      <w:pPr>
        <w:ind w:left="737"/>
        <w:rPr>
          <w:rFonts w:hint="eastAsia"/>
        </w:rPr>
      </w:pPr>
      <w:r>
        <w:rPr>
          <w:rFonts w:hint="eastAsia"/>
          <w:b/>
        </w:rPr>
        <w:t>★</w:t>
      </w:r>
      <w:r>
        <w:rPr>
          <w:rFonts w:hint="eastAsia"/>
        </w:rPr>
        <w:t>采购人单位系疫情防控重点场所，中标人需严格遵守采购人各项防控要求，</w:t>
      </w:r>
      <w:r>
        <w:t>如因疫情防控等不可抗拒原因而导致合同期内无法开展活动，采购人不负任何责任。</w:t>
      </w:r>
    </w:p>
    <w:p>
      <w:pPr>
        <w:pStyle w:val="3"/>
        <w:jc w:val="center"/>
        <w:rPr>
          <w:rFonts w:hint="eastAsia"/>
        </w:rPr>
      </w:pPr>
      <w:bookmarkStart w:id="7" w:name="_Toc138601807"/>
      <w:r>
        <w:rPr>
          <w:rFonts w:hint="eastAsia"/>
          <w:lang w:val="en-US" w:eastAsia="zh-CN"/>
        </w:rPr>
        <w:t>五</w:t>
      </w:r>
      <w:r>
        <w:rPr>
          <w:rFonts w:hint="eastAsia"/>
        </w:rPr>
        <w:t>、其他要求</w:t>
      </w:r>
      <w:bookmarkEnd w:id="7"/>
    </w:p>
    <w:p>
      <w:pPr>
        <w:numPr>
          <w:ilvl w:val="0"/>
          <w:numId w:val="9"/>
        </w:numPr>
        <w:rPr>
          <w:rFonts w:hint="eastAsia"/>
          <w:bCs/>
        </w:rPr>
      </w:pPr>
      <w:r>
        <w:rPr>
          <w:rFonts w:hint="eastAsia"/>
          <w:bCs/>
        </w:rPr>
        <w:t>中标人不得将项目非法分包或转包给任何单位和个人。否则，采购单位有权即刻终止合同，并要求中标人赔偿相应损失。</w:t>
      </w:r>
    </w:p>
    <w:p>
      <w:pPr>
        <w:numPr>
          <w:ilvl w:val="0"/>
          <w:numId w:val="9"/>
        </w:numPr>
        <w:rPr>
          <w:bCs/>
        </w:rPr>
      </w:pPr>
      <w:r>
        <w:rPr>
          <w:rFonts w:hint="eastAsia"/>
          <w:bCs/>
        </w:rPr>
        <w:t>投标人应踏勘现场充分了解施工范围内及周边的具体情况，并根据踏勘结果准确报价。</w:t>
      </w:r>
    </w:p>
    <w:p>
      <w:pPr>
        <w:numPr>
          <w:ilvl w:val="0"/>
          <w:numId w:val="9"/>
        </w:numPr>
        <w:rPr>
          <w:bCs/>
        </w:rPr>
      </w:pPr>
      <w:r>
        <w:rPr>
          <w:rFonts w:hint="eastAsia"/>
          <w:bCs/>
        </w:rPr>
        <w:t>中标单位如不能保质保量准时完成本工程，采购单位有权进行应急处理并根据情况对中标人给予处罚。</w:t>
      </w:r>
    </w:p>
    <w:p>
      <w:pPr>
        <w:numPr>
          <w:ilvl w:val="0"/>
          <w:numId w:val="9"/>
        </w:numPr>
        <w:rPr>
          <w:rFonts w:hint="eastAsia"/>
          <w:bCs/>
        </w:rPr>
      </w:pPr>
      <w:r>
        <w:rPr>
          <w:rFonts w:hint="eastAsia"/>
          <w:bCs/>
        </w:rPr>
        <w:t>中标单位须自行解决与施工相关的一切事宜（包括施工车辆在该区域内通行、淤泥渣土受纳、施工材料存放、用水用电、施工人员基地及施工占道等问题），不得在施工场地堆放材料及驻扎生活基地，严格按照施工安全规范的规定采取预防事故的措施，并按照国家及地方的相关规定做好安全文明施工措施，确保施工自身及周边安全。</w:t>
      </w:r>
    </w:p>
    <w:p>
      <w:pPr>
        <w:numPr>
          <w:ilvl w:val="0"/>
          <w:numId w:val="9"/>
        </w:numPr>
        <w:rPr>
          <w:bCs/>
        </w:rPr>
      </w:pPr>
      <w:r>
        <w:rPr>
          <w:rFonts w:hint="eastAsia"/>
          <w:bCs/>
        </w:rPr>
        <w:t>本工程的工程量清单的投标单价按综合单价方式进行报价；</w:t>
      </w:r>
    </w:p>
    <w:p>
      <w:pPr>
        <w:numPr>
          <w:ilvl w:val="0"/>
          <w:numId w:val="9"/>
        </w:numPr>
        <w:rPr>
          <w:bCs/>
        </w:rPr>
      </w:pPr>
      <w:r>
        <w:rPr>
          <w:rFonts w:hint="eastAsia"/>
          <w:bCs/>
        </w:rPr>
        <w:t>投标人应根据本企业的成本自行决定报价，但不得以低于其企业成本的报价竞标；</w:t>
      </w:r>
    </w:p>
    <w:p>
      <w:pPr>
        <w:numPr>
          <w:ilvl w:val="0"/>
          <w:numId w:val="9"/>
        </w:numPr>
        <w:rPr>
          <w:bCs/>
        </w:rPr>
      </w:pPr>
      <w:r>
        <w:rPr>
          <w:rFonts w:hint="eastAsia"/>
          <w:bCs/>
        </w:rPr>
        <w:t>投标人的投标报价，应是本项目招标范围和招标文件及合同条款上所列的各项内容中所述的全部，不得以任何理由予以重复，并以投标人在工程量清单中提出的综合单价或总价为依据；</w:t>
      </w:r>
    </w:p>
    <w:p>
      <w:pPr>
        <w:numPr>
          <w:ilvl w:val="0"/>
          <w:numId w:val="9"/>
        </w:numPr>
        <w:rPr>
          <w:bCs/>
        </w:rPr>
      </w:pPr>
      <w:r>
        <w:rPr>
          <w:rFonts w:hint="eastAsia"/>
          <w:bCs/>
        </w:rPr>
        <w:t>除非采购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numPr>
          <w:ilvl w:val="0"/>
          <w:numId w:val="9"/>
        </w:numPr>
        <w:rPr>
          <w:bCs/>
        </w:rPr>
      </w:pPr>
      <w:r>
        <w:rPr>
          <w:rFonts w:hint="eastAsia"/>
          <w:bCs/>
        </w:rPr>
        <w:t>投标人应先到工地踏勘以充分了解工地的位置、情况、道路、储存空间、装卸限制及任何其它足以影响投标报价的情况，任何因忽视或误解工地情况而导致的索赔或工期延长申请将不获批准；</w:t>
      </w:r>
    </w:p>
    <w:p>
      <w:pPr>
        <w:numPr>
          <w:ilvl w:val="0"/>
          <w:numId w:val="9"/>
        </w:numPr>
        <w:rPr>
          <w:bCs/>
        </w:rPr>
      </w:pPr>
      <w:r>
        <w:rPr>
          <w:rFonts w:hint="eastAsia"/>
          <w:bCs/>
        </w:rPr>
        <w:t>投标人不得期望通过索赔、签证等方式获取补偿，否则，除可能遭到拒绝外，还可能将被作为不良行为记录在案，并可能影响其以后参加政府采购的项目投标。各投标人在投标报价时，应充分考虑投标报价的风险。</w:t>
      </w:r>
    </w:p>
    <w:p>
      <w:pPr>
        <w:numPr>
          <w:ilvl w:val="0"/>
          <w:numId w:val="9"/>
        </w:numPr>
        <w:rPr>
          <w:bCs/>
        </w:rPr>
      </w:pPr>
      <w:r>
        <w:rPr>
          <w:rFonts w:hint="eastAsia"/>
          <w:bCs/>
        </w:rPr>
        <w:t>中标人投标总价即为中标人与采购人签订该项目合同的总价。</w:t>
      </w:r>
    </w:p>
    <w:p>
      <w:pPr>
        <w:numPr>
          <w:ilvl w:val="1"/>
          <w:numId w:val="9"/>
        </w:numPr>
        <w:rPr>
          <w:bCs/>
        </w:rPr>
      </w:pPr>
      <w:r>
        <w:rPr>
          <w:rFonts w:hint="eastAsia"/>
          <w:bCs/>
        </w:rPr>
        <w:t>本项目采用总价包干。对没有填写综合单价与合价的项目费用，应视为已包括在工程量清单的其他综合单价与合价之中。如有工程量清单未包含特征描述内容的漏项，视同已包含在其他项目中，综合单价不予调整。</w:t>
      </w:r>
    </w:p>
    <w:p>
      <w:pPr>
        <w:numPr>
          <w:ilvl w:val="1"/>
          <w:numId w:val="9"/>
        </w:numPr>
        <w:rPr>
          <w:bCs/>
        </w:rPr>
      </w:pPr>
      <w:r>
        <w:rPr>
          <w:rFonts w:hint="eastAsia"/>
          <w:bCs/>
        </w:rPr>
        <w:t>投标人的投标报价必须充分考虑到在施工中实施的施工组织设计对工程造价的影响，并在投标报价中反映出来。</w:t>
      </w:r>
    </w:p>
    <w:p>
      <w:pPr>
        <w:numPr>
          <w:ilvl w:val="0"/>
          <w:numId w:val="9"/>
        </w:numPr>
        <w:rPr>
          <w:bCs/>
        </w:rPr>
      </w:pPr>
      <w:r>
        <w:rPr>
          <w:rFonts w:hint="eastAsia"/>
          <w:bCs/>
        </w:rPr>
        <w:t>本项目不接受总价优惠折扣形式的报价，投标人应将对项目的优惠直接在清单报价中体现出来。</w:t>
      </w:r>
    </w:p>
    <w:p>
      <w:pPr>
        <w:numPr>
          <w:ilvl w:val="0"/>
          <w:numId w:val="9"/>
        </w:numPr>
        <w:rPr>
          <w:bCs/>
        </w:rPr>
      </w:pPr>
      <w:r>
        <w:rPr>
          <w:rFonts w:hint="eastAsia"/>
          <w:bCs/>
        </w:rPr>
        <w:t>采购人委托中标人办理的保险事项：建设工程一切险和第三者责任险，所需的保险费应包含在投标价中，施工中若发生安全事故，一切责任及费用由中标人负责。</w:t>
      </w:r>
    </w:p>
    <w:p>
      <w:pPr>
        <w:numPr>
          <w:ilvl w:val="0"/>
          <w:numId w:val="9"/>
        </w:numPr>
        <w:rPr>
          <w:bCs/>
        </w:rPr>
      </w:pPr>
      <w:r>
        <w:rPr>
          <w:rFonts w:hint="eastAsia"/>
          <w:bCs/>
        </w:rPr>
        <w:t>工程完工后，中标人应恢复修建前的原有状态（工程量按实计算），并使监理工程师和采购人满意，满足政府管理部门的规定和要求。</w:t>
      </w:r>
    </w:p>
    <w:p>
      <w:pPr>
        <w:numPr>
          <w:ilvl w:val="0"/>
          <w:numId w:val="9"/>
        </w:numPr>
        <w:rPr>
          <w:bCs/>
        </w:rPr>
      </w:pPr>
      <w:r>
        <w:rPr>
          <w:rFonts w:hint="eastAsia"/>
          <w:bCs/>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numPr>
          <w:ilvl w:val="0"/>
          <w:numId w:val="9"/>
        </w:numPr>
        <w:rPr>
          <w:bCs/>
        </w:rPr>
      </w:pPr>
      <w:r>
        <w:rPr>
          <w:rFonts w:hint="eastAsia"/>
          <w:bCs/>
        </w:rPr>
        <w:t>一切与施工相关的检验实验费（政府有关部门规定由采购人支付的检验实验费除外）已含在投标价中。</w:t>
      </w:r>
    </w:p>
    <w:p>
      <w:pPr>
        <w:numPr>
          <w:ilvl w:val="0"/>
          <w:numId w:val="9"/>
        </w:numPr>
        <w:rPr>
          <w:rFonts w:hint="eastAsia"/>
          <w:bCs/>
        </w:rPr>
      </w:pPr>
      <w:r>
        <w:rPr>
          <w:rFonts w:hint="eastAsia"/>
          <w:bCs/>
        </w:rPr>
        <w:t>中标人的交通维护方案必须保证施工期间的交通组织符合深圳市公安交通管理的有关规定，保证车辆运行通畅和施工安全，其费用已含在投标价中。</w:t>
      </w:r>
    </w:p>
    <w:p>
      <w:pPr>
        <w:jc w:val="center"/>
        <w:rPr>
          <w:rFonts w:hint="eastAsia"/>
        </w:rPr>
      </w:pPr>
    </w:p>
    <w:p>
      <w:pPr>
        <w:pStyle w:val="3"/>
        <w:jc w:val="center"/>
        <w:rPr>
          <w:rFonts w:hint="eastAsia"/>
        </w:rPr>
      </w:pPr>
      <w:bookmarkStart w:id="8" w:name="_Toc138601809"/>
      <w:r>
        <w:rPr>
          <w:rFonts w:hint="eastAsia"/>
          <w:lang w:val="en-US" w:eastAsia="zh-CN"/>
        </w:rPr>
        <w:t>六</w:t>
      </w:r>
      <w:r>
        <w:rPr>
          <w:rFonts w:hint="eastAsia"/>
        </w:rPr>
        <w:t>、工程量清单</w:t>
      </w:r>
      <w:bookmarkEnd w:id="8"/>
    </w:p>
    <w:p>
      <w:pPr>
        <w:ind w:left="737"/>
        <w:rPr>
          <w:rFonts w:hint="eastAsia"/>
          <w:b/>
          <w:bCs/>
        </w:rPr>
      </w:pPr>
      <w:r>
        <w:rPr>
          <w:rFonts w:hint="eastAsia"/>
          <w:b/>
          <w:bCs/>
        </w:rPr>
        <w:t>工程量清单见采购文件附件。</w:t>
      </w:r>
    </w:p>
    <w:p>
      <w:pPr>
        <w:numPr>
          <w:ilvl w:val="0"/>
          <w:numId w:val="10"/>
        </w:numPr>
        <w:rPr>
          <w:bCs/>
        </w:rPr>
      </w:pPr>
      <w:r>
        <w:rPr>
          <w:rFonts w:hint="eastAsia"/>
          <w:bCs/>
        </w:rPr>
        <w:t>工程计价办法：综合单价法。</w:t>
      </w:r>
    </w:p>
    <w:p>
      <w:pPr>
        <w:numPr>
          <w:ilvl w:val="0"/>
          <w:numId w:val="10"/>
        </w:numPr>
        <w:rPr>
          <w:bCs/>
        </w:rPr>
      </w:pPr>
      <w:r>
        <w:rPr>
          <w:rFonts w:hint="eastAsia"/>
          <w:bCs/>
        </w:rPr>
        <w:t>工程量清单应与投标须知、合同条件、工程建设标准及技术要求等文件结合起来理解或解释。</w:t>
      </w:r>
    </w:p>
    <w:p>
      <w:pPr>
        <w:numPr>
          <w:ilvl w:val="0"/>
          <w:numId w:val="10"/>
        </w:numPr>
        <w:rPr>
          <w:bCs/>
        </w:rPr>
      </w:pPr>
      <w:r>
        <w:rPr>
          <w:rFonts w:hint="eastAsia"/>
          <w:bCs/>
        </w:rPr>
        <w:t>本工程量清单是采购人委托相关单位根据本招标文件中所提供的设计文件编制的。</w:t>
      </w:r>
    </w:p>
    <w:p>
      <w:pPr>
        <w:numPr>
          <w:ilvl w:val="0"/>
          <w:numId w:val="10"/>
        </w:numPr>
        <w:rPr>
          <w:bCs/>
        </w:rPr>
      </w:pPr>
      <w:r>
        <w:rPr>
          <w:rFonts w:hint="eastAsia"/>
          <w:bCs/>
        </w:rPr>
        <w:t>按照《建设工程工程量清单计价规范》的规定，“工程量清单格式”主要包括以下几个部分，但不局限于以下部分：</w:t>
      </w:r>
    </w:p>
    <w:p>
      <w:pPr>
        <w:numPr>
          <w:ilvl w:val="1"/>
          <w:numId w:val="10"/>
        </w:numPr>
        <w:rPr>
          <w:bCs/>
        </w:rPr>
      </w:pPr>
      <w:r>
        <w:rPr>
          <w:rFonts w:hint="eastAsia"/>
          <w:bCs/>
        </w:rPr>
        <w:t>清单封面；</w:t>
      </w:r>
    </w:p>
    <w:p>
      <w:pPr>
        <w:numPr>
          <w:ilvl w:val="1"/>
          <w:numId w:val="10"/>
        </w:numPr>
        <w:rPr>
          <w:bCs/>
        </w:rPr>
      </w:pPr>
      <w:r>
        <w:rPr>
          <w:rFonts w:hint="eastAsia"/>
          <w:bCs/>
        </w:rPr>
        <w:t>总说明；</w:t>
      </w:r>
    </w:p>
    <w:p>
      <w:pPr>
        <w:tabs>
          <w:tab w:val="left" w:pos="737"/>
        </w:tabs>
        <w:ind w:left="737"/>
        <w:rPr>
          <w:bCs/>
        </w:rPr>
      </w:pPr>
      <w:r>
        <w:rPr>
          <w:rFonts w:hint="eastAsia"/>
          <w:bCs/>
        </w:rPr>
        <w:t>包括：工程概况、工程招标范围、工程量清单编制依据、工程质量、材料、施工的特殊要求、预留金及暂定金额的情况等。</w:t>
      </w:r>
    </w:p>
    <w:p>
      <w:pPr>
        <w:numPr>
          <w:ilvl w:val="1"/>
          <w:numId w:val="10"/>
        </w:numPr>
        <w:rPr>
          <w:bCs/>
        </w:rPr>
      </w:pPr>
      <w:r>
        <w:rPr>
          <w:rFonts w:hint="eastAsia"/>
          <w:bCs/>
        </w:rPr>
        <w:t>工程项目清单；</w:t>
      </w:r>
    </w:p>
    <w:p>
      <w:pPr>
        <w:tabs>
          <w:tab w:val="left" w:pos="737"/>
        </w:tabs>
        <w:ind w:left="737"/>
        <w:rPr>
          <w:bCs/>
        </w:rPr>
      </w:pPr>
      <w:r>
        <w:rPr>
          <w:rFonts w:hint="eastAsia"/>
          <w:bCs/>
        </w:rPr>
        <w:t>指本次招标的工程项目所包含的单项工程及每个单项工程所包含的单位工程，只有一个单位工程时可不填此表。</w:t>
      </w:r>
    </w:p>
    <w:p>
      <w:pPr>
        <w:numPr>
          <w:ilvl w:val="1"/>
          <w:numId w:val="10"/>
        </w:numPr>
        <w:rPr>
          <w:bCs/>
        </w:rPr>
      </w:pPr>
      <w:r>
        <w:rPr>
          <w:rFonts w:hint="eastAsia"/>
          <w:bCs/>
        </w:rPr>
        <w:t>分部分项工程量清单；</w:t>
      </w:r>
    </w:p>
    <w:p>
      <w:pPr>
        <w:numPr>
          <w:ilvl w:val="1"/>
          <w:numId w:val="10"/>
        </w:numPr>
        <w:rPr>
          <w:bCs/>
        </w:rPr>
      </w:pPr>
      <w:r>
        <w:rPr>
          <w:rFonts w:hint="eastAsia"/>
          <w:bCs/>
        </w:rPr>
        <w:t>措施项目清单；</w:t>
      </w:r>
    </w:p>
    <w:p>
      <w:pPr>
        <w:numPr>
          <w:ilvl w:val="1"/>
          <w:numId w:val="10"/>
        </w:numPr>
        <w:rPr>
          <w:bCs/>
        </w:rPr>
      </w:pPr>
      <w:r>
        <w:rPr>
          <w:rFonts w:hint="eastAsia"/>
          <w:bCs/>
        </w:rPr>
        <w:t>其他项目清单；</w:t>
      </w:r>
    </w:p>
    <w:p>
      <w:pPr>
        <w:tabs>
          <w:tab w:val="left" w:pos="737"/>
        </w:tabs>
        <w:ind w:left="737"/>
        <w:rPr>
          <w:bCs/>
        </w:rPr>
      </w:pPr>
      <w:r>
        <w:rPr>
          <w:rFonts w:hint="eastAsia"/>
          <w:bCs/>
        </w:rPr>
        <w:t>该表分为采购人部分和投标人部分，采购人部分可采购人另行招标采购材料设备费用等，由采购人填写；投标人部分可包括总承包服务费、零星工作项目费等，由投标人根据工程情况，投标报价时填写。</w:t>
      </w:r>
    </w:p>
    <w:p>
      <w:pPr>
        <w:numPr>
          <w:ilvl w:val="1"/>
          <w:numId w:val="10"/>
        </w:numPr>
        <w:rPr>
          <w:bCs/>
        </w:rPr>
      </w:pPr>
      <w:r>
        <w:rPr>
          <w:rFonts w:hint="eastAsia"/>
          <w:bCs/>
        </w:rPr>
        <w:t>零星工作项目表；</w:t>
      </w:r>
    </w:p>
    <w:p>
      <w:pPr>
        <w:tabs>
          <w:tab w:val="left" w:pos="737"/>
        </w:tabs>
        <w:ind w:left="737"/>
        <w:rPr>
          <w:bCs/>
        </w:rPr>
      </w:pPr>
      <w:r>
        <w:rPr>
          <w:rFonts w:hint="eastAsia"/>
          <w:bCs/>
        </w:rPr>
        <w:t>指采购人提出的工程量暂估的零星工作项目，该表费用由投标人计算后汇入其他项目清单的投标人部分。</w:t>
      </w:r>
    </w:p>
    <w:p>
      <w:pPr>
        <w:numPr>
          <w:ilvl w:val="1"/>
          <w:numId w:val="10"/>
        </w:numPr>
        <w:rPr>
          <w:bCs/>
        </w:rPr>
      </w:pPr>
      <w:r>
        <w:rPr>
          <w:rFonts w:hint="eastAsia"/>
          <w:bCs/>
        </w:rPr>
        <w:t>采购人供应设备材料表；</w:t>
      </w:r>
    </w:p>
    <w:p>
      <w:pPr>
        <w:tabs>
          <w:tab w:val="left" w:pos="737"/>
        </w:tabs>
        <w:ind w:left="737"/>
        <w:rPr>
          <w:bCs/>
        </w:rPr>
      </w:pPr>
      <w:r>
        <w:rPr>
          <w:rFonts w:hint="eastAsia"/>
          <w:bCs/>
        </w:rPr>
        <w:t>指采购人计划自行采购的设备材料价格等情况的表格，该表费用汇总后计入其他项目清单的采购人部分。</w:t>
      </w:r>
    </w:p>
    <w:p>
      <w:pPr>
        <w:numPr>
          <w:ilvl w:val="0"/>
          <w:numId w:val="10"/>
        </w:numPr>
        <w:rPr>
          <w:bCs/>
        </w:rPr>
      </w:pPr>
      <w:r>
        <w:rPr>
          <w:rFonts w:hint="eastAsia"/>
          <w:bCs/>
        </w:rPr>
        <w:t>本工程要求采用的工程量计算规则，应作为本工程招投标双方进行工程招投标和结算计量、计价的共同依据。</w:t>
      </w:r>
    </w:p>
    <w:p>
      <w:pPr>
        <w:numPr>
          <w:ilvl w:val="0"/>
          <w:numId w:val="10"/>
        </w:numPr>
        <w:rPr>
          <w:bCs/>
        </w:rPr>
      </w:pPr>
      <w:r>
        <w:rPr>
          <w:rFonts w:hint="eastAsia"/>
          <w:bCs/>
        </w:rPr>
        <w:t>本工程要求采用的工程量计算规则是《建设工程工程量清单计价规范》（</w:t>
      </w:r>
      <w:r>
        <w:rPr>
          <w:bCs/>
        </w:rPr>
        <w:t>GB 50500-2013</w:t>
      </w:r>
      <w:r>
        <w:rPr>
          <w:rFonts w:hint="eastAsia"/>
          <w:bCs/>
        </w:rPr>
        <w:t>）及深圳市补充规范；</w:t>
      </w:r>
    </w:p>
    <w:p>
      <w:pPr>
        <w:numPr>
          <w:ilvl w:val="0"/>
          <w:numId w:val="10"/>
        </w:numPr>
        <w:rPr>
          <w:bCs/>
        </w:rPr>
      </w:pPr>
      <w:r>
        <w:rPr>
          <w:rFonts w:hint="eastAsia"/>
          <w:bCs/>
        </w:rPr>
        <w:t>对“分部分项工程量清单”的说明和报价要求</w:t>
      </w:r>
    </w:p>
    <w:p>
      <w:pPr>
        <w:numPr>
          <w:ilvl w:val="1"/>
          <w:numId w:val="10"/>
        </w:numPr>
        <w:rPr>
          <w:bCs/>
        </w:rPr>
      </w:pPr>
      <w:r>
        <w:rPr>
          <w:rFonts w:hint="eastAsia"/>
          <w:bCs/>
        </w:rPr>
        <w:t>该清单所列的工程量系采购人的估算，是临时的，作为投标报价的共同基础。不应被理解为是对采购人要求工作内容的全部定义，也不能作为投标人应完成的实际工程量。领取招标文件后，投标人应自行计算工程量，自行计算工程量仅作为自己报价的参考，不能对招标文件的工程量进行修改。</w:t>
      </w:r>
    </w:p>
    <w:p>
      <w:pPr>
        <w:numPr>
          <w:ilvl w:val="1"/>
          <w:numId w:val="10"/>
        </w:numPr>
        <w:rPr>
          <w:bCs/>
        </w:rPr>
      </w:pPr>
      <w:r>
        <w:rPr>
          <w:rFonts w:hint="eastAsia"/>
          <w:bCs/>
        </w:rPr>
        <w:t>该清单中所填入的综合单价和合价应包括直接成本（即人工、材料、机械）和费用（管理费、利润）、风险金等全部费用。但涉及到采购人自行采购的设备材料的项目不得计入材料设备的价格。</w:t>
      </w:r>
    </w:p>
    <w:p>
      <w:pPr>
        <w:numPr>
          <w:ilvl w:val="1"/>
          <w:numId w:val="10"/>
        </w:numPr>
        <w:rPr>
          <w:bCs/>
        </w:rPr>
      </w:pPr>
      <w:r>
        <w:rPr>
          <w:rFonts w:hint="eastAsia"/>
          <w:bCs/>
        </w:rPr>
        <w:t>该清单中不再重复或概括工程及材料的一般说明，在编制和填写工程量清单的每一项的综合单价和合价时应参考投标须知和合同条件的有关条款。</w:t>
      </w:r>
    </w:p>
    <w:p>
      <w:pPr>
        <w:numPr>
          <w:ilvl w:val="1"/>
          <w:numId w:val="10"/>
        </w:numPr>
        <w:rPr>
          <w:bCs/>
        </w:rPr>
      </w:pPr>
      <w:r>
        <w:rPr>
          <w:rFonts w:hint="eastAsia"/>
          <w:bCs/>
        </w:rPr>
        <w:t>该清单的各项目说明中含有“暂定材料设备单价”的，应明确说明此单价是否包括运输费、采保费等费用。投标时投标人不得修改。结算时，应按本招标文件的合同条件中约定的方法调整。</w:t>
      </w:r>
    </w:p>
    <w:p>
      <w:pPr>
        <w:numPr>
          <w:ilvl w:val="0"/>
          <w:numId w:val="10"/>
        </w:numPr>
        <w:rPr>
          <w:bCs/>
        </w:rPr>
      </w:pPr>
      <w:r>
        <w:rPr>
          <w:rFonts w:hint="eastAsia"/>
          <w:bCs/>
        </w:rPr>
        <w:t>对</w:t>
      </w:r>
      <w:r>
        <w:rPr>
          <w:bCs/>
        </w:rPr>
        <w:t>“</w:t>
      </w:r>
      <w:r>
        <w:rPr>
          <w:rFonts w:hint="eastAsia"/>
          <w:bCs/>
        </w:rPr>
        <w:t>措施项目清单</w:t>
      </w:r>
      <w:r>
        <w:rPr>
          <w:bCs/>
        </w:rPr>
        <w:t>”</w:t>
      </w:r>
      <w:r>
        <w:rPr>
          <w:rFonts w:hint="eastAsia"/>
          <w:bCs/>
        </w:rPr>
        <w:t>的说明和报价要求：</w:t>
      </w:r>
    </w:p>
    <w:p>
      <w:pPr>
        <w:numPr>
          <w:ilvl w:val="1"/>
          <w:numId w:val="10"/>
        </w:numPr>
        <w:rPr>
          <w:bCs/>
        </w:rPr>
      </w:pPr>
      <w:r>
        <w:rPr>
          <w:rFonts w:hint="eastAsia"/>
          <w:bCs/>
        </w:rPr>
        <w:t>该清单所列项目均以</w:t>
      </w:r>
      <w:r>
        <w:rPr>
          <w:bCs/>
        </w:rPr>
        <w:t>“</w:t>
      </w:r>
      <w:r>
        <w:rPr>
          <w:rFonts w:hint="eastAsia"/>
          <w:bCs/>
        </w:rPr>
        <w:t>一项</w:t>
      </w:r>
      <w:r>
        <w:rPr>
          <w:bCs/>
        </w:rPr>
        <w:t>”</w:t>
      </w:r>
      <w:r>
        <w:rPr>
          <w:rFonts w:hint="eastAsia"/>
          <w:bCs/>
        </w:rPr>
        <w:t>提出，是采购人根据一般情况估计的项目，投标人实际措施项目不同的，可以对具体列项内容进行调整。</w:t>
      </w:r>
    </w:p>
    <w:p>
      <w:pPr>
        <w:numPr>
          <w:ilvl w:val="1"/>
          <w:numId w:val="10"/>
        </w:numPr>
        <w:rPr>
          <w:bCs/>
        </w:rPr>
      </w:pPr>
      <w:r>
        <w:rPr>
          <w:rFonts w:hint="eastAsia"/>
          <w:bCs/>
        </w:rPr>
        <w:t>该清单的报价为包干费用，除非合同条件中有明确的约定，该费用不得调整。</w:t>
      </w:r>
    </w:p>
    <w:p>
      <w:pPr>
        <w:numPr>
          <w:ilvl w:val="1"/>
          <w:numId w:val="10"/>
        </w:numPr>
        <w:rPr>
          <w:bCs/>
        </w:rPr>
      </w:pPr>
      <w:r>
        <w:rPr>
          <w:rFonts w:hint="eastAsia"/>
          <w:bCs/>
        </w:rPr>
        <w:t>如该清单中列入了</w:t>
      </w:r>
      <w:r>
        <w:rPr>
          <w:bCs/>
        </w:rPr>
        <w:t>“</w:t>
      </w:r>
      <w:r>
        <w:rPr>
          <w:rFonts w:hint="eastAsia"/>
          <w:bCs/>
        </w:rPr>
        <w:t>施工单位现场安全文明施工措施费</w:t>
      </w:r>
      <w:r>
        <w:rPr>
          <w:bCs/>
        </w:rPr>
        <w:t>”</w:t>
      </w:r>
      <w:r>
        <w:rPr>
          <w:rFonts w:hint="eastAsia"/>
          <w:bCs/>
        </w:rPr>
        <w:t>，该费用包括临时设施费、安全施工费、文明施工费，作为非竞争性费用。如该清单未列入此项费用，投标人应以</w:t>
      </w:r>
      <w:r>
        <w:rPr>
          <w:bCs/>
        </w:rPr>
        <w:t>“</w:t>
      </w:r>
      <w:r>
        <w:rPr>
          <w:rFonts w:hint="eastAsia"/>
          <w:bCs/>
        </w:rPr>
        <w:t>分部分项清单计价表</w:t>
      </w:r>
      <w:r>
        <w:rPr>
          <w:bCs/>
        </w:rPr>
        <w:t>”</w:t>
      </w:r>
      <w:r>
        <w:rPr>
          <w:rFonts w:hint="eastAsia"/>
          <w:bCs/>
        </w:rPr>
        <w:t>、</w:t>
      </w:r>
      <w:r>
        <w:rPr>
          <w:bCs/>
        </w:rPr>
        <w:t>“</w:t>
      </w:r>
      <w:r>
        <w:rPr>
          <w:rFonts w:hint="eastAsia"/>
          <w:bCs/>
        </w:rPr>
        <w:t>其他项目清单计价表</w:t>
      </w:r>
      <w:r>
        <w:rPr>
          <w:bCs/>
        </w:rPr>
        <w:t>”</w:t>
      </w:r>
      <w:r>
        <w:rPr>
          <w:rFonts w:hint="eastAsia"/>
          <w:bCs/>
        </w:rPr>
        <w:t>以及</w:t>
      </w:r>
      <w:r>
        <w:rPr>
          <w:bCs/>
        </w:rPr>
        <w:t>“</w:t>
      </w:r>
      <w:r>
        <w:rPr>
          <w:rFonts w:hint="eastAsia"/>
          <w:bCs/>
        </w:rPr>
        <w:t>措施项目清单计价表</w:t>
      </w:r>
      <w:r>
        <w:rPr>
          <w:bCs/>
        </w:rPr>
        <w:t>”</w:t>
      </w:r>
      <w:r>
        <w:rPr>
          <w:rFonts w:hint="eastAsia"/>
          <w:bCs/>
        </w:rPr>
        <w:t>中的</w:t>
      </w:r>
      <w:r>
        <w:rPr>
          <w:bCs/>
        </w:rPr>
        <w:t>“</w:t>
      </w:r>
      <w:r>
        <w:rPr>
          <w:rFonts w:hint="eastAsia"/>
          <w:bCs/>
        </w:rPr>
        <w:t>混凝土、钢筋混凝土模板及支架</w:t>
      </w:r>
      <w:r>
        <w:rPr>
          <w:bCs/>
        </w:rPr>
        <w:t>”</w:t>
      </w:r>
      <w:r>
        <w:rPr>
          <w:rFonts w:hint="eastAsia"/>
          <w:bCs/>
        </w:rPr>
        <w:t>、</w:t>
      </w:r>
      <w:r>
        <w:rPr>
          <w:bCs/>
        </w:rPr>
        <w:t>“</w:t>
      </w:r>
      <w:r>
        <w:rPr>
          <w:rFonts w:hint="eastAsia"/>
          <w:bCs/>
        </w:rPr>
        <w:t>脚手架</w:t>
      </w:r>
      <w:r>
        <w:rPr>
          <w:bCs/>
        </w:rPr>
        <w:t>”</w:t>
      </w:r>
      <w:r>
        <w:rPr>
          <w:rFonts w:hint="eastAsia"/>
          <w:bCs/>
        </w:rPr>
        <w:t>、</w:t>
      </w:r>
      <w:r>
        <w:rPr>
          <w:bCs/>
        </w:rPr>
        <w:t>“</w:t>
      </w:r>
      <w:r>
        <w:rPr>
          <w:rFonts w:hint="eastAsia"/>
          <w:bCs/>
        </w:rPr>
        <w:t>垂直运输机械费</w:t>
      </w:r>
      <w:r>
        <w:rPr>
          <w:bCs/>
        </w:rPr>
        <w:t>”</w:t>
      </w:r>
      <w:r>
        <w:rPr>
          <w:rFonts w:hint="eastAsia"/>
          <w:bCs/>
        </w:rPr>
        <w:t>、</w:t>
      </w:r>
      <w:r>
        <w:rPr>
          <w:bCs/>
        </w:rPr>
        <w:t>“</w:t>
      </w:r>
      <w:r>
        <w:rPr>
          <w:rFonts w:hint="eastAsia"/>
          <w:bCs/>
        </w:rPr>
        <w:t>大型机械设备进出场及安拆</w:t>
      </w:r>
      <w:r>
        <w:rPr>
          <w:bCs/>
        </w:rPr>
        <w:t>”</w:t>
      </w:r>
      <w:r>
        <w:rPr>
          <w:rFonts w:hint="eastAsia"/>
          <w:bCs/>
        </w:rPr>
        <w:t>的费用合计为计算基础，并根据本企业的成本，参照相关规定进行计算。</w:t>
      </w:r>
    </w:p>
    <w:p>
      <w:pPr>
        <w:numPr>
          <w:ilvl w:val="0"/>
          <w:numId w:val="10"/>
        </w:numPr>
        <w:rPr>
          <w:rFonts w:hint="eastAsia"/>
          <w:bCs/>
        </w:rPr>
      </w:pPr>
      <w:r>
        <w:rPr>
          <w:rFonts w:hint="eastAsia"/>
          <w:bCs/>
        </w:rPr>
        <w:t>如发现采购人提供的工程量清单的项目及工程量不符时，除招标文件另有要求外，投标人应在答疑期间提出，采购人应进行复核并在网上发出修正。如没有做出修正，投标人仍应按采购人提供的工程量清单的项目及工程量报价，并将项差与量差体现在报价中，并在备注中注明，但不得对工程量清单进行修改。</w:t>
      </w:r>
    </w:p>
    <w:p>
      <w:pPr>
        <w:rPr>
          <w:rFonts w:hint="eastAsia"/>
        </w:rPr>
      </w:pPr>
    </w:p>
    <w:p>
      <w:pPr>
        <w:pStyle w:val="3"/>
        <w:jc w:val="center"/>
        <w:rPr>
          <w:rFonts w:hint="eastAsia"/>
        </w:rPr>
      </w:pPr>
      <w:bookmarkStart w:id="9" w:name="_Toc138601810"/>
      <w:r>
        <w:rPr>
          <w:rFonts w:hint="eastAsia"/>
          <w:lang w:val="en-US" w:eastAsia="zh-CN"/>
        </w:rPr>
        <w:t xml:space="preserve">  </w:t>
      </w:r>
      <w:bookmarkStart w:id="32" w:name="_GoBack"/>
      <w:bookmarkEnd w:id="32"/>
      <w:r>
        <w:rPr>
          <w:rFonts w:hint="eastAsia"/>
          <w:lang w:val="en-US" w:eastAsia="zh-CN"/>
        </w:rPr>
        <w:t>七</w:t>
      </w:r>
      <w:r>
        <w:rPr>
          <w:rFonts w:hint="eastAsia"/>
        </w:rPr>
        <w:t>、注意事项</w:t>
      </w:r>
      <w:bookmarkEnd w:id="9"/>
    </w:p>
    <w:p>
      <w:pPr>
        <w:numPr>
          <w:ilvl w:val="0"/>
          <w:numId w:val="11"/>
        </w:numPr>
        <w:rPr>
          <w:rFonts w:hint="eastAsia"/>
          <w:bCs/>
        </w:rPr>
      </w:pPr>
      <w:r>
        <w:rPr>
          <w:rFonts w:hint="eastAsia"/>
          <w:bCs/>
        </w:rPr>
        <w:t>中标人不得将项目非法分包或转包给任何单位和个人。否则，采购单位有权即刻终止合同，并要求中标人赔偿相应损失。</w:t>
      </w:r>
    </w:p>
    <w:p>
      <w:pPr>
        <w:numPr>
          <w:ilvl w:val="0"/>
          <w:numId w:val="11"/>
        </w:numPr>
        <w:rPr>
          <w:rFonts w:hint="eastAsia"/>
          <w:bCs/>
        </w:rPr>
      </w:pPr>
      <w:r>
        <w:rPr>
          <w:rFonts w:hint="eastAsia"/>
          <w:bCs/>
        </w:rPr>
        <w:t>投标人若认为采购文件的技术要求或其他要求有倾向性或不公正性，可在招标答疑阶段提出，以维护招标行为的公平、公正。</w:t>
      </w:r>
    </w:p>
    <w:p>
      <w:pPr>
        <w:numPr>
          <w:ilvl w:val="0"/>
          <w:numId w:val="11"/>
        </w:numPr>
        <w:rPr>
          <w:rFonts w:hint="eastAsia"/>
          <w:bCs/>
        </w:rPr>
      </w:pPr>
      <w:r>
        <w:rPr>
          <w:rFonts w:hint="eastAsia"/>
          <w:bCs/>
        </w:rPr>
        <w:t>投标人使用的标准必须是国际公认或国家、或地方政府颁布的同等或更高的标准，如投标人使用的标准低于上述标准</w:t>
      </w:r>
      <w:r>
        <w:rPr>
          <w:bCs/>
        </w:rPr>
        <w:t>,</w:t>
      </w:r>
      <w:r>
        <w:rPr>
          <w:rFonts w:hint="eastAsia"/>
          <w:bCs/>
        </w:rPr>
        <w:t>评标委员会将有权不予接受，投标人必须列表将明显的差异详细说明。</w:t>
      </w:r>
    </w:p>
    <w:p>
      <w:pPr>
        <w:numPr>
          <w:ilvl w:val="0"/>
          <w:numId w:val="11"/>
        </w:numPr>
        <w:rPr>
          <w:rFonts w:hint="eastAsia"/>
          <w:bCs/>
        </w:rPr>
      </w:pPr>
      <w:r>
        <w:rPr>
          <w:rFonts w:hint="eastAsia"/>
          <w:bCs/>
        </w:rPr>
        <w:t>投标人所提交的投标文件对技术参数和各项要求的响应应是列出具体内容。如果投标人只注明“符合”或“满足”，将被视为“不符合”，并可能严重影响评标结果。</w:t>
      </w:r>
    </w:p>
    <w:p>
      <w:pPr>
        <w:numPr>
          <w:ilvl w:val="0"/>
          <w:numId w:val="11"/>
        </w:numPr>
        <w:rPr>
          <w:bCs/>
        </w:rPr>
      </w:pPr>
      <w:r>
        <w:rPr>
          <w:rFonts w:hint="eastAsia"/>
          <w:bCs/>
        </w:rPr>
        <w:t>重要提醒：《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另外，将组织第三方专业机构实施项目履约验收，并采取没收投标保证金、在深圳市政府采购网曝光等措施对失信供应商进行处理。供应商必须诚信投标，对项目需求进行实质性响应。</w:t>
      </w:r>
    </w:p>
    <w:p>
      <w:pPr>
        <w:pStyle w:val="2"/>
      </w:pPr>
      <w:r>
        <w:br w:type="page"/>
      </w: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hint="eastAsia" w:ascii="宋体" w:hAnsi="宋体" w:cs="宋体"/>
          <w:sz w:val="24"/>
        </w:rPr>
      </w:pPr>
      <w:r>
        <w:rPr>
          <w:rFonts w:hint="eastAsia" w:ascii="宋体" w:hAnsi="宋体" w:cs="宋体"/>
          <w:sz w:val="24"/>
        </w:rPr>
        <w:t>2、法定代表人证明书</w:t>
      </w:r>
    </w:p>
    <w:p>
      <w:pPr>
        <w:rPr>
          <w:rFonts w:hint="eastAsia" w:ascii="宋体" w:hAnsi="宋体" w:cs="宋体"/>
          <w:sz w:val="24"/>
        </w:rPr>
      </w:pPr>
      <w:r>
        <w:rPr>
          <w:rFonts w:hint="eastAsia" w:ascii="宋体" w:hAnsi="宋体" w:cs="宋体"/>
          <w:sz w:val="24"/>
        </w:rPr>
        <w:t>3、投标文件签署授权委托书</w:t>
      </w:r>
    </w:p>
    <w:p>
      <w:pPr>
        <w:rPr>
          <w:rFonts w:hint="eastAsia" w:ascii="宋体" w:hAnsi="宋体" w:cs="宋体"/>
          <w:sz w:val="24"/>
        </w:rPr>
      </w:pPr>
      <w:r>
        <w:rPr>
          <w:rFonts w:hint="eastAsia" w:ascii="宋体" w:hAnsi="宋体" w:cs="宋体"/>
          <w:sz w:val="24"/>
        </w:rPr>
        <w:t>4、投标承诺函</w:t>
      </w:r>
    </w:p>
    <w:p>
      <w:pPr>
        <w:rPr>
          <w:rFonts w:hint="eastAsia" w:ascii="宋体" w:hAnsi="宋体" w:cs="宋体"/>
          <w:sz w:val="24"/>
        </w:rPr>
      </w:pPr>
      <w:r>
        <w:rPr>
          <w:rFonts w:hint="eastAsia" w:ascii="宋体" w:hAnsi="宋体" w:cs="宋体"/>
          <w:sz w:val="24"/>
        </w:rPr>
        <w:t>5、投标人情况介绍</w:t>
      </w:r>
    </w:p>
    <w:p>
      <w:pPr>
        <w:rPr>
          <w:rFonts w:hint="eastAsia" w:ascii="宋体" w:hAnsi="宋体" w:cs="宋体"/>
          <w:sz w:val="24"/>
        </w:rPr>
      </w:pPr>
      <w:r>
        <w:rPr>
          <w:rFonts w:hint="eastAsia" w:ascii="宋体" w:hAnsi="宋体" w:cs="宋体"/>
          <w:sz w:val="24"/>
        </w:rPr>
        <w:t>6、分项报价清单表</w:t>
      </w:r>
    </w:p>
    <w:p>
      <w:pPr>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、商务需求偏离表</w:t>
      </w:r>
    </w:p>
    <w:p>
      <w:pPr>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、技术保障措施</w:t>
      </w:r>
    </w:p>
    <w:p>
      <w:pP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、实施安全保障措施</w:t>
      </w:r>
    </w:p>
    <w:p>
      <w:pPr>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、项目实施方案</w:t>
      </w:r>
    </w:p>
    <w:p>
      <w:pP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工期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hint="eastAsia"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3"/>
        <w:numPr>
          <w:ilvl w:val="0"/>
          <w:numId w:val="12"/>
        </w:numPr>
        <w:jc w:val="center"/>
        <w:rPr>
          <w:rFonts w:cs="宋体"/>
          <w:b/>
          <w:bCs w:val="0"/>
          <w:kern w:val="0"/>
          <w:szCs w:val="28"/>
        </w:rPr>
      </w:pPr>
      <w:r>
        <w:rPr>
          <w:rFonts w:hint="eastAsia" w:cs="宋体"/>
          <w:b/>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3"/>
        <w:jc w:val="center"/>
        <w:rPr>
          <w:rFonts w:cs="宋体"/>
          <w:b/>
          <w:bCs w:val="0"/>
          <w:kern w:val="0"/>
          <w:szCs w:val="28"/>
        </w:rPr>
      </w:pPr>
      <w:r>
        <w:rPr>
          <w:rFonts w:hint="eastAsia" w:cs="宋体"/>
          <w:b/>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bCs w:val="0"/>
          <w:sz w:val="28"/>
          <w:szCs w:val="28"/>
        </w:rPr>
      </w:pPr>
      <w:r>
        <w:rPr>
          <w:rFonts w:hint="eastAsia" w:ascii="宋体" w:hAnsi="宋体" w:cs="宋体"/>
          <w:b/>
          <w:bCs w:val="0"/>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bCs w:val="0"/>
          <w:sz w:val="28"/>
          <w:szCs w:val="28"/>
        </w:rPr>
      </w:pPr>
      <w:r>
        <w:rPr>
          <w:rFonts w:hint="eastAsia" w:ascii="宋体" w:hAnsi="宋体" w:cs="宋体"/>
          <w:b/>
          <w:bCs w:val="0"/>
          <w:sz w:val="28"/>
          <w:szCs w:val="28"/>
        </w:rPr>
        <w:t>四、投标承诺函</w:t>
      </w:r>
    </w:p>
    <w:p>
      <w:pPr>
        <w:pStyle w:val="3"/>
        <w:numPr>
          <w:ilvl w:val="0"/>
          <w:numId w:val="0"/>
        </w:numPr>
        <w:ind w:firstLine="3373" w:firstLineChars="1200"/>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（一）投标函</w:t>
      </w:r>
    </w:p>
    <w:p>
      <w:pPr>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lang w:eastAsia="zh-CN"/>
        </w:rPr>
        <w:t>深圳市第一职业技术学校</w:t>
      </w:r>
      <w:r>
        <w:rPr>
          <w:rFonts w:hint="eastAsia" w:ascii="宋体" w:hAnsi="宋体" w:eastAsia="宋体" w:cs="宋体"/>
          <w:color w:val="auto"/>
          <w:sz w:val="22"/>
          <w:szCs w:val="22"/>
          <w:highlight w:val="none"/>
          <w:u w:val="single"/>
          <w:lang w:val="en-US" w:eastAsia="zh-CN"/>
        </w:rPr>
        <w:t xml:space="preserve"> </w:t>
      </w:r>
    </w:p>
    <w:p>
      <w:pPr>
        <w:numPr>
          <w:ilvl w:val="0"/>
          <w:numId w:val="13"/>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根据已收到贵方的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eastAsia="宋体" w:cs="宋体"/>
          <w:color w:val="auto"/>
          <w:sz w:val="22"/>
          <w:szCs w:val="22"/>
          <w:highlight w:val="none"/>
        </w:rPr>
        <w:t>。</w:t>
      </w:r>
    </w:p>
    <w:p>
      <w:pPr>
        <w:numPr>
          <w:ilvl w:val="0"/>
          <w:numId w:val="0"/>
        </w:numPr>
        <w:spacing w:after="120" w:afterLines="5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3、在本项目投标过程中不弄虚作假，不隐瞒真实情况，不围标串标，不恶意质疑投诉。我公司已清楚违反上述要求的后果。</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4、在本项目招标过程中，评标委员会若对投标人进行现场勘察或实地考察或检验有关证明材料的原件，我公司将随时做好接受检查的准备。</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、我方承诺所投标（响应）的货物、工程或服务，不存在侵犯知识产权的情况；已知悉并同意中标（成交）结果信息公示（公开）的内容。</w:t>
      </w:r>
    </w:p>
    <w:p>
      <w:pPr>
        <w:spacing w:after="120" w:afterLines="50"/>
        <w:ind w:firstLine="411" w:firstLineChars="196"/>
        <w:rPr>
          <w:rFonts w:ascii="宋体" w:hAnsi="宋体" w:cs="宋体"/>
          <w:szCs w:val="21"/>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                       单位地址：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法定代表人或其委托代理人：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电话：            传真：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年     月    日                                </w:t>
      </w:r>
    </w:p>
    <w:p>
      <w:pPr>
        <w:numPr>
          <w:ilvl w:val="0"/>
          <w:numId w:val="0"/>
        </w:numPr>
        <w:spacing w:after="120" w:afterLines="50"/>
        <w:ind w:firstLine="1968" w:firstLineChars="700"/>
        <w:rPr>
          <w:rFonts w:hint="eastAsia" w:ascii="宋体" w:hAnsi="宋体" w:eastAsia="宋体" w:cs="宋体"/>
          <w:b/>
          <w:bCs/>
          <w:color w:val="auto"/>
          <w:sz w:val="28"/>
          <w:szCs w:val="28"/>
          <w:highlight w:val="none"/>
          <w:lang w:eastAsia="zh-CN"/>
        </w:rPr>
      </w:pPr>
    </w:p>
    <w:p>
      <w:pPr>
        <w:numPr>
          <w:ilvl w:val="0"/>
          <w:numId w:val="0"/>
        </w:numPr>
        <w:spacing w:after="120" w:afterLines="50"/>
        <w:ind w:firstLine="1968" w:firstLineChars="700"/>
        <w:rPr>
          <w:rFonts w:hint="eastAsia" w:ascii="宋体" w:hAnsi="宋体" w:eastAsia="宋体" w:cs="宋体"/>
          <w:b/>
          <w:bCs/>
          <w:color w:val="auto"/>
          <w:sz w:val="28"/>
          <w:szCs w:val="28"/>
          <w:highlight w:val="none"/>
          <w:lang w:eastAsia="zh-CN"/>
        </w:rPr>
      </w:pPr>
    </w:p>
    <w:p>
      <w:pPr>
        <w:numPr>
          <w:ilvl w:val="0"/>
          <w:numId w:val="0"/>
        </w:numPr>
        <w:spacing w:after="120" w:afterLines="50"/>
        <w:ind w:firstLine="1968" w:firstLineChars="7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政府采购投标及履约承诺函</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致：深圳市第一职业技术学校</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1.我单位参与本项目所投标（响应）的货物、工程或服务，不存在侵犯知识产权的情况；已知悉并同意中标（成交）结果信息公示（公开）的内容。</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2.我单位参与本项目投标前三年内，在经营活动中没有重大违法记录。</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3.我单位参与本项目政府采购活动时不存在被有关部门禁止参与政府采购活动且在有效期内的情况。</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4.我单位具备《中华人民共和国政府采购法》第二十二条第一款规定的六项条件。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5.我单位未被列入失信被执行人、重大税收违法案件当事人名单、政府采购严重违法失信行为记录名单。</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9.我单位承诺中标后项目不转包，未经采购人同意不进行分包。</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11.我单位保证，若所投货物涉及《财政部生态环境部关于印发节能产品政府采购品目清单的通知》（财库〔2019〕19号）列明的政府采购强制产品，则所投该产品符合节能产品的认证要求。</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以上承诺，如有违反，愿依照国家相关法律法规处理，并承担由此给采购人带来的损失。</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keepNext/>
        <w:keepLines/>
        <w:spacing w:before="260" w:after="260"/>
        <w:jc w:val="center"/>
        <w:outlineLvl w:val="2"/>
        <w:rPr>
          <w:rFonts w:hint="eastAsia" w:ascii="宋体" w:hAnsi="宋体" w:eastAsia="宋体" w:cs="宋体"/>
          <w:b/>
          <w:bCs w:val="0"/>
          <w:sz w:val="28"/>
          <w:szCs w:val="28"/>
        </w:rPr>
      </w:pPr>
      <w:r>
        <w:rPr>
          <w:rFonts w:hint="eastAsia" w:ascii="宋体" w:hAnsi="宋体" w:eastAsia="宋体" w:cs="宋体"/>
          <w:b/>
          <w:bCs w:val="0"/>
          <w:sz w:val="28"/>
          <w:szCs w:val="28"/>
        </w:rPr>
        <w:t>五、投标人情况介绍</w:t>
      </w:r>
    </w:p>
    <w:p>
      <w:pPr>
        <w:numPr>
          <w:ilvl w:val="0"/>
          <w:numId w:val="0"/>
        </w:numPr>
        <w:spacing w:after="120" w:after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（一）投标人资格要求的证明文件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（1）营业执照（或单位法人登记证等）复印件；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（2）具有相关经营范围并合法经营的证明文件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注：需递交上述项目的证明材料（中标通知书或合同关键页</w:t>
      </w:r>
      <w:r>
        <w:rPr>
          <w:rFonts w:hint="eastAsia" w:ascii="宋体" w:hAnsi="宋体"/>
          <w:color w:val="auto"/>
          <w:kern w:val="0"/>
          <w:sz w:val="22"/>
          <w:szCs w:val="22"/>
          <w:highlight w:val="none"/>
          <w:shd w:val="clear" w:color="auto" w:fill="FFFFFF"/>
          <w:lang w:eastAsia="zh-CN"/>
        </w:rPr>
        <w:t>、履约验收报告</w:t>
      </w:r>
      <w:r>
        <w:rPr>
          <w:rFonts w:hint="eastAsia" w:ascii="宋体" w:hAnsi="宋体"/>
          <w:color w:val="auto"/>
          <w:kern w:val="0"/>
          <w:sz w:val="22"/>
          <w:szCs w:val="22"/>
          <w:highlight w:val="none"/>
          <w:shd w:val="clear" w:color="auto" w:fill="FFFFFF"/>
        </w:rPr>
        <w:t>）</w:t>
      </w:r>
      <w:r>
        <w:rPr>
          <w:rFonts w:hint="eastAsia" w:ascii="宋体" w:hAnsi="宋体"/>
          <w:color w:val="auto"/>
          <w:kern w:val="0"/>
          <w:sz w:val="22"/>
          <w:szCs w:val="22"/>
          <w:highlight w:val="none"/>
          <w:shd w:val="clear" w:color="auto" w:fill="FFFFFF"/>
          <w:lang w:eastAsia="zh-CN"/>
        </w:rPr>
        <w:t>复印</w:t>
      </w:r>
      <w:r>
        <w:rPr>
          <w:rFonts w:hint="eastAsia" w:ascii="宋体" w:hAnsi="宋体"/>
          <w:color w:val="auto"/>
          <w:kern w:val="0"/>
          <w:sz w:val="22"/>
          <w:szCs w:val="22"/>
          <w:highlight w:val="none"/>
          <w:shd w:val="clear" w:color="auto" w:fill="FFFFFF"/>
        </w:rPr>
        <w:t>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pStyle w:val="3"/>
        <w:jc w:val="center"/>
        <w:rPr>
          <w:rFonts w:hint="eastAsia" w:ascii="黑体" w:eastAsia="黑体"/>
          <w:b w:val="0"/>
          <w:szCs w:val="28"/>
        </w:rPr>
      </w:pPr>
      <w:r>
        <w:rPr>
          <w:rFonts w:hint="eastAsia" w:ascii="黑体" w:eastAsia="黑体"/>
          <w:b w:val="0"/>
          <w:szCs w:val="28"/>
        </w:rPr>
        <w:t>六、分项报价清单</w:t>
      </w:r>
    </w:p>
    <w:p>
      <w:pPr>
        <w:keepNext/>
        <w:keepLines/>
        <w:outlineLvl w:val="3"/>
        <w:rPr>
          <w:rFonts w:hint="eastAsia" w:ascii="宋体" w:hAnsi="宋体"/>
          <w:bCs/>
          <w:szCs w:val="21"/>
        </w:rPr>
      </w:pPr>
      <w:bookmarkStart w:id="10" w:name="_Toc84303613"/>
      <w:bookmarkStart w:id="11" w:name="_Toc71860051"/>
      <w:bookmarkStart w:id="12" w:name="_Toc100052462"/>
      <w:bookmarkStart w:id="13" w:name="_Toc101074893"/>
      <w:bookmarkStart w:id="14" w:name="_Toc71860049"/>
      <w:bookmarkStart w:id="15" w:name="_Toc45964657"/>
      <w:bookmarkStart w:id="16" w:name="_Toc69878058"/>
      <w:bookmarkStart w:id="17" w:name="工程量清单报价格式"/>
      <w:r>
        <w:rPr>
          <w:rFonts w:hint="eastAsia" w:ascii="宋体" w:hAnsi="宋体"/>
          <w:bCs/>
          <w:szCs w:val="21"/>
        </w:rPr>
        <w:t>（一）工程项目总价表</w:t>
      </w:r>
      <w:bookmarkEnd w:id="10"/>
      <w:bookmarkEnd w:id="11"/>
      <w:bookmarkEnd w:id="12"/>
      <w:bookmarkEnd w:id="13"/>
    </w:p>
    <w:p>
      <w:pPr>
        <w:spacing w:after="120" w:afterLines="50" w:line="360" w:lineRule="auto"/>
        <w:rPr>
          <w:rFonts w:hint="eastAsia" w:ascii="宋体" w:hAnsi="宋体"/>
          <w:szCs w:val="21"/>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5436"/>
        <w:gridCol w:w="1516"/>
        <w:gridCol w:w="19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93" w:type="dxa"/>
            <w:noWrap w:val="0"/>
            <w:vAlign w:val="center"/>
          </w:tcPr>
          <w:p>
            <w:pPr>
              <w:widowControl/>
              <w:jc w:val="center"/>
              <w:rPr>
                <w:rFonts w:ascii="宋体" w:hAnsi="宋体" w:cs="Arial"/>
                <w:kern w:val="0"/>
                <w:sz w:val="20"/>
                <w:szCs w:val="20"/>
              </w:rPr>
            </w:pPr>
            <w:bookmarkStart w:id="18" w:name="_Toc71860054"/>
            <w:bookmarkStart w:id="19" w:name="_Toc101074896"/>
            <w:bookmarkStart w:id="20" w:name="_Toc100052465"/>
            <w:bookmarkStart w:id="21" w:name="_Toc84303616"/>
            <w:r>
              <w:rPr>
                <w:rFonts w:hint="eastAsia" w:ascii="宋体" w:hAnsi="宋体" w:cs="Arial"/>
                <w:kern w:val="0"/>
                <w:sz w:val="20"/>
                <w:szCs w:val="20"/>
              </w:rPr>
              <w:t>序号</w:t>
            </w:r>
          </w:p>
        </w:tc>
        <w:tc>
          <w:tcPr>
            <w:tcW w:w="5436"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汇 总 内 容</w:t>
            </w:r>
          </w:p>
        </w:tc>
        <w:tc>
          <w:tcPr>
            <w:tcW w:w="1516"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金额(元)</w:t>
            </w:r>
          </w:p>
        </w:tc>
        <w:tc>
          <w:tcPr>
            <w:tcW w:w="1927" w:type="dxa"/>
            <w:noWrap w:val="0"/>
            <w:vAlign w:val="center"/>
          </w:tcPr>
          <w:p>
            <w:pPr>
              <w:widowControl/>
              <w:rPr>
                <w:rFonts w:ascii="宋体" w:hAnsi="宋体" w:cs="Arial"/>
                <w:kern w:val="0"/>
                <w:sz w:val="20"/>
                <w:szCs w:val="20"/>
              </w:rPr>
            </w:pPr>
            <w:r>
              <w:rPr>
                <w:rFonts w:hint="eastAsia" w:ascii="宋体" w:hAnsi="宋体" w:cs="Arial"/>
                <w:kern w:val="0"/>
                <w:sz w:val="20"/>
                <w:szCs w:val="20"/>
              </w:rPr>
              <w:t>其中：材料设备暂估价(元)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分部分项工程费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措施项目费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其它项目费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规费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税金</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hint="eastAsia" w:ascii="宋体" w:hAnsi="宋体" w:cs="Arial"/>
                <w:kern w:val="0"/>
                <w:sz w:val="20"/>
                <w:szCs w:val="20"/>
              </w:rPr>
            </w:pPr>
            <w:r>
              <w:rPr>
                <w:rFonts w:ascii="宋体" w:hAnsi="宋体" w:cs="Arial"/>
                <w:kern w:val="0"/>
                <w:sz w:val="20"/>
                <w:szCs w:val="20"/>
              </w:rPr>
              <w:t>…</w:t>
            </w:r>
          </w:p>
        </w:tc>
        <w:tc>
          <w:tcPr>
            <w:tcW w:w="5436" w:type="dxa"/>
            <w:noWrap w:val="0"/>
            <w:vAlign w:val="center"/>
          </w:tcPr>
          <w:p>
            <w:pPr>
              <w:widowControl/>
              <w:jc w:val="left"/>
              <w:rPr>
                <w:rFonts w:hint="eastAsia" w:ascii="宋体" w:hAnsi="宋体" w:cs="Arial"/>
                <w:kern w:val="0"/>
                <w:sz w:val="20"/>
                <w:szCs w:val="20"/>
              </w:rPr>
            </w:pPr>
            <w:r>
              <w:rPr>
                <w:rFonts w:ascii="宋体" w:hAnsi="宋体" w:cs="Arial"/>
                <w:kern w:val="0"/>
                <w:sz w:val="20"/>
                <w:szCs w:val="20"/>
              </w:rPr>
              <w:t>…</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hint="eastAsia" w:ascii="宋体" w:hAnsi="宋体" w:cs="Arial"/>
                <w:kern w:val="0"/>
                <w:sz w:val="20"/>
                <w:szCs w:val="20"/>
              </w:rPr>
            </w:pPr>
          </w:p>
        </w:tc>
      </w:tr>
    </w:tbl>
    <w:p>
      <w:pPr>
        <w:rPr>
          <w:rFonts w:hint="eastAsia"/>
          <w:szCs w:val="22"/>
        </w:rPr>
      </w:pPr>
    </w:p>
    <w:p>
      <w:pPr>
        <w:keepNext/>
        <w:keepLines/>
        <w:outlineLvl w:val="3"/>
        <w:rPr>
          <w:rFonts w:hint="eastAsia" w:ascii="宋体" w:hAnsi="宋体"/>
          <w:bCs/>
          <w:szCs w:val="21"/>
        </w:rPr>
      </w:pPr>
      <w:r>
        <w:rPr>
          <w:rFonts w:hint="eastAsia" w:ascii="宋体" w:hAnsi="宋体"/>
          <w:bCs/>
          <w:szCs w:val="21"/>
        </w:rPr>
        <w:t>（二）分部分项工程量清单计价表</w:t>
      </w:r>
      <w:bookmarkEnd w:id="18"/>
      <w:bookmarkEnd w:id="19"/>
      <w:bookmarkEnd w:id="20"/>
      <w:bookmarkEnd w:id="21"/>
    </w:p>
    <w:p>
      <w:pPr>
        <w:rPr>
          <w:rFonts w:hint="eastAsia"/>
          <w:szCs w:val="22"/>
        </w:rPr>
      </w:pPr>
    </w:p>
    <w:tbl>
      <w:tblPr>
        <w:tblStyle w:val="14"/>
        <w:tblW w:w="0" w:type="auto"/>
        <w:jc w:val="center"/>
        <w:tblLayout w:type="fixed"/>
        <w:tblCellMar>
          <w:top w:w="0" w:type="dxa"/>
          <w:left w:w="108" w:type="dxa"/>
          <w:bottom w:w="0" w:type="dxa"/>
          <w:right w:w="108" w:type="dxa"/>
        </w:tblCellMar>
      </w:tblPr>
      <w:tblGrid>
        <w:gridCol w:w="915"/>
        <w:gridCol w:w="1327"/>
        <w:gridCol w:w="1961"/>
        <w:gridCol w:w="1596"/>
        <w:gridCol w:w="668"/>
        <w:gridCol w:w="652"/>
        <w:gridCol w:w="914"/>
        <w:gridCol w:w="914"/>
        <w:gridCol w:w="907"/>
      </w:tblGrid>
      <w:tr>
        <w:tblPrEx>
          <w:tblCellMar>
            <w:top w:w="0" w:type="dxa"/>
            <w:left w:w="108" w:type="dxa"/>
            <w:bottom w:w="0" w:type="dxa"/>
            <w:right w:w="108" w:type="dxa"/>
          </w:tblCellMar>
        </w:tblPrEx>
        <w:trPr>
          <w:trHeight w:val="1248" w:hRule="atLeast"/>
          <w:jc w:val="center"/>
        </w:trPr>
        <w:tc>
          <w:tcPr>
            <w:tcW w:w="9854" w:type="dxa"/>
            <w:gridSpan w:val="9"/>
            <w:tcBorders>
              <w:top w:val="nil"/>
              <w:left w:val="nil"/>
              <w:right w:val="nil"/>
            </w:tcBorders>
            <w:noWrap w:val="0"/>
            <w:vAlign w:val="top"/>
          </w:tcPr>
          <w:p>
            <w:pPr>
              <w:autoSpaceDE w:val="0"/>
              <w:autoSpaceDN w:val="0"/>
              <w:adjustRightInd w:val="0"/>
              <w:jc w:val="center"/>
              <w:rPr>
                <w:rFonts w:ascii="宋体" w:hAnsi="Arial" w:cs="宋体"/>
                <w:kern w:val="0"/>
                <w:szCs w:val="21"/>
              </w:rPr>
            </w:pPr>
            <w:r>
              <w:rPr>
                <w:rFonts w:hint="eastAsia" w:ascii="宋体" w:hAnsi="Arial" w:cs="宋体"/>
                <w:bCs/>
                <w:kern w:val="0"/>
                <w:szCs w:val="21"/>
              </w:rPr>
              <w:t>分部分项工程量清单与计价表</w:t>
            </w:r>
          </w:p>
        </w:tc>
      </w:tr>
      <w:tr>
        <w:tblPrEx>
          <w:tblCellMar>
            <w:top w:w="0" w:type="dxa"/>
            <w:left w:w="108" w:type="dxa"/>
            <w:bottom w:w="0" w:type="dxa"/>
            <w:right w:w="108" w:type="dxa"/>
          </w:tblCellMar>
        </w:tblPrEx>
        <w:trPr>
          <w:trHeight w:val="336" w:hRule="atLeast"/>
          <w:jc w:val="center"/>
        </w:trPr>
        <w:tc>
          <w:tcPr>
            <w:tcW w:w="2242" w:type="dxa"/>
            <w:gridSpan w:val="2"/>
            <w:tcBorders>
              <w:top w:val="nil"/>
              <w:left w:val="nil"/>
              <w:bottom w:val="single" w:color="auto" w:sz="6" w:space="0"/>
              <w:right w:val="nil"/>
            </w:tcBorders>
            <w:noWrap w:val="0"/>
            <w:vAlign w:val="top"/>
          </w:tcPr>
          <w:p>
            <w:pPr>
              <w:autoSpaceDE w:val="0"/>
              <w:autoSpaceDN w:val="0"/>
              <w:adjustRightInd w:val="0"/>
              <w:jc w:val="left"/>
              <w:rPr>
                <w:rFonts w:ascii="宋体" w:hAnsi="Arial" w:cs="宋体"/>
                <w:kern w:val="0"/>
                <w:sz w:val="20"/>
                <w:szCs w:val="20"/>
              </w:rPr>
            </w:pPr>
            <w:r>
              <w:rPr>
                <w:rFonts w:hint="eastAsia" w:ascii="宋体" w:hAnsi="Arial" w:cs="宋体"/>
                <w:kern w:val="0"/>
                <w:sz w:val="20"/>
                <w:szCs w:val="20"/>
              </w:rPr>
              <w:t>工程名称</w:t>
            </w:r>
            <w:r>
              <w:rPr>
                <w:rFonts w:ascii="宋体" w:hAnsi="Arial" w:cs="宋体"/>
                <w:kern w:val="0"/>
                <w:sz w:val="20"/>
                <w:szCs w:val="20"/>
              </w:rPr>
              <w:t xml:space="preserve">: </w:t>
            </w:r>
          </w:p>
        </w:tc>
        <w:tc>
          <w:tcPr>
            <w:tcW w:w="1961"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1596" w:type="dxa"/>
            <w:tcBorders>
              <w:top w:val="nil"/>
              <w:left w:val="nil"/>
              <w:bottom w:val="single" w:color="auto" w:sz="6" w:space="0"/>
              <w:right w:val="nil"/>
            </w:tcBorders>
            <w:noWrap w:val="0"/>
            <w:vAlign w:val="top"/>
          </w:tcPr>
          <w:p>
            <w:pPr>
              <w:autoSpaceDE w:val="0"/>
              <w:autoSpaceDN w:val="0"/>
              <w:adjustRightInd w:val="0"/>
              <w:jc w:val="left"/>
              <w:rPr>
                <w:rFonts w:ascii="宋体" w:hAnsi="Arial" w:cs="宋体"/>
                <w:kern w:val="0"/>
                <w:sz w:val="20"/>
                <w:szCs w:val="20"/>
              </w:rPr>
            </w:pPr>
          </w:p>
        </w:tc>
        <w:tc>
          <w:tcPr>
            <w:tcW w:w="668"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652"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914"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1821" w:type="dxa"/>
            <w:gridSpan w:val="2"/>
            <w:tcBorders>
              <w:top w:val="nil"/>
              <w:left w:val="nil"/>
              <w:bottom w:val="single" w:color="auto" w:sz="6" w:space="0"/>
              <w:right w:val="nil"/>
            </w:tcBorders>
            <w:noWrap w:val="0"/>
            <w:vAlign w:val="top"/>
          </w:tcPr>
          <w:p>
            <w:pPr>
              <w:wordWrap w:val="0"/>
              <w:autoSpaceDE w:val="0"/>
              <w:autoSpaceDN w:val="0"/>
              <w:adjustRightInd w:val="0"/>
              <w:jc w:val="right"/>
              <w:rPr>
                <w:rFonts w:ascii="宋体" w:hAnsi="Arial" w:cs="宋体"/>
                <w:kern w:val="0"/>
                <w:sz w:val="20"/>
                <w:szCs w:val="20"/>
              </w:rPr>
            </w:pPr>
          </w:p>
        </w:tc>
      </w:tr>
      <w:tr>
        <w:tblPrEx>
          <w:tblCellMar>
            <w:top w:w="0" w:type="dxa"/>
            <w:left w:w="108" w:type="dxa"/>
            <w:bottom w:w="0" w:type="dxa"/>
            <w:right w:w="108" w:type="dxa"/>
          </w:tblCellMar>
        </w:tblPrEx>
        <w:trPr>
          <w:trHeight w:val="367" w:hRule="atLeast"/>
          <w:jc w:val="center"/>
        </w:trPr>
        <w:tc>
          <w:tcPr>
            <w:tcW w:w="915" w:type="dxa"/>
            <w:tcBorders>
              <w:top w:val="single" w:color="auto" w:sz="6" w:space="0"/>
              <w:left w:val="single" w:color="auto"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序号</w:t>
            </w:r>
          </w:p>
        </w:tc>
        <w:tc>
          <w:tcPr>
            <w:tcW w:w="1327"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项目编码</w:t>
            </w:r>
          </w:p>
        </w:tc>
        <w:tc>
          <w:tcPr>
            <w:tcW w:w="1961"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项目名称</w:t>
            </w:r>
          </w:p>
        </w:tc>
        <w:tc>
          <w:tcPr>
            <w:tcW w:w="1596"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18"/>
                <w:szCs w:val="18"/>
              </w:rPr>
            </w:pPr>
            <w:r>
              <w:rPr>
                <w:rFonts w:hint="eastAsia" w:ascii="宋体" w:hAnsi="Arial" w:cs="宋体"/>
                <w:kern w:val="0"/>
                <w:sz w:val="18"/>
                <w:szCs w:val="18"/>
              </w:rPr>
              <w:t>项目特征描述</w:t>
            </w:r>
          </w:p>
        </w:tc>
        <w:tc>
          <w:tcPr>
            <w:tcW w:w="668"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计量</w:t>
            </w:r>
          </w:p>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单位</w:t>
            </w:r>
          </w:p>
        </w:tc>
        <w:tc>
          <w:tcPr>
            <w:tcW w:w="652"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工程量</w:t>
            </w:r>
          </w:p>
        </w:tc>
        <w:tc>
          <w:tcPr>
            <w:tcW w:w="914" w:type="dxa"/>
            <w:tcBorders>
              <w:top w:val="single" w:color="auto" w:sz="6" w:space="0"/>
              <w:left w:val="single" w:color="000000" w:sz="6" w:space="0"/>
              <w:bottom w:val="single" w:color="000000" w:sz="6" w:space="0"/>
              <w:right w:val="nil"/>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金额</w:t>
            </w:r>
            <w:r>
              <w:rPr>
                <w:rFonts w:ascii="宋体" w:hAnsi="Arial" w:cs="宋体"/>
                <w:kern w:val="0"/>
                <w:sz w:val="20"/>
                <w:szCs w:val="20"/>
              </w:rPr>
              <w:t>(</w:t>
            </w:r>
            <w:r>
              <w:rPr>
                <w:rFonts w:hint="eastAsia" w:ascii="宋体" w:hAnsi="Arial" w:cs="宋体"/>
                <w:kern w:val="0"/>
                <w:sz w:val="20"/>
                <w:szCs w:val="20"/>
              </w:rPr>
              <w:t>元</w:t>
            </w:r>
            <w:r>
              <w:rPr>
                <w:rFonts w:ascii="宋体" w:hAnsi="Arial" w:cs="宋体"/>
                <w:kern w:val="0"/>
                <w:sz w:val="20"/>
                <w:szCs w:val="20"/>
              </w:rPr>
              <w:t>)</w:t>
            </w:r>
          </w:p>
        </w:tc>
        <w:tc>
          <w:tcPr>
            <w:tcW w:w="914" w:type="dxa"/>
            <w:tcBorders>
              <w:top w:val="single" w:color="auto" w:sz="6" w:space="0"/>
              <w:left w:val="nil"/>
              <w:bottom w:val="single" w:color="000000" w:sz="6" w:space="0"/>
              <w:right w:val="nil"/>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907" w:type="dxa"/>
            <w:tcBorders>
              <w:top w:val="single" w:color="auto" w:sz="6" w:space="0"/>
              <w:left w:val="nil"/>
              <w:bottom w:val="single" w:color="000000"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r>
      <w:tr>
        <w:tblPrEx>
          <w:tblCellMar>
            <w:top w:w="0" w:type="dxa"/>
            <w:left w:w="108" w:type="dxa"/>
            <w:bottom w:w="0" w:type="dxa"/>
            <w:right w:w="108" w:type="dxa"/>
          </w:tblCellMar>
        </w:tblPrEx>
        <w:trPr>
          <w:trHeight w:val="1039" w:hRule="atLeast"/>
          <w:jc w:val="center"/>
        </w:trPr>
        <w:tc>
          <w:tcPr>
            <w:tcW w:w="915" w:type="dxa"/>
            <w:tcBorders>
              <w:top w:val="nil"/>
              <w:left w:val="single" w:color="auto"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1327"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1961"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1596"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68"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652"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914" w:type="dxa"/>
            <w:tcBorders>
              <w:top w:val="single" w:color="000000" w:sz="6" w:space="0"/>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914" w:type="dxa"/>
            <w:tcBorders>
              <w:top w:val="single" w:color="000000" w:sz="6" w:space="0"/>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合价</w:t>
            </w:r>
          </w:p>
        </w:tc>
        <w:tc>
          <w:tcPr>
            <w:tcW w:w="907" w:type="dxa"/>
            <w:tcBorders>
              <w:top w:val="single" w:color="000000" w:sz="6" w:space="0"/>
              <w:left w:val="single" w:color="000000"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材料设备</w:t>
            </w:r>
          </w:p>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暂估合价</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nil"/>
            </w:tcBorders>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本页小计</w:t>
            </w:r>
          </w:p>
        </w:tc>
        <w:tc>
          <w:tcPr>
            <w:tcW w:w="1327"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1961"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1596"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668"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914"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center"/>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rFonts w:ascii="宋体" w:hAnsi="Arial" w:cs="宋体"/>
                <w:kern w:val="0"/>
                <w:sz w:val="20"/>
                <w:szCs w:val="20"/>
              </w:rPr>
            </w:pPr>
          </w:p>
        </w:tc>
        <w:tc>
          <w:tcPr>
            <w:tcW w:w="9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rFonts w:ascii="宋体" w:hAnsi="Arial" w:cs="宋体"/>
                <w:kern w:val="0"/>
                <w:sz w:val="18"/>
                <w:szCs w:val="18"/>
              </w:rPr>
            </w:pPr>
          </w:p>
        </w:tc>
      </w:tr>
    </w:tbl>
    <w:p>
      <w:pPr>
        <w:keepNext/>
        <w:keepLines/>
        <w:outlineLvl w:val="3"/>
        <w:rPr>
          <w:rFonts w:hint="eastAsia" w:ascii="宋体" w:hAnsi="宋体"/>
          <w:bCs/>
          <w:szCs w:val="21"/>
        </w:rPr>
      </w:pPr>
      <w:bookmarkStart w:id="22" w:name="_Toc71860055"/>
      <w:bookmarkStart w:id="23" w:name="_Toc101074897"/>
      <w:bookmarkStart w:id="24" w:name="_Toc84303617"/>
      <w:bookmarkStart w:id="25" w:name="_Toc100052466"/>
    </w:p>
    <w:p>
      <w:pPr>
        <w:rPr>
          <w:rFonts w:hint="eastAsia"/>
          <w:szCs w:val="22"/>
        </w:rPr>
      </w:pPr>
    </w:p>
    <w:p>
      <w:pPr>
        <w:rPr>
          <w:rFonts w:hint="eastAsia"/>
          <w:szCs w:val="22"/>
        </w:rPr>
      </w:pPr>
    </w:p>
    <w:p>
      <w:pPr>
        <w:rPr>
          <w:rFonts w:hint="eastAsia"/>
          <w:szCs w:val="22"/>
        </w:rPr>
      </w:pPr>
    </w:p>
    <w:p>
      <w:pPr>
        <w:rPr>
          <w:szCs w:val="22"/>
        </w:rPr>
      </w:pPr>
      <w:r>
        <w:rPr>
          <w:rFonts w:hint="eastAsia" w:ascii="宋体" w:hAnsi="宋体"/>
          <w:szCs w:val="21"/>
        </w:rPr>
        <w:t>（三）</w:t>
      </w:r>
      <w:r>
        <w:rPr>
          <w:rFonts w:hint="eastAsia"/>
          <w:bCs/>
          <w:szCs w:val="22"/>
        </w:rPr>
        <w:t>措施项目清单与计价表</w:t>
      </w:r>
    </w:p>
    <w:tbl>
      <w:tblPr>
        <w:tblStyle w:val="14"/>
        <w:tblW w:w="0" w:type="auto"/>
        <w:jc w:val="center"/>
        <w:tblLayout w:type="fixed"/>
        <w:tblCellMar>
          <w:top w:w="0" w:type="dxa"/>
          <w:left w:w="108" w:type="dxa"/>
          <w:bottom w:w="0" w:type="dxa"/>
          <w:right w:w="108" w:type="dxa"/>
        </w:tblCellMar>
      </w:tblPr>
      <w:tblGrid>
        <w:gridCol w:w="616"/>
        <w:gridCol w:w="1409"/>
        <w:gridCol w:w="2044"/>
        <w:gridCol w:w="2044"/>
        <w:gridCol w:w="696"/>
        <w:gridCol w:w="930"/>
        <w:gridCol w:w="1017"/>
        <w:gridCol w:w="1098"/>
      </w:tblGrid>
      <w:tr>
        <w:tblPrEx>
          <w:tblCellMar>
            <w:top w:w="0" w:type="dxa"/>
            <w:left w:w="108" w:type="dxa"/>
            <w:bottom w:w="0" w:type="dxa"/>
            <w:right w:w="108" w:type="dxa"/>
          </w:tblCellMar>
        </w:tblPrEx>
        <w:trPr>
          <w:trHeight w:val="379" w:hRule="atLeast"/>
          <w:jc w:val="center"/>
        </w:trPr>
        <w:tc>
          <w:tcPr>
            <w:tcW w:w="9854" w:type="dxa"/>
            <w:gridSpan w:val="8"/>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措施项目清单与计价表</w:t>
            </w:r>
          </w:p>
        </w:tc>
      </w:tr>
      <w:tr>
        <w:tblPrEx>
          <w:tblCellMar>
            <w:top w:w="0" w:type="dxa"/>
            <w:left w:w="108" w:type="dxa"/>
            <w:bottom w:w="0" w:type="dxa"/>
            <w:right w:w="108" w:type="dxa"/>
          </w:tblCellMar>
        </w:tblPrEx>
        <w:trPr>
          <w:trHeight w:val="75" w:hRule="atLeast"/>
          <w:jc w:val="center"/>
        </w:trPr>
        <w:tc>
          <w:tcPr>
            <w:tcW w:w="9854" w:type="dxa"/>
            <w:gridSpan w:val="8"/>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4069" w:type="dxa"/>
            <w:gridSpan w:val="3"/>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工程名称: </w:t>
            </w:r>
          </w:p>
        </w:tc>
        <w:tc>
          <w:tcPr>
            <w:tcW w:w="3670" w:type="dxa"/>
            <w:gridSpan w:val="3"/>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115" w:type="dxa"/>
            <w:gridSpan w:val="2"/>
            <w:tcBorders>
              <w:top w:val="nil"/>
              <w:left w:val="nil"/>
              <w:bottom w:val="nil"/>
              <w:right w:val="nil"/>
            </w:tcBorders>
            <w:noWrap w:val="0"/>
            <w:vAlign w:val="bottom"/>
          </w:tcPr>
          <w:p>
            <w:pPr>
              <w:widowControl/>
              <w:wordWrap w:val="0"/>
              <w:jc w:val="righ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616" w:type="dxa"/>
            <w:vMerge w:val="restart"/>
            <w:tcBorders>
              <w:top w:val="single" w:color="auto" w:sz="4" w:space="0"/>
              <w:left w:val="single" w:color="auto"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409"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项目编码</w:t>
            </w:r>
          </w:p>
        </w:tc>
        <w:tc>
          <w:tcPr>
            <w:tcW w:w="2044"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044"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项目特征描述</w:t>
            </w:r>
          </w:p>
        </w:tc>
        <w:tc>
          <w:tcPr>
            <w:tcW w:w="696"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930"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工程量</w:t>
            </w:r>
          </w:p>
        </w:tc>
        <w:tc>
          <w:tcPr>
            <w:tcW w:w="2115"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79" w:hRule="atLeast"/>
          <w:jc w:val="center"/>
        </w:trPr>
        <w:tc>
          <w:tcPr>
            <w:tcW w:w="616" w:type="dxa"/>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409"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44"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44"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96"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930"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017" w:type="dxa"/>
            <w:tcBorders>
              <w:top w:val="nil"/>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综合单价</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合价</w:t>
            </w:r>
          </w:p>
        </w:tc>
      </w:tr>
      <w:tr>
        <w:tblPrEx>
          <w:tblCellMar>
            <w:top w:w="0" w:type="dxa"/>
            <w:left w:w="108" w:type="dxa"/>
            <w:bottom w:w="0" w:type="dxa"/>
            <w:right w:w="108" w:type="dxa"/>
          </w:tblCellMar>
        </w:tblPrEx>
        <w:trPr>
          <w:trHeight w:val="364" w:hRule="atLeast"/>
          <w:jc w:val="center"/>
        </w:trPr>
        <w:tc>
          <w:tcPr>
            <w:tcW w:w="61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0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4" w:hRule="atLeast"/>
          <w:jc w:val="center"/>
        </w:trPr>
        <w:tc>
          <w:tcPr>
            <w:tcW w:w="61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0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8756"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本页小计</w:t>
            </w:r>
          </w:p>
        </w:tc>
        <w:tc>
          <w:tcPr>
            <w:tcW w:w="109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jc w:val="center"/>
        </w:trPr>
        <w:tc>
          <w:tcPr>
            <w:tcW w:w="8756" w:type="dxa"/>
            <w:gridSpan w:val="7"/>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w:t>
            </w:r>
          </w:p>
        </w:tc>
      </w:tr>
      <w:tr>
        <w:tblPrEx>
          <w:tblCellMar>
            <w:top w:w="0" w:type="dxa"/>
            <w:left w:w="108" w:type="dxa"/>
            <w:bottom w:w="0" w:type="dxa"/>
            <w:right w:w="108" w:type="dxa"/>
          </w:tblCellMar>
        </w:tblPrEx>
        <w:trPr>
          <w:trHeight w:val="379" w:hRule="atLeast"/>
          <w:jc w:val="center"/>
        </w:trPr>
        <w:tc>
          <w:tcPr>
            <w:tcW w:w="9854" w:type="dxa"/>
            <w:gridSpan w:val="8"/>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注：本表适用于以综合单价形式计价的措施项目。</w:t>
            </w:r>
          </w:p>
        </w:tc>
      </w:tr>
    </w:tbl>
    <w:p>
      <w:pPr>
        <w:keepNext/>
        <w:keepLines/>
        <w:outlineLvl w:val="3"/>
        <w:rPr>
          <w:rFonts w:hint="eastAsia" w:ascii="宋体" w:hAnsi="宋体"/>
          <w:bCs/>
          <w:szCs w:val="21"/>
        </w:rPr>
      </w:pPr>
    </w:p>
    <w:p>
      <w:pPr>
        <w:keepNext/>
        <w:keepLines/>
        <w:outlineLvl w:val="3"/>
        <w:rPr>
          <w:rFonts w:hint="eastAsia" w:ascii="宋体" w:hAnsi="宋体"/>
          <w:bCs/>
          <w:szCs w:val="21"/>
        </w:rPr>
      </w:pPr>
      <w:r>
        <w:rPr>
          <w:rFonts w:hint="eastAsia" w:ascii="宋体" w:hAnsi="宋体"/>
          <w:bCs/>
          <w:szCs w:val="21"/>
        </w:rPr>
        <w:t>（四）措施项目费</w:t>
      </w:r>
      <w:bookmarkEnd w:id="22"/>
      <w:r>
        <w:rPr>
          <w:rFonts w:hint="eastAsia" w:ascii="宋体" w:hAnsi="宋体"/>
          <w:bCs/>
          <w:szCs w:val="21"/>
        </w:rPr>
        <w:t>计价汇总表</w:t>
      </w:r>
      <w:bookmarkEnd w:id="23"/>
      <w:bookmarkEnd w:id="24"/>
      <w:bookmarkEnd w:id="25"/>
    </w:p>
    <w:p>
      <w:pPr>
        <w:spacing w:after="120" w:afterLines="50" w:line="360" w:lineRule="auto"/>
        <w:rPr>
          <w:rFonts w:hint="eastAsia" w:ascii="宋体" w:hAnsi="宋体"/>
          <w:szCs w:val="21"/>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w:t>
      </w:r>
      <w:bookmarkStart w:id="26" w:name="_Toc71860056"/>
      <w:bookmarkStart w:id="27" w:name="_Toc100052467"/>
      <w:bookmarkStart w:id="28" w:name="_Toc101074898"/>
      <w:bookmarkStart w:id="29" w:name="_Toc84303618"/>
    </w:p>
    <w:tbl>
      <w:tblPr>
        <w:tblStyle w:val="14"/>
        <w:tblW w:w="0" w:type="auto"/>
        <w:jc w:val="center"/>
        <w:tblLayout w:type="fixed"/>
        <w:tblCellMar>
          <w:top w:w="0" w:type="dxa"/>
          <w:left w:w="108" w:type="dxa"/>
          <w:bottom w:w="0" w:type="dxa"/>
          <w:right w:w="108" w:type="dxa"/>
        </w:tblCellMar>
      </w:tblPr>
      <w:tblGrid>
        <w:gridCol w:w="1025"/>
        <w:gridCol w:w="2414"/>
        <w:gridCol w:w="4001"/>
        <w:gridCol w:w="2414"/>
      </w:tblGrid>
      <w:tr>
        <w:tblPrEx>
          <w:tblCellMar>
            <w:top w:w="0" w:type="dxa"/>
            <w:left w:w="108" w:type="dxa"/>
            <w:bottom w:w="0" w:type="dxa"/>
            <w:right w:w="108" w:type="dxa"/>
          </w:tblCellMar>
        </w:tblPrEx>
        <w:trPr>
          <w:trHeight w:val="379" w:hRule="atLeast"/>
          <w:jc w:val="center"/>
        </w:trPr>
        <w:tc>
          <w:tcPr>
            <w:tcW w:w="9854" w:type="dxa"/>
            <w:gridSpan w:val="4"/>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措施项目清单与计价汇总表</w:t>
            </w:r>
          </w:p>
        </w:tc>
      </w:tr>
      <w:tr>
        <w:tblPrEx>
          <w:tblCellMar>
            <w:top w:w="0" w:type="dxa"/>
            <w:left w:w="108" w:type="dxa"/>
            <w:bottom w:w="0" w:type="dxa"/>
            <w:right w:w="108" w:type="dxa"/>
          </w:tblCellMar>
        </w:tblPrEx>
        <w:trPr>
          <w:trHeight w:val="75" w:hRule="atLeast"/>
          <w:jc w:val="center"/>
        </w:trPr>
        <w:tc>
          <w:tcPr>
            <w:tcW w:w="9854" w:type="dxa"/>
            <w:gridSpan w:val="4"/>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3439" w:type="dxa"/>
            <w:gridSpan w:val="2"/>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4001" w:type="dxa"/>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          标段：</w:t>
            </w:r>
          </w:p>
        </w:tc>
        <w:tc>
          <w:tcPr>
            <w:tcW w:w="2414" w:type="dxa"/>
            <w:tcBorders>
              <w:top w:val="nil"/>
              <w:left w:val="nil"/>
              <w:bottom w:val="nil"/>
              <w:right w:val="nil"/>
            </w:tcBorders>
            <w:noWrap w:val="0"/>
            <w:vAlign w:val="bottom"/>
          </w:tcPr>
          <w:p>
            <w:pPr>
              <w:widowControl/>
              <w:jc w:val="right"/>
              <w:rPr>
                <w:rFonts w:ascii="宋体" w:hAnsi="宋体" w:cs="宋体"/>
                <w:kern w:val="0"/>
                <w:sz w:val="20"/>
                <w:szCs w:val="20"/>
              </w:rPr>
            </w:pPr>
            <w:r>
              <w:rPr>
                <w:rFonts w:hint="eastAsia" w:ascii="宋体" w:hAnsi="宋体" w:cs="宋体"/>
                <w:kern w:val="0"/>
                <w:sz w:val="20"/>
                <w:szCs w:val="20"/>
              </w:rPr>
              <w:t>第1页 共1页</w:t>
            </w:r>
          </w:p>
        </w:tc>
      </w:tr>
      <w:tr>
        <w:tblPrEx>
          <w:tblCellMar>
            <w:top w:w="0" w:type="dxa"/>
            <w:left w:w="108" w:type="dxa"/>
            <w:bottom w:w="0" w:type="dxa"/>
            <w:right w:w="108" w:type="dxa"/>
          </w:tblCellMar>
        </w:tblPrEx>
        <w:trPr>
          <w:trHeight w:val="379" w:hRule="atLeast"/>
          <w:jc w:val="center"/>
        </w:trPr>
        <w:tc>
          <w:tcPr>
            <w:tcW w:w="1025"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6415"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41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64"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5"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7440"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24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jc w:val="center"/>
        </w:trPr>
        <w:tc>
          <w:tcPr>
            <w:tcW w:w="9854" w:type="dxa"/>
            <w:gridSpan w:val="4"/>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注：专业工程措施项目费可根据工程实际在本表中补充。</w:t>
            </w:r>
          </w:p>
        </w:tc>
      </w:tr>
    </w:tbl>
    <w:p>
      <w:pPr>
        <w:keepNext/>
        <w:keepLines/>
        <w:outlineLvl w:val="3"/>
        <w:rPr>
          <w:rFonts w:hint="eastAsia" w:ascii="宋体" w:hAnsi="宋体"/>
          <w:bCs/>
          <w:szCs w:val="21"/>
        </w:rPr>
      </w:pPr>
    </w:p>
    <w:p>
      <w:pPr>
        <w:keepNext/>
        <w:keepLines/>
        <w:outlineLvl w:val="3"/>
        <w:rPr>
          <w:rFonts w:hint="eastAsia" w:ascii="宋体" w:hAnsi="宋体"/>
          <w:bCs/>
          <w:szCs w:val="21"/>
        </w:rPr>
      </w:pPr>
      <w:r>
        <w:rPr>
          <w:rFonts w:hint="eastAsia" w:ascii="宋体" w:hAnsi="宋体"/>
          <w:bCs/>
          <w:szCs w:val="21"/>
        </w:rPr>
        <w:t>（五）</w:t>
      </w:r>
      <w:bookmarkEnd w:id="26"/>
      <w:bookmarkEnd w:id="27"/>
      <w:bookmarkEnd w:id="28"/>
      <w:bookmarkEnd w:id="29"/>
      <w:bookmarkStart w:id="30" w:name="_Toc100052468"/>
      <w:bookmarkStart w:id="31" w:name="_Toc101074899"/>
      <w:r>
        <w:rPr>
          <w:rFonts w:hint="eastAsia" w:ascii="宋体" w:hAnsi="宋体"/>
          <w:bCs/>
          <w:szCs w:val="21"/>
        </w:rPr>
        <w:t>其他项目清单与计价汇总表</w:t>
      </w:r>
    </w:p>
    <w:tbl>
      <w:tblPr>
        <w:tblStyle w:val="14"/>
        <w:tblW w:w="0" w:type="auto"/>
        <w:jc w:val="center"/>
        <w:tblLayout w:type="fixed"/>
        <w:tblCellMar>
          <w:top w:w="0" w:type="dxa"/>
          <w:left w:w="108" w:type="dxa"/>
          <w:bottom w:w="0" w:type="dxa"/>
          <w:right w:w="108" w:type="dxa"/>
        </w:tblCellMar>
      </w:tblPr>
      <w:tblGrid>
        <w:gridCol w:w="1490"/>
        <w:gridCol w:w="2363"/>
        <w:gridCol w:w="1141"/>
        <w:gridCol w:w="2769"/>
        <w:gridCol w:w="2091"/>
      </w:tblGrid>
      <w:tr>
        <w:tblPrEx>
          <w:tblCellMar>
            <w:top w:w="0" w:type="dxa"/>
            <w:left w:w="108" w:type="dxa"/>
            <w:bottom w:w="0" w:type="dxa"/>
            <w:right w:w="108" w:type="dxa"/>
          </w:tblCellMar>
        </w:tblPrEx>
        <w:trPr>
          <w:trHeight w:val="379" w:hRule="atLeast"/>
          <w:jc w:val="center"/>
        </w:trPr>
        <w:tc>
          <w:tcPr>
            <w:tcW w:w="9854" w:type="dxa"/>
            <w:gridSpan w:val="5"/>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其他项目清单与计价汇总表</w:t>
            </w:r>
          </w:p>
        </w:tc>
      </w:tr>
      <w:tr>
        <w:tblPrEx>
          <w:tblCellMar>
            <w:top w:w="0" w:type="dxa"/>
            <w:left w:w="108" w:type="dxa"/>
            <w:bottom w:w="0" w:type="dxa"/>
            <w:right w:w="108" w:type="dxa"/>
          </w:tblCellMar>
        </w:tblPrEx>
        <w:trPr>
          <w:trHeight w:val="75" w:hRule="atLeast"/>
          <w:jc w:val="center"/>
        </w:trPr>
        <w:tc>
          <w:tcPr>
            <w:tcW w:w="9854" w:type="dxa"/>
            <w:gridSpan w:val="5"/>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3853" w:type="dxa"/>
            <w:gridSpan w:val="2"/>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910" w:type="dxa"/>
            <w:gridSpan w:val="2"/>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91" w:type="dxa"/>
            <w:tcBorders>
              <w:top w:val="nil"/>
              <w:left w:val="nil"/>
              <w:bottom w:val="nil"/>
              <w:right w:val="nil"/>
            </w:tcBorders>
            <w:noWrap w:val="0"/>
            <w:vAlign w:val="bottom"/>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379" w:hRule="atLeast"/>
          <w:jc w:val="center"/>
        </w:trPr>
        <w:tc>
          <w:tcPr>
            <w:tcW w:w="1490"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3504"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769"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c>
          <w:tcPr>
            <w:tcW w:w="209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trHeight w:val="349" w:hRule="atLeast"/>
          <w:jc w:val="center"/>
        </w:trPr>
        <w:tc>
          <w:tcPr>
            <w:tcW w:w="14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6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9" w:hRule="atLeast"/>
          <w:jc w:val="center"/>
        </w:trPr>
        <w:tc>
          <w:tcPr>
            <w:tcW w:w="14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6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4994"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2769"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w:t>
            </w:r>
          </w:p>
        </w:tc>
        <w:tc>
          <w:tcPr>
            <w:tcW w:w="20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jc w:val="center"/>
        </w:trPr>
        <w:tc>
          <w:tcPr>
            <w:tcW w:w="9854" w:type="dxa"/>
            <w:gridSpan w:val="5"/>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注：编制招标控制价时，材料设备暂估价计入清单项目综合单价，此处不汇总。</w:t>
            </w:r>
          </w:p>
        </w:tc>
      </w:tr>
    </w:tbl>
    <w:p>
      <w:pPr>
        <w:rPr>
          <w:rFonts w:hint="eastAsia"/>
          <w:szCs w:val="22"/>
        </w:rPr>
      </w:pPr>
    </w:p>
    <w:p>
      <w:pPr>
        <w:keepNext/>
        <w:keepLines/>
        <w:numPr>
          <w:ilvl w:val="0"/>
          <w:numId w:val="14"/>
        </w:numPr>
        <w:outlineLvl w:val="3"/>
        <w:rPr>
          <w:rFonts w:hint="eastAsia" w:ascii="宋体" w:hAnsi="宋体"/>
          <w:bCs/>
          <w:szCs w:val="21"/>
        </w:rPr>
      </w:pPr>
      <w:r>
        <w:rPr>
          <w:rFonts w:hint="eastAsia" w:ascii="宋体" w:hAnsi="宋体"/>
          <w:bCs/>
          <w:szCs w:val="21"/>
        </w:rPr>
        <w:t>规费税金项目清单与计价表</w:t>
      </w:r>
    </w:p>
    <w:p>
      <w:pPr>
        <w:rPr>
          <w:szCs w:val="22"/>
        </w:rPr>
      </w:pPr>
    </w:p>
    <w:p>
      <w:pPr>
        <w:rPr>
          <w:szCs w:val="22"/>
        </w:rPr>
      </w:pPr>
    </w:p>
    <w:tbl>
      <w:tblPr>
        <w:tblStyle w:val="14"/>
        <w:tblW w:w="0" w:type="auto"/>
        <w:jc w:val="center"/>
        <w:tblLayout w:type="fixed"/>
        <w:tblCellMar>
          <w:top w:w="0" w:type="dxa"/>
          <w:left w:w="108" w:type="dxa"/>
          <w:bottom w:w="0" w:type="dxa"/>
          <w:right w:w="108" w:type="dxa"/>
        </w:tblCellMar>
      </w:tblPr>
      <w:tblGrid>
        <w:gridCol w:w="760"/>
        <w:gridCol w:w="4000"/>
        <w:gridCol w:w="3100"/>
        <w:gridCol w:w="1000"/>
        <w:gridCol w:w="1340"/>
      </w:tblGrid>
      <w:tr>
        <w:tblPrEx>
          <w:tblCellMar>
            <w:top w:w="0" w:type="dxa"/>
            <w:left w:w="108" w:type="dxa"/>
            <w:bottom w:w="0" w:type="dxa"/>
            <w:right w:w="108" w:type="dxa"/>
          </w:tblCellMar>
        </w:tblPrEx>
        <w:trPr>
          <w:trHeight w:val="574" w:hRule="atLeast"/>
          <w:jc w:val="center"/>
        </w:trPr>
        <w:tc>
          <w:tcPr>
            <w:tcW w:w="10200" w:type="dxa"/>
            <w:gridSpan w:val="5"/>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规费税金项目清单与计价表</w:t>
            </w:r>
          </w:p>
        </w:tc>
      </w:tr>
      <w:tr>
        <w:tblPrEx>
          <w:tblCellMar>
            <w:top w:w="0" w:type="dxa"/>
            <w:left w:w="108" w:type="dxa"/>
            <w:bottom w:w="0" w:type="dxa"/>
            <w:right w:w="108" w:type="dxa"/>
          </w:tblCellMar>
        </w:tblPrEx>
        <w:trPr>
          <w:trHeight w:val="75" w:hRule="atLeast"/>
          <w:jc w:val="center"/>
        </w:trPr>
        <w:tc>
          <w:tcPr>
            <w:tcW w:w="10200" w:type="dxa"/>
            <w:gridSpan w:val="5"/>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4760" w:type="dxa"/>
            <w:gridSpan w:val="2"/>
            <w:tcBorders>
              <w:top w:val="nil"/>
              <w:left w:val="nil"/>
              <w:bottom w:val="nil"/>
              <w:right w:val="nil"/>
            </w:tcBorders>
            <w:noWrap w:val="0"/>
            <w:vAlign w:val="bottom"/>
          </w:tcPr>
          <w:p>
            <w:pPr>
              <w:widowControl/>
              <w:rPr>
                <w:rFonts w:ascii="宋体" w:hAnsi="宋体" w:cs="宋体"/>
                <w:kern w:val="0"/>
                <w:sz w:val="20"/>
                <w:szCs w:val="20"/>
              </w:rPr>
            </w:pPr>
            <w:r>
              <w:rPr>
                <w:rFonts w:hint="eastAsia" w:ascii="宋体" w:hAnsi="宋体" w:cs="宋体"/>
                <w:kern w:val="0"/>
                <w:sz w:val="20"/>
                <w:szCs w:val="20"/>
              </w:rPr>
              <w:t>工程名称:</w:t>
            </w:r>
          </w:p>
        </w:tc>
        <w:tc>
          <w:tcPr>
            <w:tcW w:w="3100" w:type="dxa"/>
            <w:tcBorders>
              <w:top w:val="nil"/>
              <w:left w:val="nil"/>
              <w:bottom w:val="nil"/>
              <w:right w:val="nil"/>
            </w:tcBorders>
            <w:noWrap w:val="0"/>
            <w:vAlign w:val="bottom"/>
          </w:tcPr>
          <w:p>
            <w:pPr>
              <w:widowControl/>
              <w:rPr>
                <w:rFonts w:ascii="宋体" w:hAnsi="宋体" w:cs="宋体"/>
                <w:kern w:val="0"/>
                <w:sz w:val="20"/>
                <w:szCs w:val="20"/>
              </w:rPr>
            </w:pPr>
            <w:r>
              <w:rPr>
                <w:rFonts w:hint="eastAsia" w:ascii="宋体" w:hAnsi="宋体" w:cs="宋体"/>
                <w:kern w:val="0"/>
                <w:sz w:val="20"/>
                <w:szCs w:val="20"/>
              </w:rPr>
              <w:t>标段：</w:t>
            </w:r>
          </w:p>
        </w:tc>
        <w:tc>
          <w:tcPr>
            <w:tcW w:w="2340" w:type="dxa"/>
            <w:gridSpan w:val="2"/>
            <w:tcBorders>
              <w:top w:val="nil"/>
              <w:left w:val="nil"/>
              <w:bottom w:val="nil"/>
              <w:right w:val="nil"/>
            </w:tcBorders>
            <w:noWrap w:val="0"/>
            <w:vAlign w:val="bottom"/>
          </w:tcPr>
          <w:p>
            <w:pPr>
              <w:widowControl/>
              <w:rPr>
                <w:rFonts w:ascii="宋体" w:hAnsi="宋体" w:cs="宋体"/>
                <w:kern w:val="0"/>
                <w:sz w:val="20"/>
                <w:szCs w:val="20"/>
              </w:rPr>
            </w:pPr>
            <w:r>
              <w:rPr>
                <w:rFonts w:hint="eastAsia" w:ascii="宋体" w:hAnsi="宋体" w:cs="宋体"/>
                <w:kern w:val="0"/>
                <w:sz w:val="20"/>
                <w:szCs w:val="20"/>
              </w:rPr>
              <w:t>第1页 共1页</w:t>
            </w:r>
          </w:p>
        </w:tc>
      </w:tr>
      <w:tr>
        <w:tblPrEx>
          <w:tblCellMar>
            <w:top w:w="0" w:type="dxa"/>
            <w:left w:w="108" w:type="dxa"/>
            <w:bottom w:w="0" w:type="dxa"/>
            <w:right w:w="108" w:type="dxa"/>
          </w:tblCellMar>
        </w:tblPrEx>
        <w:trPr>
          <w:trHeight w:val="349" w:hRule="atLeast"/>
          <w:jc w:val="center"/>
        </w:trPr>
        <w:tc>
          <w:tcPr>
            <w:tcW w:w="760"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序号</w:t>
            </w:r>
          </w:p>
        </w:tc>
        <w:tc>
          <w:tcPr>
            <w:tcW w:w="4000" w:type="dxa"/>
            <w:tcBorders>
              <w:top w:val="single" w:color="auto" w:sz="4" w:space="0"/>
              <w:left w:val="nil"/>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项目名称</w:t>
            </w:r>
          </w:p>
        </w:tc>
        <w:tc>
          <w:tcPr>
            <w:tcW w:w="3100" w:type="dxa"/>
            <w:tcBorders>
              <w:top w:val="single" w:color="auto" w:sz="4" w:space="0"/>
              <w:left w:val="nil"/>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计算基础</w:t>
            </w:r>
          </w:p>
        </w:tc>
        <w:tc>
          <w:tcPr>
            <w:tcW w:w="1000" w:type="dxa"/>
            <w:tcBorders>
              <w:top w:val="single" w:color="auto" w:sz="4" w:space="0"/>
              <w:left w:val="nil"/>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费率(%)</w:t>
            </w:r>
          </w:p>
        </w:tc>
        <w:tc>
          <w:tcPr>
            <w:tcW w:w="134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49"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 w:val="20"/>
                <w:szCs w:val="20"/>
              </w:rPr>
            </w:pPr>
          </w:p>
        </w:tc>
        <w:tc>
          <w:tcPr>
            <w:tcW w:w="4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31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34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364"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 w:val="20"/>
                <w:szCs w:val="20"/>
              </w:rPr>
            </w:pPr>
          </w:p>
        </w:tc>
        <w:tc>
          <w:tcPr>
            <w:tcW w:w="4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31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34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349" w:hRule="atLeast"/>
          <w:jc w:val="center"/>
        </w:trPr>
        <w:tc>
          <w:tcPr>
            <w:tcW w:w="8860"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rPr>
                <w:rFonts w:ascii="宋体" w:hAnsi="宋体" w:cs="宋体"/>
                <w:kern w:val="0"/>
                <w:sz w:val="18"/>
                <w:szCs w:val="18"/>
              </w:rPr>
            </w:pPr>
            <w:r>
              <w:rPr>
                <w:rFonts w:hint="eastAsia" w:ascii="宋体" w:hAnsi="宋体" w:cs="宋体"/>
                <w:kern w:val="0"/>
                <w:sz w:val="18"/>
                <w:szCs w:val="18"/>
              </w:rPr>
              <w:t>合  计</w:t>
            </w:r>
          </w:p>
        </w:tc>
        <w:tc>
          <w:tcPr>
            <w:tcW w:w="134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kern w:val="0"/>
                <w:sz w:val="18"/>
                <w:szCs w:val="18"/>
              </w:rPr>
            </w:pPr>
          </w:p>
        </w:tc>
      </w:tr>
    </w:tbl>
    <w:p>
      <w:pPr>
        <w:keepNext/>
        <w:keepLines/>
        <w:outlineLvl w:val="3"/>
        <w:rPr>
          <w:rFonts w:hint="eastAsia" w:ascii="宋体" w:hAnsi="宋体"/>
          <w:bCs/>
          <w:szCs w:val="21"/>
        </w:rPr>
      </w:pPr>
    </w:p>
    <w:p>
      <w:pPr>
        <w:keepNext/>
        <w:keepLines/>
        <w:outlineLvl w:val="3"/>
        <w:rPr>
          <w:rFonts w:hint="eastAsia" w:ascii="宋体" w:hAnsi="宋体"/>
          <w:bCs/>
          <w:szCs w:val="21"/>
        </w:rPr>
      </w:pPr>
      <w:r>
        <w:rPr>
          <w:rFonts w:hint="eastAsia" w:ascii="宋体" w:hAnsi="宋体"/>
          <w:bCs/>
          <w:szCs w:val="21"/>
        </w:rPr>
        <w:t>（七）材料设备表</w:t>
      </w:r>
      <w:bookmarkEnd w:id="14"/>
      <w:bookmarkEnd w:id="15"/>
      <w:bookmarkEnd w:id="16"/>
      <w:bookmarkEnd w:id="30"/>
      <w:bookmarkEnd w:id="31"/>
    </w:p>
    <w:p>
      <w:pPr>
        <w:spacing w:line="360" w:lineRule="auto"/>
        <w:rPr>
          <w:rFonts w:hint="eastAsia" w:ascii="宋体" w:hAnsi="宋体"/>
          <w:b/>
          <w:bCs/>
          <w:szCs w:val="21"/>
        </w:rPr>
      </w:pPr>
      <w:r>
        <w:rPr>
          <w:rFonts w:hint="eastAsia" w:ascii="宋体" w:hAnsi="宋体"/>
          <w:szCs w:val="21"/>
        </w:rPr>
        <w:t>工程名称：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59"/>
        <w:gridCol w:w="861"/>
        <w:gridCol w:w="765"/>
        <w:gridCol w:w="940"/>
        <w:gridCol w:w="1068"/>
        <w:gridCol w:w="1358"/>
        <w:gridCol w:w="145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jc w:val="center"/>
              <w:rPr>
                <w:rFonts w:hint="eastAsia" w:ascii="宋体" w:hAnsi="宋体"/>
                <w:szCs w:val="21"/>
              </w:rPr>
            </w:pPr>
            <w:r>
              <w:rPr>
                <w:rFonts w:hint="eastAsia" w:ascii="宋体" w:hAnsi="宋体"/>
                <w:szCs w:val="21"/>
              </w:rPr>
              <w:t>序号</w:t>
            </w:r>
          </w:p>
        </w:tc>
        <w:tc>
          <w:tcPr>
            <w:tcW w:w="1659" w:type="dxa"/>
            <w:noWrap w:val="0"/>
            <w:vAlign w:val="center"/>
          </w:tcPr>
          <w:p>
            <w:pPr>
              <w:jc w:val="center"/>
              <w:rPr>
                <w:rFonts w:hint="eastAsia" w:ascii="宋体" w:hAnsi="宋体"/>
                <w:szCs w:val="21"/>
              </w:rPr>
            </w:pPr>
            <w:r>
              <w:rPr>
                <w:rFonts w:hint="eastAsia" w:ascii="宋体" w:hAnsi="宋体"/>
                <w:szCs w:val="21"/>
              </w:rPr>
              <w:t>设备（材料）名称</w:t>
            </w:r>
          </w:p>
        </w:tc>
        <w:tc>
          <w:tcPr>
            <w:tcW w:w="861" w:type="dxa"/>
            <w:noWrap w:val="0"/>
            <w:vAlign w:val="center"/>
          </w:tcPr>
          <w:p>
            <w:pPr>
              <w:jc w:val="center"/>
              <w:rPr>
                <w:rFonts w:hint="eastAsia" w:ascii="宋体" w:hAnsi="宋体"/>
                <w:szCs w:val="21"/>
              </w:rPr>
            </w:pPr>
            <w:r>
              <w:rPr>
                <w:rFonts w:hint="eastAsia" w:ascii="宋体" w:hAnsi="宋体"/>
                <w:szCs w:val="21"/>
              </w:rPr>
              <w:t>规格/型号</w:t>
            </w:r>
          </w:p>
        </w:tc>
        <w:tc>
          <w:tcPr>
            <w:tcW w:w="765" w:type="dxa"/>
            <w:noWrap w:val="0"/>
            <w:vAlign w:val="center"/>
          </w:tcPr>
          <w:p>
            <w:pPr>
              <w:jc w:val="center"/>
              <w:rPr>
                <w:rFonts w:hint="eastAsia" w:ascii="宋体" w:hAnsi="宋体"/>
                <w:szCs w:val="21"/>
              </w:rPr>
            </w:pPr>
            <w:r>
              <w:rPr>
                <w:rFonts w:hint="eastAsia" w:ascii="宋体" w:hAnsi="宋体"/>
                <w:szCs w:val="21"/>
              </w:rPr>
              <w:t>品牌</w:t>
            </w:r>
          </w:p>
        </w:tc>
        <w:tc>
          <w:tcPr>
            <w:tcW w:w="940" w:type="dxa"/>
            <w:noWrap w:val="0"/>
            <w:vAlign w:val="center"/>
          </w:tcPr>
          <w:p>
            <w:pPr>
              <w:jc w:val="center"/>
              <w:rPr>
                <w:rFonts w:hint="eastAsia" w:ascii="宋体" w:hAnsi="宋体"/>
                <w:szCs w:val="21"/>
              </w:rPr>
            </w:pPr>
            <w:r>
              <w:rPr>
                <w:rFonts w:hint="eastAsia" w:ascii="宋体" w:hAnsi="宋体"/>
                <w:szCs w:val="21"/>
              </w:rPr>
              <w:t>数量</w:t>
            </w:r>
          </w:p>
        </w:tc>
        <w:tc>
          <w:tcPr>
            <w:tcW w:w="1068" w:type="dxa"/>
            <w:noWrap w:val="0"/>
            <w:vAlign w:val="center"/>
          </w:tcPr>
          <w:p>
            <w:pPr>
              <w:jc w:val="center"/>
              <w:rPr>
                <w:rFonts w:hint="eastAsia" w:ascii="宋体" w:hAnsi="宋体"/>
                <w:szCs w:val="21"/>
              </w:rPr>
            </w:pPr>
            <w:r>
              <w:rPr>
                <w:rFonts w:hint="eastAsia" w:ascii="宋体" w:hAnsi="宋体"/>
                <w:szCs w:val="21"/>
              </w:rPr>
              <w:t>产地</w:t>
            </w:r>
          </w:p>
        </w:tc>
        <w:tc>
          <w:tcPr>
            <w:tcW w:w="1358" w:type="dxa"/>
            <w:noWrap w:val="0"/>
            <w:vAlign w:val="center"/>
          </w:tcPr>
          <w:p>
            <w:pPr>
              <w:jc w:val="center"/>
              <w:rPr>
                <w:rFonts w:hint="eastAsia" w:ascii="宋体" w:hAnsi="宋体"/>
                <w:szCs w:val="21"/>
              </w:rPr>
            </w:pPr>
            <w:r>
              <w:rPr>
                <w:rFonts w:hint="eastAsia" w:ascii="宋体" w:hAnsi="宋体"/>
                <w:szCs w:val="21"/>
              </w:rPr>
              <w:t>材料设备单价（元）</w:t>
            </w:r>
          </w:p>
        </w:tc>
        <w:tc>
          <w:tcPr>
            <w:tcW w:w="1454" w:type="dxa"/>
            <w:noWrap w:val="0"/>
            <w:vAlign w:val="center"/>
          </w:tcPr>
          <w:p>
            <w:pPr>
              <w:jc w:val="center"/>
              <w:rPr>
                <w:rFonts w:hint="eastAsia" w:ascii="宋体" w:hAnsi="宋体"/>
                <w:szCs w:val="21"/>
              </w:rPr>
            </w:pPr>
            <w:r>
              <w:rPr>
                <w:rFonts w:hint="eastAsia" w:ascii="宋体" w:hAnsi="宋体"/>
                <w:szCs w:val="21"/>
              </w:rPr>
              <w:t>材料设备总价（元）</w:t>
            </w:r>
          </w:p>
        </w:tc>
        <w:tc>
          <w:tcPr>
            <w:tcW w:w="1112"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top"/>
          </w:tcPr>
          <w:p>
            <w:pPr>
              <w:jc w:val="center"/>
              <w:rPr>
                <w:rFonts w:hint="eastAsia" w:ascii="宋体" w:hAnsi="宋体"/>
                <w:szCs w:val="21"/>
              </w:rPr>
            </w:pPr>
          </w:p>
        </w:tc>
        <w:tc>
          <w:tcPr>
            <w:tcW w:w="1659" w:type="dxa"/>
            <w:noWrap w:val="0"/>
            <w:vAlign w:val="top"/>
          </w:tcPr>
          <w:p>
            <w:pPr>
              <w:jc w:val="center"/>
              <w:rPr>
                <w:rFonts w:hint="eastAsia" w:ascii="宋体" w:hAnsi="宋体"/>
                <w:szCs w:val="21"/>
              </w:rPr>
            </w:pPr>
          </w:p>
        </w:tc>
        <w:tc>
          <w:tcPr>
            <w:tcW w:w="861" w:type="dxa"/>
            <w:noWrap w:val="0"/>
            <w:vAlign w:val="top"/>
          </w:tcPr>
          <w:p>
            <w:pPr>
              <w:jc w:val="center"/>
              <w:rPr>
                <w:rFonts w:hint="eastAsia" w:ascii="宋体" w:hAnsi="宋体"/>
                <w:szCs w:val="21"/>
              </w:rPr>
            </w:pPr>
          </w:p>
        </w:tc>
        <w:tc>
          <w:tcPr>
            <w:tcW w:w="765" w:type="dxa"/>
            <w:noWrap w:val="0"/>
            <w:vAlign w:val="top"/>
          </w:tcPr>
          <w:p>
            <w:pPr>
              <w:jc w:val="center"/>
              <w:rPr>
                <w:rFonts w:hint="eastAsia" w:ascii="宋体" w:hAnsi="宋体"/>
                <w:szCs w:val="21"/>
              </w:rPr>
            </w:pPr>
          </w:p>
        </w:tc>
        <w:tc>
          <w:tcPr>
            <w:tcW w:w="940" w:type="dxa"/>
            <w:noWrap w:val="0"/>
            <w:vAlign w:val="top"/>
          </w:tcPr>
          <w:p>
            <w:pPr>
              <w:jc w:val="center"/>
              <w:rPr>
                <w:rFonts w:hint="eastAsia" w:ascii="宋体" w:hAnsi="宋体"/>
                <w:szCs w:val="21"/>
              </w:rPr>
            </w:pPr>
          </w:p>
        </w:tc>
        <w:tc>
          <w:tcPr>
            <w:tcW w:w="1068" w:type="dxa"/>
            <w:noWrap w:val="0"/>
            <w:vAlign w:val="top"/>
          </w:tcPr>
          <w:p>
            <w:pPr>
              <w:jc w:val="center"/>
              <w:rPr>
                <w:rFonts w:hint="eastAsia" w:ascii="宋体" w:hAnsi="宋体"/>
                <w:szCs w:val="21"/>
              </w:rPr>
            </w:pPr>
          </w:p>
        </w:tc>
        <w:tc>
          <w:tcPr>
            <w:tcW w:w="1358" w:type="dxa"/>
            <w:noWrap w:val="0"/>
            <w:vAlign w:val="top"/>
          </w:tcPr>
          <w:p>
            <w:pPr>
              <w:jc w:val="center"/>
              <w:rPr>
                <w:rFonts w:hint="eastAsia" w:ascii="宋体" w:hAnsi="宋体"/>
                <w:szCs w:val="21"/>
              </w:rPr>
            </w:pPr>
          </w:p>
        </w:tc>
        <w:tc>
          <w:tcPr>
            <w:tcW w:w="1454" w:type="dxa"/>
            <w:noWrap w:val="0"/>
            <w:vAlign w:val="top"/>
          </w:tcPr>
          <w:p>
            <w:pPr>
              <w:jc w:val="center"/>
              <w:rPr>
                <w:rFonts w:hint="eastAsia" w:ascii="宋体" w:hAnsi="宋体"/>
                <w:szCs w:val="21"/>
              </w:rPr>
            </w:pPr>
          </w:p>
        </w:tc>
        <w:tc>
          <w:tcPr>
            <w:tcW w:w="1112"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top"/>
          </w:tcPr>
          <w:p>
            <w:pPr>
              <w:jc w:val="center"/>
              <w:rPr>
                <w:rFonts w:hint="eastAsia" w:ascii="宋体" w:hAnsi="宋体"/>
                <w:szCs w:val="21"/>
              </w:rPr>
            </w:pPr>
          </w:p>
        </w:tc>
        <w:tc>
          <w:tcPr>
            <w:tcW w:w="1659" w:type="dxa"/>
            <w:noWrap w:val="0"/>
            <w:vAlign w:val="top"/>
          </w:tcPr>
          <w:p>
            <w:pPr>
              <w:jc w:val="center"/>
              <w:rPr>
                <w:rFonts w:hint="eastAsia" w:ascii="宋体" w:hAnsi="宋体"/>
                <w:szCs w:val="21"/>
              </w:rPr>
            </w:pPr>
          </w:p>
        </w:tc>
        <w:tc>
          <w:tcPr>
            <w:tcW w:w="861" w:type="dxa"/>
            <w:noWrap w:val="0"/>
            <w:vAlign w:val="top"/>
          </w:tcPr>
          <w:p>
            <w:pPr>
              <w:jc w:val="center"/>
              <w:rPr>
                <w:rFonts w:hint="eastAsia" w:ascii="宋体" w:hAnsi="宋体"/>
                <w:szCs w:val="21"/>
              </w:rPr>
            </w:pPr>
          </w:p>
        </w:tc>
        <w:tc>
          <w:tcPr>
            <w:tcW w:w="765" w:type="dxa"/>
            <w:noWrap w:val="0"/>
            <w:vAlign w:val="top"/>
          </w:tcPr>
          <w:p>
            <w:pPr>
              <w:jc w:val="center"/>
              <w:rPr>
                <w:rFonts w:hint="eastAsia" w:ascii="宋体" w:hAnsi="宋体"/>
                <w:szCs w:val="21"/>
              </w:rPr>
            </w:pPr>
          </w:p>
        </w:tc>
        <w:tc>
          <w:tcPr>
            <w:tcW w:w="940" w:type="dxa"/>
            <w:noWrap w:val="0"/>
            <w:vAlign w:val="top"/>
          </w:tcPr>
          <w:p>
            <w:pPr>
              <w:jc w:val="center"/>
              <w:rPr>
                <w:rFonts w:hint="eastAsia" w:ascii="宋体" w:hAnsi="宋体"/>
                <w:szCs w:val="21"/>
              </w:rPr>
            </w:pPr>
          </w:p>
        </w:tc>
        <w:tc>
          <w:tcPr>
            <w:tcW w:w="1068" w:type="dxa"/>
            <w:noWrap w:val="0"/>
            <w:vAlign w:val="top"/>
          </w:tcPr>
          <w:p>
            <w:pPr>
              <w:jc w:val="center"/>
              <w:rPr>
                <w:rFonts w:hint="eastAsia" w:ascii="宋体" w:hAnsi="宋体"/>
                <w:szCs w:val="21"/>
              </w:rPr>
            </w:pPr>
          </w:p>
        </w:tc>
        <w:tc>
          <w:tcPr>
            <w:tcW w:w="1358" w:type="dxa"/>
            <w:noWrap w:val="0"/>
            <w:vAlign w:val="top"/>
          </w:tcPr>
          <w:p>
            <w:pPr>
              <w:jc w:val="center"/>
              <w:rPr>
                <w:rFonts w:hint="eastAsia" w:ascii="宋体" w:hAnsi="宋体"/>
                <w:szCs w:val="21"/>
              </w:rPr>
            </w:pPr>
          </w:p>
        </w:tc>
        <w:tc>
          <w:tcPr>
            <w:tcW w:w="1454" w:type="dxa"/>
            <w:noWrap w:val="0"/>
            <w:vAlign w:val="top"/>
          </w:tcPr>
          <w:p>
            <w:pPr>
              <w:jc w:val="center"/>
              <w:rPr>
                <w:rFonts w:hint="eastAsia" w:ascii="宋体" w:hAnsi="宋体"/>
                <w:szCs w:val="21"/>
              </w:rPr>
            </w:pPr>
          </w:p>
        </w:tc>
        <w:tc>
          <w:tcPr>
            <w:tcW w:w="1112"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top"/>
          </w:tcPr>
          <w:p>
            <w:pPr>
              <w:jc w:val="center"/>
              <w:rPr>
                <w:rFonts w:hint="eastAsia" w:ascii="宋体" w:hAnsi="宋体"/>
                <w:szCs w:val="21"/>
              </w:rPr>
            </w:pPr>
          </w:p>
        </w:tc>
        <w:tc>
          <w:tcPr>
            <w:tcW w:w="1659" w:type="dxa"/>
            <w:noWrap w:val="0"/>
            <w:vAlign w:val="top"/>
          </w:tcPr>
          <w:p>
            <w:pPr>
              <w:jc w:val="center"/>
              <w:rPr>
                <w:rFonts w:hint="eastAsia" w:ascii="宋体" w:hAnsi="宋体"/>
                <w:szCs w:val="21"/>
              </w:rPr>
            </w:pPr>
          </w:p>
        </w:tc>
        <w:tc>
          <w:tcPr>
            <w:tcW w:w="861" w:type="dxa"/>
            <w:noWrap w:val="0"/>
            <w:vAlign w:val="top"/>
          </w:tcPr>
          <w:p>
            <w:pPr>
              <w:jc w:val="center"/>
              <w:rPr>
                <w:rFonts w:hint="eastAsia" w:ascii="宋体" w:hAnsi="宋体"/>
                <w:szCs w:val="21"/>
              </w:rPr>
            </w:pPr>
          </w:p>
        </w:tc>
        <w:tc>
          <w:tcPr>
            <w:tcW w:w="765" w:type="dxa"/>
            <w:noWrap w:val="0"/>
            <w:vAlign w:val="top"/>
          </w:tcPr>
          <w:p>
            <w:pPr>
              <w:jc w:val="center"/>
              <w:rPr>
                <w:rFonts w:hint="eastAsia" w:ascii="宋体" w:hAnsi="宋体"/>
                <w:szCs w:val="21"/>
              </w:rPr>
            </w:pPr>
          </w:p>
        </w:tc>
        <w:tc>
          <w:tcPr>
            <w:tcW w:w="940" w:type="dxa"/>
            <w:noWrap w:val="0"/>
            <w:vAlign w:val="top"/>
          </w:tcPr>
          <w:p>
            <w:pPr>
              <w:jc w:val="center"/>
              <w:rPr>
                <w:rFonts w:hint="eastAsia" w:ascii="宋体" w:hAnsi="宋体"/>
                <w:szCs w:val="21"/>
              </w:rPr>
            </w:pPr>
          </w:p>
        </w:tc>
        <w:tc>
          <w:tcPr>
            <w:tcW w:w="1068" w:type="dxa"/>
            <w:noWrap w:val="0"/>
            <w:vAlign w:val="top"/>
          </w:tcPr>
          <w:p>
            <w:pPr>
              <w:jc w:val="center"/>
              <w:rPr>
                <w:rFonts w:hint="eastAsia" w:ascii="宋体" w:hAnsi="宋体"/>
                <w:szCs w:val="21"/>
              </w:rPr>
            </w:pPr>
          </w:p>
        </w:tc>
        <w:tc>
          <w:tcPr>
            <w:tcW w:w="1358" w:type="dxa"/>
            <w:noWrap w:val="0"/>
            <w:vAlign w:val="top"/>
          </w:tcPr>
          <w:p>
            <w:pPr>
              <w:jc w:val="center"/>
              <w:rPr>
                <w:rFonts w:hint="eastAsia" w:ascii="宋体" w:hAnsi="宋体"/>
                <w:szCs w:val="21"/>
              </w:rPr>
            </w:pPr>
          </w:p>
        </w:tc>
        <w:tc>
          <w:tcPr>
            <w:tcW w:w="1454" w:type="dxa"/>
            <w:noWrap w:val="0"/>
            <w:vAlign w:val="top"/>
          </w:tcPr>
          <w:p>
            <w:pPr>
              <w:jc w:val="center"/>
              <w:rPr>
                <w:rFonts w:hint="eastAsia" w:ascii="宋体" w:hAnsi="宋体"/>
                <w:szCs w:val="21"/>
              </w:rPr>
            </w:pPr>
          </w:p>
        </w:tc>
        <w:tc>
          <w:tcPr>
            <w:tcW w:w="1112" w:type="dxa"/>
            <w:noWrap w:val="0"/>
            <w:vAlign w:val="top"/>
          </w:tcPr>
          <w:p>
            <w:pPr>
              <w:jc w:val="center"/>
              <w:rPr>
                <w:rFonts w:hint="eastAsia" w:ascii="宋体" w:hAnsi="宋体"/>
                <w:szCs w:val="21"/>
              </w:rPr>
            </w:pPr>
          </w:p>
        </w:tc>
      </w:tr>
      <w:bookmarkEnd w:id="17"/>
    </w:tbl>
    <w:p>
      <w:pPr>
        <w:rPr>
          <w:rFonts w:ascii="宋体" w:hAnsi="宋体" w:cs="宋体"/>
          <w:sz w:val="24"/>
        </w:rPr>
      </w:pPr>
    </w:p>
    <w:p>
      <w:pPr>
        <w:pStyle w:val="3"/>
        <w:jc w:val="center"/>
        <w:rPr>
          <w:rFonts w:hint="eastAsia" w:ascii="宋体" w:hAnsi="宋体" w:eastAsia="宋体" w:cs="宋体"/>
          <w:b/>
          <w:bCs w:val="0"/>
          <w:kern w:val="2"/>
          <w:sz w:val="28"/>
          <w:szCs w:val="28"/>
          <w:lang w:val="en-US" w:eastAsia="zh-CN" w:bidi="ar-SA"/>
        </w:rPr>
      </w:pPr>
      <w:r>
        <w:rPr>
          <w:rFonts w:hint="eastAsia" w:cs="宋体"/>
          <w:b/>
          <w:bCs w:val="0"/>
          <w:kern w:val="2"/>
          <w:sz w:val="28"/>
          <w:szCs w:val="28"/>
          <w:lang w:val="en-US" w:eastAsia="zh-CN" w:bidi="ar-SA"/>
        </w:rPr>
        <w:t>七</w:t>
      </w:r>
      <w:r>
        <w:rPr>
          <w:rFonts w:hint="eastAsia" w:ascii="宋体" w:hAnsi="宋体" w:eastAsia="宋体" w:cs="宋体"/>
          <w:b/>
          <w:bCs w:val="0"/>
          <w:kern w:val="2"/>
          <w:sz w:val="28"/>
          <w:szCs w:val="28"/>
          <w:lang w:val="en-US" w:eastAsia="zh-CN" w:bidi="ar-SA"/>
        </w:rPr>
        <w:t>、商务需求偏离表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序号</w:t>
            </w:r>
          </w:p>
        </w:tc>
        <w:tc>
          <w:tcPr>
            <w:tcW w:w="10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目录</w:t>
            </w:r>
          </w:p>
        </w:tc>
        <w:tc>
          <w:tcPr>
            <w:tcW w:w="19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招标商务条款</w:t>
            </w:r>
          </w:p>
        </w:tc>
        <w:tc>
          <w:tcPr>
            <w:tcW w:w="19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lang w:eastAsia="zh-CN"/>
              </w:rPr>
              <w:t>响应</w:t>
            </w:r>
            <w:r>
              <w:rPr>
                <w:rFonts w:hint="eastAsia" w:ascii="宋体" w:hAnsi="宋体" w:eastAsia="宋体" w:cs="宋体"/>
                <w:color w:val="auto"/>
                <w:kern w:val="0"/>
                <w:sz w:val="22"/>
                <w:szCs w:val="22"/>
                <w:highlight w:val="none"/>
                <w:shd w:val="clear" w:color="auto" w:fill="FFFFFF"/>
              </w:rPr>
              <w:t>商务条款</w:t>
            </w:r>
          </w:p>
        </w:tc>
        <w:tc>
          <w:tcPr>
            <w:tcW w:w="144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偏离情况</w:t>
            </w:r>
          </w:p>
        </w:tc>
        <w:tc>
          <w:tcPr>
            <w:tcW w:w="1164"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eastAsia"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rPr>
          <w:rFonts w:ascii="宋体" w:hAnsi="宋体" w:cs="宋体"/>
        </w:rPr>
      </w:pPr>
    </w:p>
    <w:p>
      <w:pPr>
        <w:pStyle w:val="3"/>
        <w:jc w:val="center"/>
        <w:rPr>
          <w:rFonts w:hint="eastAsia" w:ascii="宋体" w:hAnsi="宋体" w:eastAsia="宋体" w:cs="宋体"/>
          <w:b/>
          <w:bCs/>
          <w:kern w:val="0"/>
          <w:sz w:val="28"/>
          <w:szCs w:val="28"/>
        </w:rPr>
      </w:pPr>
      <w:r>
        <w:rPr>
          <w:rFonts w:hint="eastAsia" w:cs="宋体"/>
          <w:b/>
          <w:bCs/>
          <w:kern w:val="0"/>
          <w:sz w:val="28"/>
          <w:szCs w:val="28"/>
          <w:lang w:val="en-US" w:eastAsia="zh-CN"/>
        </w:rPr>
        <w:t>八</w:t>
      </w:r>
      <w:r>
        <w:rPr>
          <w:rFonts w:hint="eastAsia" w:ascii="宋体" w:hAnsi="宋体" w:eastAsia="宋体" w:cs="宋体"/>
          <w:b/>
          <w:bCs/>
          <w:kern w:val="0"/>
          <w:sz w:val="28"/>
          <w:szCs w:val="28"/>
        </w:rPr>
        <w:t>、技术保障措施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hint="eastAsia" w:ascii="宋体" w:hAnsi="宋体" w:eastAsia="宋体" w:cs="宋体"/>
          <w:b/>
          <w:bCs/>
          <w:kern w:val="0"/>
          <w:sz w:val="28"/>
          <w:szCs w:val="28"/>
        </w:rPr>
      </w:pPr>
      <w:r>
        <w:rPr>
          <w:rFonts w:hint="eastAsia" w:cs="宋体"/>
          <w:b/>
          <w:bCs/>
          <w:kern w:val="0"/>
          <w:sz w:val="28"/>
          <w:szCs w:val="28"/>
          <w:lang w:val="en-US" w:eastAsia="zh-CN"/>
        </w:rPr>
        <w:t>九</w:t>
      </w:r>
      <w:r>
        <w:rPr>
          <w:rFonts w:hint="eastAsia" w:ascii="宋体" w:hAnsi="宋体" w:eastAsia="宋体" w:cs="宋体"/>
          <w:b/>
          <w:bCs/>
          <w:kern w:val="0"/>
          <w:sz w:val="28"/>
          <w:szCs w:val="28"/>
        </w:rPr>
        <w:t>、实施安全保障措施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3"/>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w:t>
      </w:r>
      <w:r>
        <w:rPr>
          <w:rFonts w:hint="eastAsia" w:cs="宋体"/>
          <w:b/>
          <w:bCs/>
          <w:kern w:val="0"/>
          <w:sz w:val="28"/>
          <w:szCs w:val="28"/>
          <w:lang w:val="en-US" w:eastAsia="zh-CN"/>
        </w:rPr>
        <w:t>一</w:t>
      </w:r>
      <w:r>
        <w:rPr>
          <w:rFonts w:hint="eastAsia" w:ascii="宋体" w:hAnsi="宋体" w:eastAsia="宋体" w:cs="宋体"/>
          <w:b/>
          <w:bCs/>
          <w:kern w:val="0"/>
          <w:sz w:val="28"/>
          <w:szCs w:val="28"/>
        </w:rPr>
        <w:t>、售后服务方案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rPr>
          <w:rFonts w:hint="eastAsia" w:ascii="宋体" w:hAnsi="宋体" w:cs="宋体"/>
          <w:b/>
        </w:rPr>
      </w:pPr>
    </w:p>
    <w:p>
      <w:pPr>
        <w:pStyle w:val="4"/>
        <w:numPr>
          <w:ilvl w:val="0"/>
          <w:numId w:val="0"/>
        </w:numPr>
      </w:pP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9FFD6"/>
    <w:multiLevelType w:val="singleLevel"/>
    <w:tmpl w:val="D7C9FFD6"/>
    <w:lvl w:ilvl="0" w:tentative="0">
      <w:start w:val="1"/>
      <w:numFmt w:val="decimal"/>
      <w:lvlText w:val="%1."/>
      <w:lvlJc w:val="left"/>
      <w:pPr>
        <w:tabs>
          <w:tab w:val="left" w:pos="312"/>
        </w:tabs>
      </w:pPr>
    </w:lvl>
  </w:abstractNum>
  <w:abstractNum w:abstractNumId="1">
    <w:nsid w:val="00000000"/>
    <w:multiLevelType w:val="multilevel"/>
    <w:tmpl w:val="00000000"/>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1"/>
    <w:multiLevelType w:val="multilevel"/>
    <w:tmpl w:val="00000001"/>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00000002"/>
    <w:multiLevelType w:val="multilevel"/>
    <w:tmpl w:val="00000002"/>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3"/>
    <w:multiLevelType w:val="multilevel"/>
    <w:tmpl w:val="00000003"/>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0000004"/>
    <w:multiLevelType w:val="multilevel"/>
    <w:tmpl w:val="00000004"/>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0000005"/>
    <w:multiLevelType w:val="multilevel"/>
    <w:tmpl w:val="00000005"/>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0000006"/>
    <w:multiLevelType w:val="singleLevel"/>
    <w:tmpl w:val="00000006"/>
    <w:lvl w:ilvl="0" w:tentative="0">
      <w:start w:val="2"/>
      <w:numFmt w:val="chineseCounting"/>
      <w:suff w:val="space"/>
      <w:lvlText w:val="第%1章"/>
      <w:lvlJc w:val="left"/>
      <w:rPr>
        <w:rFonts w:hint="eastAsia"/>
      </w:rPr>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08"/>
    <w:multiLevelType w:val="multilevel"/>
    <w:tmpl w:val="00000008"/>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00000009"/>
    <w:multiLevelType w:val="multilevel"/>
    <w:tmpl w:val="00000009"/>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545B71"/>
    <w:multiLevelType w:val="singleLevel"/>
    <w:tmpl w:val="59545B71"/>
    <w:lvl w:ilvl="0" w:tentative="0">
      <w:start w:val="6"/>
      <w:numFmt w:val="chineseCounting"/>
      <w:suff w:val="nothing"/>
      <w:lvlText w:val="（%1）"/>
      <w:lvlJc w:val="left"/>
    </w:lvl>
  </w:abstractNum>
  <w:abstractNum w:abstractNumId="1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1"/>
  </w:num>
  <w:num w:numId="4">
    <w:abstractNumId w:val="7"/>
  </w:num>
  <w:num w:numId="5">
    <w:abstractNumId w:val="4"/>
  </w:num>
  <w:num w:numId="6">
    <w:abstractNumId w:val="5"/>
  </w:num>
  <w:num w:numId="7">
    <w:abstractNumId w:val="1"/>
  </w:num>
  <w:num w:numId="8">
    <w:abstractNumId w:val="3"/>
  </w:num>
  <w:num w:numId="9">
    <w:abstractNumId w:val="2"/>
  </w:num>
  <w:num w:numId="10">
    <w:abstractNumId w:val="6"/>
  </w:num>
  <w:num w:numId="11">
    <w:abstractNumId w:val="9"/>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MDM0MzI5MGQ4MjJjNjFiM2IwNjViZGFiYzQyNWYifQ=="/>
  </w:docVars>
  <w:rsids>
    <w:rsidRoot w:val="00000000"/>
    <w:rsid w:val="0AA715C3"/>
    <w:rsid w:val="18D8413D"/>
    <w:rsid w:val="2AF40A13"/>
    <w:rsid w:val="34126D8B"/>
    <w:rsid w:val="41AC3BF0"/>
    <w:rsid w:val="61D7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5">
    <w:name w:val="heading 2"/>
    <w:basedOn w:val="3"/>
    <w:next w:val="4"/>
    <w:qFormat/>
    <w:uiPriority w:val="0"/>
    <w:pPr>
      <w:adjustRightInd w:val="0"/>
      <w:jc w:val="center"/>
      <w:textAlignment w:val="baseline"/>
      <w:outlineLvl w:val="1"/>
    </w:pPr>
    <w:rPr>
      <w:bCs w:val="0"/>
      <w:kern w:val="0"/>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99"/>
    <w:pPr>
      <w:jc w:val="left"/>
    </w:pPr>
    <w:rPr>
      <w:rFonts w:asciiTheme="minorHAnsi" w:hAnsiTheme="minorHAnsi" w:eastAsiaTheme="minorEastAsia" w:cstheme="minorBidi"/>
    </w:r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qFormat/>
    <w:uiPriority w:val="99"/>
    <w:pPr>
      <w:spacing w:after="120"/>
      <w:ind w:left="420" w:leftChars="200"/>
    </w:pPr>
    <w:rPr>
      <w:rFonts w:ascii="Calibri" w:hAnsi="Calibri"/>
      <w:sz w:val="21"/>
      <w:szCs w:val="22"/>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paragraph" w:styleId="13">
    <w:name w:val="Body Text First Indent"/>
    <w:basedOn w:val="8"/>
    <w:qFormat/>
    <w:uiPriority w:val="0"/>
    <w:pPr>
      <w:spacing w:after="120" w:line="240" w:lineRule="auto"/>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character" w:customStyle="1" w:styleId="20">
    <w:name w:val="标题 3 Char"/>
    <w:qFormat/>
    <w:uiPriority w:val="0"/>
    <w:rPr>
      <w:rFonts w:ascii="黑体" w:eastAsia="黑体"/>
      <w:bCs/>
      <w:sz w:val="30"/>
    </w:rPr>
  </w:style>
  <w:style w:type="paragraph" w:styleId="21">
    <w:name w:val="List Paragraph"/>
    <w:basedOn w:val="1"/>
    <w:qFormat/>
    <w:uiPriority w:val="0"/>
    <w:pPr>
      <w:ind w:firstLine="420" w:firstLineChars="200"/>
    </w:p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14362</Words>
  <Characters>14633</Characters>
  <Paragraphs>751</Paragraphs>
  <TotalTime>4</TotalTime>
  <ScaleCrop>false</ScaleCrop>
  <LinksUpToDate>false</LinksUpToDate>
  <CharactersWithSpaces>15533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15001</cp:lastModifiedBy>
  <cp:lastPrinted>2023-10-23T12:02:00Z</cp:lastPrinted>
  <dcterms:modified xsi:type="dcterms:W3CDTF">2023-10-23T15:14:34Z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5A18DF62CE7D4CA1AA7BB8FF7C8F94E3_12</vt:lpwstr>
  </property>
</Properties>
</file>