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视频监控存储扩容项目招标文件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二三年十月</w:t>
      </w:r>
      <w:r>
        <w:rPr>
          <w:rFonts w:hint="eastAsia" w:ascii="宋体" w:hAnsi="宋体" w:cs="宋体"/>
          <w:sz w:val="32"/>
          <w:szCs w:val="32"/>
        </w:rPr>
        <w:br w:type="page"/>
      </w:r>
    </w:p>
    <w:p>
      <w:pPr>
        <w:pStyle w:val="2"/>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深圳市第一职业技术学校视频监控存储扩容项目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货物类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3"/>
        <w:rPr>
          <w:rFonts w:cs="宋体"/>
          <w:szCs w:val="28"/>
        </w:rPr>
      </w:pPr>
      <w:r>
        <w:rPr>
          <w:rFonts w:hint="eastAsia" w:cs="宋体"/>
          <w:szCs w:val="28"/>
        </w:rPr>
        <w:t>投标文件初审表</w:t>
      </w:r>
    </w:p>
    <w:p>
      <w:pPr>
        <w:spacing w:afterLines="36"/>
        <w:jc w:val="center"/>
        <w:rPr>
          <w:rFonts w:ascii="宋体" w:hAnsi="宋体" w:cs="宋体"/>
          <w:b/>
        </w:rPr>
      </w:pPr>
      <w:r>
        <w:rPr>
          <w:rFonts w:hint="eastAsia" w:ascii="宋体" w:hAnsi="宋体" w:cs="宋体"/>
          <w:b/>
        </w:rPr>
        <w:t>（凡有下列情形之一的，投标文件无效，投标作废标处理）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3"/>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3"/>
        <w:jc w:val="both"/>
        <w:rPr>
          <w:rFonts w:cs="宋体"/>
        </w:rPr>
      </w:pPr>
      <w:r>
        <w:rPr>
          <w:rFonts w:hint="eastAsia" w:cs="宋体"/>
        </w:rPr>
        <w:t>评标方法</w:t>
      </w:r>
    </w:p>
    <w:tbl>
      <w:tblPr>
        <w:tblStyle w:val="15"/>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4"/>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4"/>
              <w:widowControl/>
              <w:spacing w:line="324" w:lineRule="auto"/>
              <w:ind w:left="420"/>
              <w:rPr>
                <w:sz w:val="21"/>
                <w:szCs w:val="21"/>
              </w:rPr>
            </w:pPr>
            <w:r>
              <w:rPr>
                <w:sz w:val="21"/>
                <w:szCs w:val="21"/>
              </w:rPr>
              <w:t>投标报价得分=(评标基准价／投标报价)×100</w:t>
            </w:r>
          </w:p>
          <w:p>
            <w:pPr>
              <w:pStyle w:val="14"/>
              <w:widowControl/>
              <w:spacing w:line="324" w:lineRule="auto"/>
              <w:ind w:left="420"/>
              <w:rPr>
                <w:sz w:val="21"/>
                <w:szCs w:val="21"/>
              </w:rPr>
            </w:pPr>
            <w:r>
              <w:rPr>
                <w:sz w:val="21"/>
                <w:szCs w:val="21"/>
              </w:rPr>
              <w:t xml:space="preserve">评标总得分＝F1×A1＋F2×A2＋……＋Fn×An </w:t>
            </w:r>
          </w:p>
          <w:p>
            <w:pPr>
              <w:pStyle w:val="14"/>
              <w:widowControl/>
              <w:spacing w:line="324" w:lineRule="auto"/>
              <w:ind w:left="420"/>
              <w:rPr>
                <w:sz w:val="21"/>
                <w:szCs w:val="21"/>
              </w:rPr>
            </w:pPr>
            <w:r>
              <w:rPr>
                <w:sz w:val="21"/>
                <w:szCs w:val="21"/>
              </w:rPr>
              <w:t xml:space="preserve">F1、F2……Fn分别为各项评审因素的得分； </w:t>
            </w:r>
          </w:p>
          <w:p>
            <w:pPr>
              <w:pStyle w:val="14"/>
              <w:widowControl/>
              <w:spacing w:line="324" w:lineRule="auto"/>
              <w:ind w:left="420"/>
              <w:rPr>
                <w:sz w:val="21"/>
                <w:szCs w:val="21"/>
              </w:rPr>
            </w:pPr>
            <w:r>
              <w:rPr>
                <w:sz w:val="21"/>
                <w:szCs w:val="21"/>
              </w:rPr>
              <w:t xml:space="preserve">A1、A2、……An 分别为各项评审因素所占的权重(A1＋A2＋……＋An＝1)。 </w:t>
            </w:r>
          </w:p>
          <w:p>
            <w:pPr>
              <w:pStyle w:val="14"/>
              <w:widowControl/>
              <w:spacing w:line="324" w:lineRule="auto"/>
              <w:ind w:left="420"/>
              <w:rPr>
                <w:sz w:val="21"/>
                <w:szCs w:val="21"/>
              </w:rPr>
            </w:pPr>
            <w:r>
              <w:rPr>
                <w:sz w:val="21"/>
                <w:szCs w:val="21"/>
              </w:rPr>
              <w:t xml:space="preserve">评标过程中，不得去掉报价中的最高报价和最低报价。 </w:t>
            </w:r>
          </w:p>
          <w:p>
            <w:pPr>
              <w:pStyle w:val="14"/>
              <w:widowControl/>
              <w:spacing w:line="324" w:lineRule="auto"/>
              <w:ind w:left="420"/>
              <w:rPr>
                <w:sz w:val="21"/>
                <w:szCs w:val="21"/>
              </w:rPr>
            </w:pPr>
            <w:r>
              <w:rPr>
                <w:sz w:val="21"/>
                <w:szCs w:val="21"/>
              </w:rPr>
              <w:t>此方法适用于货物类、服务类、工程类项目。</w:t>
            </w:r>
          </w:p>
        </w:tc>
      </w:tr>
    </w:tbl>
    <w:p/>
    <w:p>
      <w:pPr>
        <w:pStyle w:val="10"/>
      </w:pPr>
    </w:p>
    <w:tbl>
      <w:tblPr>
        <w:tblStyle w:val="15"/>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394"/>
        <w:gridCol w:w="28"/>
        <w:gridCol w:w="11"/>
        <w:gridCol w:w="142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序号</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24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1</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240" w:lineRule="exact"/>
              <w:jc w:val="center"/>
              <w:rPr>
                <w:rFonts w:ascii="宋体" w:hAnsi="宋体" w:cs="宋体"/>
                <w:b/>
                <w:color w:val="FF0000"/>
                <w:szCs w:val="21"/>
              </w:rPr>
            </w:pPr>
            <w:r>
              <w:rPr>
                <w:rFonts w:hint="eastAsia" w:ascii="宋体" w:hAnsi="宋体" w:cs="宋体"/>
                <w:b/>
                <w:color w:val="FF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2</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240" w:lineRule="exact"/>
              <w:jc w:val="center"/>
              <w:rPr>
                <w:rFonts w:ascii="宋体" w:hAnsi="宋体" w:cs="宋体"/>
                <w:b/>
                <w:color w:val="FF0000"/>
                <w:szCs w:val="21"/>
              </w:rPr>
            </w:pPr>
            <w:r>
              <w:rPr>
                <w:rFonts w:hint="eastAsia" w:ascii="宋体" w:hAnsi="宋体" w:cs="宋体"/>
                <w:b/>
                <w:color w:val="FF000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jc w:val="center"/>
              <w:rPr>
                <w:rFonts w:ascii="宋体" w:hAnsi="宋体" w:cs="宋体"/>
                <w:szCs w:val="21"/>
              </w:rPr>
            </w:pPr>
          </w:p>
        </w:tc>
        <w:tc>
          <w:tcPr>
            <w:tcW w:w="699" w:type="dxa"/>
            <w:vAlign w:val="center"/>
          </w:tcPr>
          <w:p>
            <w:pPr>
              <w:jc w:val="center"/>
              <w:rPr>
                <w:rFonts w:ascii="宋体" w:hAnsi="宋体" w:cs="宋体"/>
                <w:b/>
                <w:bCs/>
                <w:szCs w:val="21"/>
              </w:rPr>
            </w:pPr>
            <w:r>
              <w:rPr>
                <w:rFonts w:hint="eastAsia" w:ascii="宋体" w:hAnsi="宋体" w:cs="宋体"/>
                <w:b/>
                <w:bCs/>
                <w:szCs w:val="21"/>
              </w:rPr>
              <w:t>序号</w:t>
            </w:r>
          </w:p>
        </w:tc>
        <w:tc>
          <w:tcPr>
            <w:tcW w:w="1433" w:type="dxa"/>
            <w:gridSpan w:val="3"/>
            <w:vAlign w:val="center"/>
          </w:tcPr>
          <w:p>
            <w:pPr>
              <w:jc w:val="center"/>
              <w:rPr>
                <w:rFonts w:ascii="宋体" w:hAnsi="宋体" w:cs="宋体"/>
                <w:b/>
                <w:bCs/>
                <w:szCs w:val="21"/>
              </w:rPr>
            </w:pPr>
            <w:r>
              <w:rPr>
                <w:rFonts w:hint="eastAsia" w:ascii="宋体" w:hAnsi="宋体" w:cs="宋体"/>
                <w:b/>
                <w:bCs/>
                <w:szCs w:val="21"/>
              </w:rPr>
              <w:t>评分因素</w:t>
            </w:r>
          </w:p>
        </w:tc>
        <w:tc>
          <w:tcPr>
            <w:tcW w:w="1420" w:type="dxa"/>
            <w:vAlign w:val="center"/>
          </w:tcPr>
          <w:p>
            <w:pPr>
              <w:jc w:val="center"/>
              <w:rPr>
                <w:rFonts w:ascii="宋体" w:hAnsi="宋体" w:cs="宋体"/>
                <w:b/>
                <w:bCs/>
                <w:szCs w:val="21"/>
              </w:rPr>
            </w:pPr>
            <w:r>
              <w:rPr>
                <w:rFonts w:hint="eastAsia" w:ascii="宋体" w:hAnsi="宋体" w:cs="宋体"/>
                <w:b/>
                <w:bCs/>
                <w:szCs w:val="21"/>
              </w:rPr>
              <w:t>权重</w:t>
            </w:r>
          </w:p>
        </w:tc>
        <w:tc>
          <w:tcPr>
            <w:tcW w:w="4678" w:type="dxa"/>
            <w:vAlign w:val="center"/>
          </w:tcPr>
          <w:p>
            <w:pPr>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433" w:type="dxa"/>
            <w:gridSpan w:val="3"/>
            <w:vAlign w:val="center"/>
          </w:tcPr>
          <w:p>
            <w:pPr>
              <w:wordWrap w:val="0"/>
              <w:jc w:val="center"/>
              <w:rPr>
                <w:rFonts w:ascii="宋体" w:hAnsi="宋体"/>
                <w:szCs w:val="21"/>
              </w:rPr>
            </w:pPr>
            <w:r>
              <w:rPr>
                <w:rFonts w:hint="eastAsia" w:ascii="宋体" w:hAnsi="宋体"/>
                <w:szCs w:val="21"/>
              </w:rPr>
              <w:t>技术</w:t>
            </w:r>
            <w:r>
              <w:rPr>
                <w:rFonts w:ascii="宋体" w:hAnsi="宋体"/>
                <w:szCs w:val="21"/>
              </w:rPr>
              <w:t>参数响应情况</w:t>
            </w:r>
          </w:p>
        </w:tc>
        <w:tc>
          <w:tcPr>
            <w:tcW w:w="1420" w:type="dxa"/>
            <w:vAlign w:val="center"/>
          </w:tcPr>
          <w:p>
            <w:pPr>
              <w:autoSpaceDE w:val="0"/>
              <w:autoSpaceDN w:val="0"/>
              <w:adjustRightInd w:val="0"/>
              <w:jc w:val="center"/>
              <w:rPr>
                <w:rFonts w:ascii="宋体" w:hAnsi="宋体" w:cs="宋体"/>
                <w:kern w:val="0"/>
                <w:sz w:val="22"/>
              </w:rPr>
            </w:pPr>
            <w:r>
              <w:rPr>
                <w:rFonts w:hint="eastAsia" w:ascii="宋体" w:hAnsi="宋体" w:cs="宋体"/>
                <w:kern w:val="0"/>
                <w:szCs w:val="21"/>
              </w:rPr>
              <w:t>39</w:t>
            </w:r>
          </w:p>
        </w:tc>
        <w:tc>
          <w:tcPr>
            <w:tcW w:w="4678" w:type="dxa"/>
          </w:tcPr>
          <w:p>
            <w:pPr>
              <w:wordWrap w:val="0"/>
              <w:rPr>
                <w:rFonts w:ascii="宋体" w:hAnsi="宋体" w:cs="宋体"/>
                <w:szCs w:val="21"/>
              </w:rPr>
            </w:pPr>
            <w:r>
              <w:rPr>
                <w:rFonts w:ascii="宋体" w:hAnsi="宋体"/>
                <w:szCs w:val="21"/>
              </w:rPr>
              <w:t>以投标文件《技术规格偏离表》为评价依据，完全符合招标要求的，得</w:t>
            </w:r>
            <w:r>
              <w:rPr>
                <w:rFonts w:hint="eastAsia" w:ascii="宋体" w:hAnsi="宋体"/>
                <w:szCs w:val="21"/>
                <w:lang w:val="en-US" w:eastAsia="zh-CN"/>
              </w:rPr>
              <w:t>39</w:t>
            </w:r>
            <w:r>
              <w:rPr>
                <w:rFonts w:ascii="宋体" w:hAnsi="宋体"/>
                <w:szCs w:val="21"/>
              </w:rPr>
              <w:t>分，有1项▲参数不符合要求的扣</w:t>
            </w:r>
            <w:r>
              <w:rPr>
                <w:rFonts w:hint="eastAsia" w:ascii="宋体" w:hAnsi="宋体"/>
                <w:szCs w:val="21"/>
              </w:rPr>
              <w:t>5</w:t>
            </w:r>
            <w:r>
              <w:rPr>
                <w:rFonts w:ascii="宋体" w:hAnsi="宋体"/>
                <w:szCs w:val="21"/>
              </w:rPr>
              <w:t>分</w:t>
            </w:r>
            <w:r>
              <w:rPr>
                <w:rFonts w:hint="eastAsia" w:ascii="宋体" w:hAnsi="宋体"/>
                <w:szCs w:val="21"/>
              </w:rPr>
              <w:t>；非</w:t>
            </w:r>
            <w:r>
              <w:rPr>
                <w:rFonts w:ascii="宋体" w:hAnsi="宋体"/>
                <w:szCs w:val="21"/>
              </w:rPr>
              <w:t>▲参数不符合要求的扣</w:t>
            </w:r>
            <w:r>
              <w:rPr>
                <w:rFonts w:hint="eastAsia" w:ascii="宋体" w:hAnsi="宋体"/>
                <w:szCs w:val="21"/>
              </w:rPr>
              <w:t>3</w:t>
            </w:r>
            <w:r>
              <w:rPr>
                <w:rFonts w:ascii="宋体" w:hAnsi="宋体"/>
                <w:szCs w:val="21"/>
              </w:rPr>
              <w:t>分，</w:t>
            </w:r>
            <w:r>
              <w:rPr>
                <w:rFonts w:hint="eastAsia" w:ascii="宋体" w:hAnsi="宋体"/>
                <w:szCs w:val="21"/>
              </w:rPr>
              <w:t>扣完为止</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2</w:t>
            </w:r>
          </w:p>
        </w:tc>
        <w:tc>
          <w:tcPr>
            <w:tcW w:w="1433" w:type="dxa"/>
            <w:gridSpan w:val="3"/>
            <w:vAlign w:val="center"/>
          </w:tcPr>
          <w:p>
            <w:pPr>
              <w:autoSpaceDE w:val="0"/>
              <w:autoSpaceDN w:val="0"/>
              <w:adjustRightInd w:val="0"/>
              <w:spacing w:line="440" w:lineRule="atLeast"/>
              <w:jc w:val="center"/>
              <w:rPr>
                <w:rFonts w:ascii="宋体" w:hAnsi="宋体" w:cs="宋体"/>
                <w:kern w:val="0"/>
                <w:sz w:val="22"/>
                <w:lang w:val="zh-CN"/>
              </w:rPr>
            </w:pPr>
            <w:r>
              <w:rPr>
                <w:rFonts w:hint="eastAsia" w:ascii="宋体" w:hAnsi="宋体" w:cs="宋体"/>
                <w:kern w:val="0"/>
                <w:szCs w:val="21"/>
              </w:rPr>
              <w:t>项目实施方案</w:t>
            </w:r>
          </w:p>
        </w:tc>
        <w:tc>
          <w:tcPr>
            <w:tcW w:w="1420" w:type="dxa"/>
            <w:vAlign w:val="center"/>
          </w:tcPr>
          <w:p>
            <w:pPr>
              <w:autoSpaceDE w:val="0"/>
              <w:autoSpaceDN w:val="0"/>
              <w:adjustRightInd w:val="0"/>
              <w:jc w:val="center"/>
              <w:rPr>
                <w:rFonts w:ascii="宋体" w:hAnsi="宋体" w:cs="宋体"/>
                <w:kern w:val="0"/>
                <w:sz w:val="22"/>
                <w:lang w:val="zh-CN"/>
              </w:rPr>
            </w:pPr>
            <w:r>
              <w:rPr>
                <w:rFonts w:ascii="宋体" w:hAnsi="宋体" w:cs="宋体"/>
                <w:kern w:val="0"/>
                <w:szCs w:val="21"/>
                <w:lang w:val="zh-CN"/>
              </w:rPr>
              <w:t>3</w:t>
            </w:r>
          </w:p>
        </w:tc>
        <w:tc>
          <w:tcPr>
            <w:tcW w:w="4678" w:type="dxa"/>
          </w:tcPr>
          <w:p>
            <w:pPr>
              <w:rPr>
                <w:rFonts w:ascii="宋体" w:hAnsi="宋体" w:cs="宋体"/>
                <w:kern w:val="0"/>
                <w:szCs w:val="21"/>
              </w:rPr>
            </w:pPr>
            <w:r>
              <w:rPr>
                <w:rFonts w:hint="eastAsia" w:ascii="宋体" w:hAnsi="宋体" w:cs="宋体"/>
                <w:kern w:val="0"/>
                <w:szCs w:val="21"/>
              </w:rPr>
              <w:t>对投标人提供的施工组织计划及针对本项目的合理化建议进行评审：</w:t>
            </w:r>
          </w:p>
          <w:p>
            <w:pPr>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实施</w:t>
            </w:r>
            <w:r>
              <w:rPr>
                <w:rFonts w:hint="eastAsia" w:ascii="宋体" w:hAnsi="宋体" w:cs="宋体"/>
                <w:kern w:val="0"/>
                <w:szCs w:val="21"/>
              </w:rPr>
              <w:t>组织计划规划合理，针对本项目的合理化建议可操作性强，得</w:t>
            </w:r>
            <w:r>
              <w:rPr>
                <w:rFonts w:ascii="宋体" w:hAnsi="宋体" w:cs="宋体"/>
                <w:kern w:val="0"/>
                <w:szCs w:val="21"/>
              </w:rPr>
              <w:t>3</w:t>
            </w:r>
            <w:r>
              <w:rPr>
                <w:rFonts w:hint="eastAsia" w:ascii="宋体" w:hAnsi="宋体" w:cs="宋体"/>
                <w:kern w:val="0"/>
                <w:szCs w:val="21"/>
              </w:rPr>
              <w:t>分；</w:t>
            </w:r>
          </w:p>
          <w:p>
            <w:pPr>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实施</w:t>
            </w:r>
            <w:r>
              <w:rPr>
                <w:rFonts w:hint="eastAsia" w:ascii="宋体" w:hAnsi="宋体" w:cs="宋体"/>
                <w:kern w:val="0"/>
                <w:szCs w:val="21"/>
              </w:rPr>
              <w:t>组织计划较规划合理，针对本项目的合理化建议可操作性较强，得</w:t>
            </w:r>
            <w:r>
              <w:rPr>
                <w:rFonts w:ascii="宋体" w:hAnsi="宋体" w:cs="宋体"/>
                <w:kern w:val="0"/>
                <w:szCs w:val="21"/>
              </w:rPr>
              <w:t>2</w:t>
            </w:r>
            <w:r>
              <w:rPr>
                <w:rFonts w:hint="eastAsia" w:ascii="宋体" w:hAnsi="宋体" w:cs="宋体"/>
                <w:kern w:val="0"/>
                <w:szCs w:val="21"/>
              </w:rPr>
              <w:t>分；</w:t>
            </w:r>
          </w:p>
          <w:p>
            <w:pPr>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lang w:eastAsia="zh-CN"/>
              </w:rPr>
              <w:t>实施</w:t>
            </w:r>
            <w:r>
              <w:rPr>
                <w:rFonts w:hint="eastAsia" w:ascii="宋体" w:hAnsi="宋体" w:cs="宋体"/>
                <w:kern w:val="0"/>
                <w:szCs w:val="21"/>
              </w:rPr>
              <w:t>组织计划不够规划合理，针对本项目的合理化建议可操作性不够强，得</w:t>
            </w:r>
            <w:r>
              <w:rPr>
                <w:rFonts w:ascii="宋体" w:hAnsi="宋体" w:cs="宋体"/>
                <w:kern w:val="0"/>
                <w:szCs w:val="21"/>
              </w:rPr>
              <w:t>1</w:t>
            </w:r>
            <w:r>
              <w:rPr>
                <w:rFonts w:hint="eastAsia" w:ascii="宋体" w:hAnsi="宋体" w:cs="宋体"/>
                <w:kern w:val="0"/>
                <w:szCs w:val="21"/>
              </w:rPr>
              <w:t>分；</w:t>
            </w:r>
          </w:p>
          <w:p>
            <w:pPr>
              <w:autoSpaceDE w:val="0"/>
              <w:autoSpaceDN w:val="0"/>
              <w:adjustRightInd w:val="0"/>
              <w:jc w:val="left"/>
              <w:rPr>
                <w:rFonts w:ascii="宋体" w:hAnsi="宋体" w:cs="宋体"/>
                <w:szCs w:val="21"/>
              </w:rPr>
            </w:pPr>
            <w:r>
              <w:rPr>
                <w:rFonts w:hint="eastAsia" w:ascii="宋体" w:hAnsi="宋体" w:cs="宋体"/>
                <w:kern w:val="0"/>
                <w:szCs w:val="21"/>
                <w:lang w:val="en-US" w:eastAsia="zh-CN"/>
              </w:rPr>
              <w:t>4.</w:t>
            </w:r>
            <w:r>
              <w:rPr>
                <w:rFonts w:hint="eastAsia" w:ascii="宋体" w:hAnsi="宋体" w:cs="宋体"/>
                <w:kern w:val="0"/>
                <w:szCs w:val="21"/>
                <w:lang w:eastAsia="zh-CN"/>
              </w:rPr>
              <w:t>实施</w:t>
            </w:r>
            <w:r>
              <w:rPr>
                <w:rFonts w:hint="eastAsia" w:ascii="宋体" w:hAnsi="宋体" w:cs="宋体"/>
                <w:kern w:val="0"/>
                <w:szCs w:val="21"/>
              </w:rPr>
              <w:t>组织计划不规划合理，针对本项目的合理化建议可操作性不强或不提供的，得0分。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center"/>
              <w:rPr>
                <w:rFonts w:ascii="宋体" w:hAnsi="宋体" w:cs="宋体"/>
                <w:b/>
                <w:szCs w:val="21"/>
              </w:rPr>
            </w:pPr>
            <w:r>
              <w:rPr>
                <w:rFonts w:hint="eastAsia" w:ascii="宋体" w:hAnsi="宋体" w:cs="宋体"/>
                <w:b/>
                <w:szCs w:val="21"/>
              </w:rPr>
              <w:t>3</w:t>
            </w:r>
          </w:p>
        </w:tc>
        <w:tc>
          <w:tcPr>
            <w:tcW w:w="3552" w:type="dxa"/>
            <w:gridSpan w:val="5"/>
            <w:vAlign w:val="center"/>
          </w:tcPr>
          <w:p>
            <w:pPr>
              <w:jc w:val="center"/>
              <w:rPr>
                <w:rFonts w:ascii="宋体" w:hAnsi="宋体" w:cs="宋体"/>
                <w:b/>
                <w:szCs w:val="21"/>
              </w:rPr>
            </w:pPr>
            <w:r>
              <w:rPr>
                <w:rFonts w:hint="eastAsia" w:ascii="宋体" w:hAnsi="宋体" w:cs="宋体"/>
                <w:b/>
                <w:szCs w:val="21"/>
              </w:rPr>
              <w:t>商务需求</w:t>
            </w:r>
          </w:p>
        </w:tc>
        <w:tc>
          <w:tcPr>
            <w:tcW w:w="4678" w:type="dxa"/>
            <w:vAlign w:val="center"/>
          </w:tcPr>
          <w:p>
            <w:pPr>
              <w:jc w:val="center"/>
              <w:rPr>
                <w:rFonts w:ascii="宋体" w:hAnsi="宋体" w:cs="宋体"/>
                <w:b/>
                <w:color w:val="FF0000"/>
                <w:szCs w:val="21"/>
              </w:rPr>
            </w:pPr>
            <w:r>
              <w:rPr>
                <w:rFonts w:hint="eastAsia" w:ascii="宋体" w:hAnsi="宋体" w:cs="宋体"/>
                <w:b/>
                <w:color w:val="FF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pPr>
              <w:keepNext/>
              <w:keepLines/>
              <w:spacing w:before="340" w:after="330"/>
              <w:jc w:val="center"/>
              <w:outlineLvl w:val="0"/>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422" w:type="dxa"/>
            <w:gridSpan w:val="2"/>
            <w:vAlign w:val="center"/>
          </w:tcPr>
          <w:p>
            <w:pPr>
              <w:jc w:val="center"/>
              <w:rPr>
                <w:rFonts w:ascii="宋体" w:hAnsi="宋体" w:cs="宋体"/>
                <w:b/>
                <w:szCs w:val="21"/>
              </w:rPr>
            </w:pPr>
            <w:r>
              <w:rPr>
                <w:rFonts w:hint="eastAsia" w:ascii="宋体" w:hAnsi="宋体" w:cs="宋体"/>
                <w:b/>
                <w:szCs w:val="21"/>
              </w:rPr>
              <w:t>评分因素</w:t>
            </w:r>
          </w:p>
        </w:tc>
        <w:tc>
          <w:tcPr>
            <w:tcW w:w="1431" w:type="dxa"/>
            <w:gridSpan w:val="2"/>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cr/>
            </w:r>
            <w:r>
              <w:rPr>
                <w:rFonts w:hint="eastAsia" w:ascii="宋体" w:hAnsi="宋体" w:cs="宋体"/>
                <w:szCs w:val="21"/>
              </w:rPr>
              <w:t>1</w:t>
            </w:r>
          </w:p>
        </w:tc>
        <w:tc>
          <w:tcPr>
            <w:tcW w:w="1422" w:type="dxa"/>
            <w:gridSpan w:val="2"/>
            <w:vAlign w:val="center"/>
          </w:tcPr>
          <w:p>
            <w:pPr>
              <w:autoSpaceDE w:val="0"/>
              <w:autoSpaceDN w:val="0"/>
              <w:adjustRightInd w:val="0"/>
              <w:jc w:val="center"/>
              <w:rPr>
                <w:rFonts w:ascii="宋体" w:hAnsi="宋体" w:cs="宋体"/>
                <w:szCs w:val="21"/>
              </w:rPr>
            </w:pPr>
            <w:r>
              <w:rPr>
                <w:rFonts w:ascii="宋体" w:hAnsi="宋体"/>
                <w:szCs w:val="21"/>
              </w:rPr>
              <w:t>体系认证情况评价</w:t>
            </w:r>
          </w:p>
        </w:tc>
        <w:tc>
          <w:tcPr>
            <w:tcW w:w="1431" w:type="dxa"/>
            <w:gridSpan w:val="2"/>
            <w:vAlign w:val="center"/>
          </w:tcPr>
          <w:p>
            <w:pPr>
              <w:autoSpaceDE w:val="0"/>
              <w:autoSpaceDN w:val="0"/>
              <w:adjustRightInd w:val="0"/>
              <w:jc w:val="center"/>
              <w:rPr>
                <w:rFonts w:ascii="宋体" w:hAnsi="宋体" w:cs="宋体"/>
                <w:szCs w:val="21"/>
              </w:rPr>
            </w:pPr>
            <w:r>
              <w:rPr>
                <w:rFonts w:hint="eastAsia" w:ascii="宋体" w:hAnsi="宋体" w:cs="宋体"/>
                <w:kern w:val="0"/>
                <w:szCs w:val="21"/>
              </w:rPr>
              <w:t>6</w:t>
            </w:r>
          </w:p>
        </w:tc>
        <w:tc>
          <w:tcPr>
            <w:tcW w:w="4678" w:type="dxa"/>
          </w:tcPr>
          <w:p>
            <w:pPr>
              <w:wordWrap w:val="0"/>
              <w:rPr>
                <w:rFonts w:ascii="宋体" w:hAnsi="宋体"/>
                <w:szCs w:val="21"/>
              </w:rPr>
            </w:pPr>
            <w:r>
              <w:rPr>
                <w:rFonts w:hint="eastAsia" w:ascii="宋体" w:hAnsi="宋体"/>
                <w:szCs w:val="21"/>
              </w:rPr>
              <w:t>1、投标人具有质量管理体系认证证书的得3分；</w:t>
            </w:r>
          </w:p>
          <w:p>
            <w:pPr>
              <w:wordWrap w:val="0"/>
              <w:rPr>
                <w:rFonts w:ascii="宋体" w:hAnsi="宋体"/>
                <w:szCs w:val="21"/>
              </w:rPr>
            </w:pPr>
            <w:r>
              <w:rPr>
                <w:rFonts w:hint="eastAsia" w:ascii="宋体" w:hAnsi="宋体"/>
                <w:szCs w:val="21"/>
              </w:rPr>
              <w:t>2、投标人具有环境管理体系认证证书的得3分；</w:t>
            </w:r>
          </w:p>
          <w:p>
            <w:pPr>
              <w:wordWrap w:val="0"/>
              <w:rPr>
                <w:rFonts w:ascii="宋体" w:hAnsi="宋体" w:cs="宋体"/>
                <w:szCs w:val="21"/>
              </w:rPr>
            </w:pPr>
            <w:r>
              <w:rPr>
                <w:rFonts w:ascii="宋体" w:hAnsi="宋体"/>
                <w:szCs w:val="21"/>
              </w:rPr>
              <w:t>以上全部提供得</w:t>
            </w:r>
            <w:r>
              <w:rPr>
                <w:rFonts w:hint="eastAsia" w:ascii="宋体" w:hAnsi="宋体"/>
                <w:szCs w:val="21"/>
              </w:rPr>
              <w:t>6</w:t>
            </w:r>
            <w:r>
              <w:rPr>
                <w:rFonts w:ascii="宋体" w:hAnsi="宋体"/>
                <w:szCs w:val="21"/>
              </w:rPr>
              <w:t>分，未按要求提供相关材料或</w:t>
            </w:r>
            <w:r>
              <w:rPr>
                <w:rFonts w:hint="eastAsia" w:ascii="宋体" w:hAnsi="宋体"/>
                <w:szCs w:val="21"/>
              </w:rPr>
              <w:t>复印件</w:t>
            </w:r>
            <w:r>
              <w:rPr>
                <w:rFonts w:ascii="宋体" w:hAnsi="宋体"/>
                <w:szCs w:val="21"/>
              </w:rPr>
              <w:t>不清晰导致无法识别的不计得分。提供相关证书</w:t>
            </w:r>
            <w:r>
              <w:rPr>
                <w:rFonts w:hint="eastAsia" w:ascii="宋体" w:hAnsi="宋体"/>
                <w:szCs w:val="21"/>
              </w:rPr>
              <w:t>复印件加盖投标单位公章</w:t>
            </w:r>
            <w:r>
              <w:rPr>
                <w:rFonts w:ascii="宋体" w:hAnsi="宋体"/>
                <w:szCs w:val="21"/>
              </w:rPr>
              <w:t>，未提供或提供不清晰导致专家无法判断的不得分，原件备查。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2</w:t>
            </w:r>
          </w:p>
        </w:tc>
        <w:tc>
          <w:tcPr>
            <w:tcW w:w="1422" w:type="dxa"/>
            <w:gridSpan w:val="2"/>
            <w:vAlign w:val="center"/>
          </w:tcPr>
          <w:p>
            <w:pPr>
              <w:autoSpaceDE w:val="0"/>
              <w:autoSpaceDN w:val="0"/>
              <w:adjustRightInd w:val="0"/>
              <w:jc w:val="center"/>
              <w:rPr>
                <w:rFonts w:ascii="宋体" w:hAnsi="宋体" w:cs="宋体"/>
                <w:szCs w:val="21"/>
              </w:rPr>
            </w:pPr>
            <w:r>
              <w:rPr>
                <w:szCs w:val="21"/>
              </w:rPr>
              <w:t>拟投入团队成员情况</w:t>
            </w:r>
          </w:p>
        </w:tc>
        <w:tc>
          <w:tcPr>
            <w:tcW w:w="1431" w:type="dxa"/>
            <w:gridSpan w:val="2"/>
            <w:vAlign w:val="center"/>
          </w:tcPr>
          <w:p>
            <w:pPr>
              <w:autoSpaceDE w:val="0"/>
              <w:autoSpaceDN w:val="0"/>
              <w:adjustRightInd w:val="0"/>
              <w:jc w:val="center"/>
              <w:rPr>
                <w:rFonts w:ascii="宋体" w:hAnsi="宋体" w:cs="宋体"/>
                <w:szCs w:val="21"/>
              </w:rPr>
            </w:pPr>
            <w:r>
              <w:rPr>
                <w:rFonts w:hint="eastAsia" w:ascii="宋体" w:hAnsi="宋体" w:cs="宋体"/>
                <w:kern w:val="0"/>
                <w:szCs w:val="21"/>
                <w:lang w:val="zh-CN"/>
              </w:rPr>
              <w:t>1</w:t>
            </w:r>
            <w:r>
              <w:rPr>
                <w:rFonts w:ascii="宋体" w:hAnsi="宋体" w:cs="宋体"/>
                <w:kern w:val="0"/>
                <w:szCs w:val="21"/>
                <w:lang w:val="zh-CN"/>
              </w:rPr>
              <w:t>4</w:t>
            </w:r>
          </w:p>
        </w:tc>
        <w:tc>
          <w:tcPr>
            <w:tcW w:w="4678" w:type="dxa"/>
          </w:tcPr>
          <w:p>
            <w:pPr>
              <w:wordWrap w:val="0"/>
              <w:rPr>
                <w:rFonts w:ascii="宋体" w:hAnsi="宋体"/>
                <w:szCs w:val="21"/>
              </w:rPr>
            </w:pPr>
            <w:r>
              <w:rPr>
                <w:rFonts w:ascii="宋体" w:hAnsi="宋体"/>
                <w:szCs w:val="21"/>
              </w:rPr>
              <w:t>1. 投标人拟投入的项目负责人（仅1人）同时</w:t>
            </w:r>
            <w:r>
              <w:rPr>
                <w:rFonts w:hint="eastAsia" w:ascii="宋体" w:hAnsi="宋体"/>
                <w:color w:val="000000"/>
                <w:szCs w:val="21"/>
              </w:rPr>
              <w:t>具有项目管理专业人士资格认证（PMP）认证证书和市级或以上人事部门或工业和信息化部的智能建筑弱电工程师证书</w:t>
            </w:r>
            <w:r>
              <w:rPr>
                <w:rFonts w:ascii="宋体" w:hAnsi="宋体"/>
                <w:szCs w:val="21"/>
              </w:rPr>
              <w:t xml:space="preserve">得6分； </w:t>
            </w:r>
          </w:p>
          <w:p>
            <w:pPr>
              <w:wordWrap w:val="0"/>
              <w:rPr>
                <w:rFonts w:ascii="宋体" w:hAnsi="宋体"/>
                <w:szCs w:val="21"/>
              </w:rPr>
            </w:pPr>
            <w:r>
              <w:rPr>
                <w:rFonts w:ascii="宋体" w:hAnsi="宋体"/>
                <w:szCs w:val="21"/>
              </w:rPr>
              <w:t>2. 投标人拟投入的团队成员（除项目负责人）中具有信息系统项目管理师（高级）得4分</w:t>
            </w:r>
            <w:r>
              <w:rPr>
                <w:rFonts w:hint="eastAsia" w:ascii="宋体" w:hAnsi="宋体"/>
                <w:szCs w:val="21"/>
              </w:rPr>
              <w:t>，</w:t>
            </w:r>
            <w:r>
              <w:rPr>
                <w:rFonts w:hint="eastAsia" w:ascii="宋体" w:hAnsi="宋体"/>
                <w:color w:val="000000"/>
                <w:szCs w:val="21"/>
              </w:rPr>
              <w:t>具有市级或以上工业和信息化部门（或信息产业部门或人力资源管理部门）颁发的系统集成项目管理工程师（中级）及以上</w:t>
            </w:r>
            <w:r>
              <w:rPr>
                <w:rFonts w:ascii="宋体" w:hAnsi="宋体"/>
                <w:szCs w:val="21"/>
              </w:rPr>
              <w:t xml:space="preserve">得4分。 </w:t>
            </w:r>
          </w:p>
          <w:p>
            <w:pPr>
              <w:wordWrap w:val="0"/>
              <w:rPr>
                <w:rFonts w:ascii="宋体" w:hAnsi="宋体"/>
                <w:szCs w:val="21"/>
              </w:rPr>
            </w:pPr>
            <w:r>
              <w:rPr>
                <w:rFonts w:ascii="宋体" w:hAnsi="宋体"/>
                <w:szCs w:val="21"/>
              </w:rPr>
              <w:t xml:space="preserve">以上两项合计满分14分。 </w:t>
            </w:r>
          </w:p>
          <w:p>
            <w:pPr>
              <w:autoSpaceDE w:val="0"/>
              <w:autoSpaceDN w:val="0"/>
              <w:adjustRightInd w:val="0"/>
              <w:jc w:val="left"/>
              <w:rPr>
                <w:rFonts w:ascii="宋体" w:hAnsi="宋体" w:cs="宋体"/>
                <w:color w:val="000000"/>
              </w:rPr>
            </w:pPr>
            <w:r>
              <w:rPr>
                <w:rFonts w:ascii="宋体" w:hAnsi="宋体"/>
                <w:szCs w:val="21"/>
              </w:rPr>
              <w:t>以上人员必须为投标单位自有员工，提供加盖投标单位公章的承诺函（格式自拟）或所在投标单位开标日前3个月载有社保部门公章的社保缴交证明材料（如开标日上一个月的社保材料因社保部门原因暂时无法取得，则可以往前顺延一个月）及相关证书</w:t>
            </w:r>
            <w:r>
              <w:rPr>
                <w:rFonts w:hint="eastAsia" w:ascii="宋体" w:hAnsi="宋体"/>
                <w:szCs w:val="21"/>
              </w:rPr>
              <w:t>复印件</w:t>
            </w:r>
            <w:r>
              <w:rPr>
                <w:rFonts w:ascii="宋体" w:hAnsi="宋体"/>
                <w:szCs w:val="21"/>
              </w:rPr>
              <w:t>，原件备查。未按要求提供相关材料或提供不清晰导致无法判断的不得分。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3</w:t>
            </w:r>
          </w:p>
        </w:tc>
        <w:tc>
          <w:tcPr>
            <w:tcW w:w="1422" w:type="dxa"/>
            <w:gridSpan w:val="2"/>
            <w:vAlign w:val="center"/>
          </w:tcPr>
          <w:p>
            <w:pPr>
              <w:autoSpaceDE w:val="0"/>
              <w:autoSpaceDN w:val="0"/>
              <w:adjustRightInd w:val="0"/>
              <w:jc w:val="center"/>
              <w:rPr>
                <w:rFonts w:ascii="宋体" w:hAnsi="宋体" w:cs="宋体"/>
                <w:szCs w:val="21"/>
              </w:rPr>
            </w:pPr>
            <w:r>
              <w:rPr>
                <w:rFonts w:hint="eastAsia" w:ascii="宋体" w:hAnsi="宋体" w:cs="宋体"/>
                <w:kern w:val="0"/>
                <w:szCs w:val="21"/>
                <w:lang w:val="zh-CN"/>
              </w:rPr>
              <w:t>承担的同类项目且项目评定为合格的案例</w:t>
            </w:r>
          </w:p>
        </w:tc>
        <w:tc>
          <w:tcPr>
            <w:tcW w:w="1431" w:type="dxa"/>
            <w:gridSpan w:val="2"/>
            <w:vAlign w:val="center"/>
          </w:tcPr>
          <w:p>
            <w:pPr>
              <w:autoSpaceDE w:val="0"/>
              <w:autoSpaceDN w:val="0"/>
              <w:adjustRightInd w:val="0"/>
              <w:jc w:val="center"/>
              <w:rPr>
                <w:rFonts w:ascii="宋体" w:hAnsi="宋体" w:cs="宋体"/>
                <w:szCs w:val="21"/>
              </w:rPr>
            </w:pPr>
            <w:r>
              <w:rPr>
                <w:rFonts w:hint="eastAsia" w:ascii="宋体" w:hAnsi="宋体" w:cs="宋体"/>
                <w:kern w:val="0"/>
                <w:szCs w:val="21"/>
                <w:lang w:val="zh-CN"/>
              </w:rPr>
              <w:t>3</w:t>
            </w:r>
          </w:p>
        </w:tc>
        <w:tc>
          <w:tcPr>
            <w:tcW w:w="4678" w:type="dxa"/>
          </w:tcPr>
          <w:p>
            <w:pPr>
              <w:autoSpaceDE w:val="0"/>
              <w:autoSpaceDN w:val="0"/>
              <w:adjustRightInd w:val="0"/>
              <w:jc w:val="left"/>
            </w:pPr>
            <w:r>
              <w:rPr>
                <w:rFonts w:ascii="宋体" w:hAnsi="宋体" w:cs="宋体"/>
                <w:kern w:val="0"/>
                <w:szCs w:val="21"/>
                <w:lang w:val="zh-CN"/>
              </w:rPr>
              <w:t>20</w:t>
            </w:r>
            <w:r>
              <w:rPr>
                <w:rFonts w:hint="eastAsia" w:ascii="宋体" w:hAnsi="宋体" w:cs="宋体"/>
                <w:kern w:val="0"/>
                <w:szCs w:val="21"/>
              </w:rPr>
              <w:t>20</w:t>
            </w:r>
            <w:r>
              <w:rPr>
                <w:rFonts w:hint="eastAsia" w:ascii="宋体" w:hAnsi="宋体" w:cs="宋体"/>
                <w:kern w:val="0"/>
                <w:szCs w:val="21"/>
                <w:lang w:val="zh-CN"/>
              </w:rPr>
              <w:t>年</w:t>
            </w:r>
            <w:r>
              <w:rPr>
                <w:rFonts w:ascii="宋体" w:hAnsi="宋体" w:cs="宋体"/>
                <w:kern w:val="0"/>
                <w:szCs w:val="21"/>
                <w:lang w:val="zh-CN"/>
              </w:rPr>
              <w:t>1</w:t>
            </w:r>
            <w:r>
              <w:rPr>
                <w:rFonts w:hint="eastAsia" w:ascii="宋体" w:hAnsi="宋体" w:cs="宋体"/>
                <w:kern w:val="0"/>
                <w:szCs w:val="21"/>
                <w:lang w:val="zh-CN"/>
              </w:rPr>
              <w:t>月</w:t>
            </w:r>
            <w:r>
              <w:rPr>
                <w:rFonts w:ascii="宋体" w:hAnsi="宋体" w:cs="宋体"/>
                <w:kern w:val="0"/>
                <w:szCs w:val="21"/>
                <w:lang w:val="zh-CN"/>
              </w:rPr>
              <w:t>1</w:t>
            </w:r>
            <w:r>
              <w:rPr>
                <w:rFonts w:hint="eastAsia" w:ascii="宋体" w:hAnsi="宋体" w:cs="宋体"/>
                <w:kern w:val="0"/>
                <w:szCs w:val="21"/>
                <w:lang w:val="zh-CN"/>
              </w:rPr>
              <w:t>日（合同签定日期）以后每完成过一个同类项目成功案例得1分，最多得3分。（需提供合同关健页、验收报告复印件）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pPr>
              <w:jc w:val="center"/>
              <w:rPr>
                <w:rFonts w:ascii="宋体" w:hAnsi="宋体" w:cs="宋体"/>
                <w:b/>
                <w:szCs w:val="21"/>
              </w:rPr>
            </w:pPr>
            <w:r>
              <w:rPr>
                <w:rFonts w:hint="eastAsia" w:ascii="宋体" w:hAnsi="宋体" w:cs="宋体"/>
                <w:b/>
                <w:szCs w:val="21"/>
              </w:rPr>
              <w:t>4</w:t>
            </w:r>
          </w:p>
        </w:tc>
        <w:tc>
          <w:tcPr>
            <w:tcW w:w="3552" w:type="dxa"/>
            <w:gridSpan w:val="5"/>
            <w:vAlign w:val="center"/>
          </w:tcPr>
          <w:p>
            <w:pPr>
              <w:jc w:val="center"/>
              <w:rPr>
                <w:rFonts w:ascii="宋体" w:hAnsi="宋体" w:cs="宋体"/>
                <w:b/>
                <w:szCs w:val="21"/>
              </w:rPr>
            </w:pPr>
            <w:r>
              <w:rPr>
                <w:rFonts w:hint="eastAsia" w:ascii="宋体" w:hAnsi="宋体" w:cs="宋体"/>
                <w:b/>
                <w:szCs w:val="21"/>
              </w:rPr>
              <w:t>诚信情况</w:t>
            </w:r>
          </w:p>
        </w:tc>
        <w:tc>
          <w:tcPr>
            <w:tcW w:w="4678" w:type="dxa"/>
            <w:vAlign w:val="center"/>
          </w:tcPr>
          <w:p>
            <w:pPr>
              <w:pStyle w:val="13"/>
              <w:pBdr>
                <w:bottom w:val="none" w:color="auto" w:sz="0" w:space="0"/>
              </w:pBdr>
              <w:tabs>
                <w:tab w:val="clear" w:pos="4153"/>
                <w:tab w:val="clear" w:pos="8306"/>
              </w:tabs>
              <w:rPr>
                <w:rFonts w:ascii="宋体" w:hAnsi="宋体" w:cs="宋体"/>
                <w:b/>
                <w:color w:val="FF0000"/>
                <w:kern w:val="2"/>
                <w:sz w:val="21"/>
                <w:szCs w:val="21"/>
              </w:rPr>
            </w:pPr>
            <w:r>
              <w:rPr>
                <w:rFonts w:hint="eastAsia" w:ascii="宋体" w:hAnsi="宋体" w:cs="宋体"/>
                <w:b/>
                <w:color w:val="FF0000"/>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pPr>
              <w:jc w:val="center"/>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394" w:type="dxa"/>
            <w:vAlign w:val="center"/>
          </w:tcPr>
          <w:p>
            <w:pPr>
              <w:jc w:val="center"/>
              <w:rPr>
                <w:rFonts w:ascii="宋体" w:hAnsi="宋体" w:cs="宋体"/>
                <w:b/>
                <w:szCs w:val="21"/>
              </w:rPr>
            </w:pPr>
            <w:r>
              <w:rPr>
                <w:rFonts w:hint="eastAsia" w:ascii="宋体" w:hAnsi="宋体" w:cs="宋体"/>
                <w:b/>
                <w:szCs w:val="21"/>
              </w:rPr>
              <w:t>评分因素</w:t>
            </w:r>
          </w:p>
        </w:tc>
        <w:tc>
          <w:tcPr>
            <w:tcW w:w="1459" w:type="dxa"/>
            <w:gridSpan w:val="3"/>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highlight w:val="yellow"/>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394" w:type="dxa"/>
            <w:vAlign w:val="center"/>
          </w:tcPr>
          <w:p>
            <w:pPr>
              <w:jc w:val="center"/>
              <w:rPr>
                <w:rFonts w:ascii="宋体" w:hAnsi="宋体" w:cs="宋体"/>
                <w:szCs w:val="21"/>
              </w:rPr>
            </w:pPr>
            <w:r>
              <w:rPr>
                <w:rFonts w:hint="eastAsia" w:ascii="宋体" w:hAnsi="宋体" w:cs="宋体"/>
                <w:szCs w:val="21"/>
              </w:rPr>
              <w:t>诚信评价</w:t>
            </w:r>
          </w:p>
        </w:tc>
        <w:tc>
          <w:tcPr>
            <w:tcW w:w="1459" w:type="dxa"/>
            <w:gridSpan w:val="3"/>
            <w:vAlign w:val="center"/>
          </w:tcPr>
          <w:p>
            <w:pPr>
              <w:jc w:val="center"/>
              <w:rPr>
                <w:rFonts w:ascii="宋体" w:hAnsi="宋体" w:cs="宋体"/>
                <w:szCs w:val="21"/>
              </w:rPr>
            </w:pPr>
            <w:r>
              <w:rPr>
                <w:rFonts w:hint="eastAsia" w:ascii="宋体" w:hAnsi="宋体" w:cs="宋体"/>
                <w:szCs w:val="21"/>
              </w:rPr>
              <w:t>5</w:t>
            </w:r>
          </w:p>
        </w:tc>
        <w:tc>
          <w:tcPr>
            <w:tcW w:w="4678" w:type="dxa"/>
          </w:tcPr>
          <w:p>
            <w:pPr>
              <w:jc w:val="center"/>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2"/>
      </w:pPr>
      <w:r>
        <w:rPr>
          <w:rFonts w:hint="eastAsia"/>
        </w:rPr>
        <w:t>第二章  项目需求</w:t>
      </w:r>
    </w:p>
    <w:p>
      <w:pPr>
        <w:pStyle w:val="3"/>
        <w:spacing w:beforeLines="50" w:afterLines="50"/>
        <w:rPr>
          <w:rFonts w:cs="宋体"/>
          <w:szCs w:val="28"/>
        </w:rPr>
      </w:pPr>
      <w:bookmarkStart w:id="0" w:name="_Toc73521635"/>
      <w:bookmarkStart w:id="1" w:name="_Toc101074876"/>
      <w:bookmarkStart w:id="2" w:name="_Toc73518117"/>
      <w:bookmarkStart w:id="3" w:name="_Toc100052364"/>
      <w:bookmarkStart w:id="4" w:name="_Toc60631620"/>
      <w:bookmarkStart w:id="5" w:name="_Toc73521547"/>
      <w:bookmarkStart w:id="6" w:name="_Toc73517639"/>
      <w:bookmarkStart w:id="7" w:name="_Toc60560625"/>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深圳市第一职业技术学校视频监控存储扩容项目。</w:t>
      </w:r>
    </w:p>
    <w:p>
      <w:pPr>
        <w:pStyle w:val="3"/>
        <w:numPr>
          <w:ilvl w:val="0"/>
          <w:numId w:val="1"/>
        </w:numPr>
        <w:spacing w:beforeLines="50" w:afterLines="50"/>
        <w:rPr>
          <w:rFonts w:cs="宋体"/>
          <w:szCs w:val="28"/>
        </w:rPr>
      </w:pPr>
      <w:r>
        <w:rPr>
          <w:rFonts w:hint="eastAsia" w:cs="宋体"/>
          <w:szCs w:val="28"/>
        </w:rPr>
        <w:t>货物清单</w:t>
      </w:r>
    </w:p>
    <w:tbl>
      <w:tblPr>
        <w:tblStyle w:val="15"/>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宋体" w:hAnsi="宋体" w:cs="宋体"/>
                <w:bCs/>
                <w:szCs w:val="21"/>
              </w:rPr>
              <w:t>货物名称</w:t>
            </w:r>
          </w:p>
        </w:tc>
        <w:tc>
          <w:tcPr>
            <w:tcW w:w="1335" w:type="dxa"/>
            <w:vAlign w:val="center"/>
          </w:tcPr>
          <w:p>
            <w:pPr>
              <w:jc w:val="center"/>
              <w:rPr>
                <w:rFonts w:ascii="宋体" w:hAnsi="宋体" w:cs="宋体"/>
                <w:bCs/>
                <w:szCs w:val="21"/>
              </w:rPr>
            </w:pPr>
            <w:r>
              <w:rPr>
                <w:rFonts w:hint="eastAsia" w:ascii="宋体" w:hAnsi="宋体" w:cs="宋体"/>
                <w:bCs/>
                <w:szCs w:val="21"/>
              </w:rPr>
              <w:t>数量</w:t>
            </w:r>
          </w:p>
        </w:tc>
        <w:tc>
          <w:tcPr>
            <w:tcW w:w="1290" w:type="dxa"/>
            <w:vAlign w:val="center"/>
          </w:tcPr>
          <w:p>
            <w:pPr>
              <w:jc w:val="center"/>
              <w:rPr>
                <w:rFonts w:ascii="宋体" w:hAnsi="宋体" w:cs="宋体"/>
                <w:bCs/>
                <w:szCs w:val="21"/>
              </w:rPr>
            </w:pPr>
            <w:r>
              <w:rPr>
                <w:rFonts w:hint="eastAsia" w:ascii="宋体" w:hAnsi="宋体" w:cs="宋体"/>
                <w:bCs/>
                <w:szCs w:val="21"/>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widowControl/>
              <w:jc w:val="center"/>
              <w:textAlignment w:val="center"/>
              <w:rPr>
                <w:rFonts w:ascii="宋体" w:hAnsi="宋体" w:cs="宋体"/>
                <w:bCs/>
                <w:szCs w:val="21"/>
              </w:rPr>
            </w:pPr>
            <w:r>
              <w:rPr>
                <w:rFonts w:hint="eastAsia" w:ascii="宋体" w:hAnsi="宋体" w:cs="宋体"/>
                <w:color w:val="000000"/>
                <w:kern w:val="0"/>
                <w:szCs w:val="21"/>
              </w:rPr>
              <w:t>1</w:t>
            </w:r>
          </w:p>
        </w:tc>
        <w:tc>
          <w:tcPr>
            <w:tcW w:w="2265" w:type="dxa"/>
            <w:vAlign w:val="center"/>
          </w:tcPr>
          <w:p>
            <w:pPr>
              <w:widowControl/>
              <w:ind w:firstLine="210" w:firstLineChars="100"/>
              <w:jc w:val="left"/>
              <w:textAlignment w:val="center"/>
              <w:rPr>
                <w:rFonts w:ascii="宋体" w:hAnsi="宋体" w:cs="宋体"/>
                <w:bCs/>
                <w:szCs w:val="21"/>
              </w:rPr>
            </w:pPr>
            <w:r>
              <w:rPr>
                <w:rFonts w:hint="eastAsia" w:ascii="宋体" w:hAnsi="宋体" w:cs="宋体"/>
                <w:color w:val="000000"/>
                <w:kern w:val="0"/>
                <w:szCs w:val="21"/>
              </w:rPr>
              <w:t>超容量存储设备</w:t>
            </w:r>
          </w:p>
        </w:tc>
        <w:tc>
          <w:tcPr>
            <w:tcW w:w="1335" w:type="dxa"/>
            <w:vAlign w:val="center"/>
          </w:tcPr>
          <w:p>
            <w:pPr>
              <w:widowControl/>
              <w:jc w:val="center"/>
              <w:textAlignment w:val="center"/>
              <w:rPr>
                <w:rFonts w:ascii="宋体" w:hAnsi="宋体" w:cs="宋体"/>
                <w:bCs/>
                <w:szCs w:val="21"/>
              </w:rPr>
            </w:pPr>
            <w:r>
              <w:rPr>
                <w:rFonts w:ascii="宋体" w:hAnsi="宋体" w:cs="宋体"/>
                <w:color w:val="000000"/>
                <w:kern w:val="0"/>
                <w:szCs w:val="21"/>
              </w:rPr>
              <w:t>1</w:t>
            </w:r>
          </w:p>
        </w:tc>
        <w:tc>
          <w:tcPr>
            <w:tcW w:w="1290" w:type="dxa"/>
            <w:vAlign w:val="center"/>
          </w:tcPr>
          <w:p>
            <w:pPr>
              <w:widowControl/>
              <w:jc w:val="center"/>
              <w:textAlignment w:val="center"/>
              <w:rPr>
                <w:rFonts w:ascii="宋体" w:hAnsi="宋体" w:cs="宋体"/>
                <w:bCs/>
                <w:szCs w:val="21"/>
              </w:rPr>
            </w:pPr>
            <w:r>
              <w:rPr>
                <w:rFonts w:hint="eastAsia" w:ascii="宋体" w:hAnsi="宋体" w:cs="宋体"/>
                <w:color w:val="000000"/>
                <w:kern w:val="0"/>
                <w:szCs w:val="21"/>
              </w:rPr>
              <w:t>台</w:t>
            </w:r>
          </w:p>
        </w:tc>
        <w:tc>
          <w:tcPr>
            <w:tcW w:w="2148" w:type="dxa"/>
            <w:vAlign w:val="center"/>
          </w:tcPr>
          <w:p>
            <w:pPr>
              <w:widowControl/>
              <w:jc w:val="center"/>
              <w:rPr>
                <w:rFonts w:ascii="宋体" w:hAnsi="宋体" w:cs="宋体"/>
                <w:bCs/>
                <w:szCs w:val="21"/>
              </w:rPr>
            </w:pPr>
            <w:r>
              <w:rPr>
                <w:rFonts w:hint="eastAsia" w:ascii="宋体" w:hAnsi="宋体" w:cs="宋体"/>
                <w:color w:val="000000"/>
                <w:kern w:val="0"/>
                <w:szCs w:val="21"/>
              </w:rPr>
              <w:t>详见需求</w:t>
            </w:r>
          </w:p>
        </w:tc>
      </w:tr>
    </w:tbl>
    <w:p>
      <w:pPr>
        <w:pStyle w:val="3"/>
        <w:spacing w:beforeLines="50" w:afterLines="50"/>
        <w:rPr>
          <w:rFonts w:cs="宋体"/>
          <w:szCs w:val="28"/>
        </w:rPr>
      </w:pPr>
      <w:r>
        <w:rPr>
          <w:rFonts w:hint="eastAsia" w:cs="宋体"/>
          <w:szCs w:val="28"/>
        </w:rPr>
        <w:t>三、具体技术要求</w:t>
      </w:r>
    </w:p>
    <w:p>
      <w:pPr>
        <w:rPr>
          <w:rFonts w:ascii="宋体" w:hAnsi="宋体" w:cs="宋体"/>
          <w:b/>
          <w:szCs w:val="21"/>
        </w:rPr>
      </w:pPr>
      <w:r>
        <w:rPr>
          <w:rFonts w:hint="eastAsia" w:ascii="宋体" w:hAnsi="宋体" w:cs="宋体"/>
          <w:b/>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5"/>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vAlign w:val="center"/>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序号</w:t>
            </w:r>
          </w:p>
        </w:tc>
        <w:tc>
          <w:tcPr>
            <w:tcW w:w="1476" w:type="dxa"/>
            <w:vAlign w:val="center"/>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货物名称</w:t>
            </w:r>
          </w:p>
        </w:tc>
        <w:tc>
          <w:tcPr>
            <w:tcW w:w="5986" w:type="dxa"/>
            <w:vAlign w:val="center"/>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restart"/>
            <w:vAlign w:val="center"/>
          </w:tcPr>
          <w:p>
            <w:pPr>
              <w:jc w:val="center"/>
              <w:rPr>
                <w:rFonts w:ascii="仿宋" w:hAnsi="仿宋" w:eastAsia="仿宋"/>
                <w:b/>
                <w:szCs w:val="21"/>
              </w:rPr>
            </w:pPr>
            <w:r>
              <w:rPr>
                <w:rFonts w:hint="eastAsia" w:ascii="仿宋" w:hAnsi="仿宋" w:eastAsia="仿宋"/>
                <w:b/>
                <w:szCs w:val="21"/>
              </w:rPr>
              <w:t>1</w:t>
            </w:r>
          </w:p>
        </w:tc>
        <w:tc>
          <w:tcPr>
            <w:tcW w:w="1476" w:type="dxa"/>
            <w:vMerge w:val="restart"/>
            <w:vAlign w:val="center"/>
          </w:tcPr>
          <w:p>
            <w:pPr>
              <w:jc w:val="center"/>
              <w:rPr>
                <w:rFonts w:ascii="仿宋" w:hAnsi="仿宋" w:eastAsia="仿宋"/>
                <w:b/>
                <w:szCs w:val="21"/>
              </w:rPr>
            </w:pPr>
            <w:r>
              <w:rPr>
                <w:rFonts w:hint="eastAsia" w:ascii="宋体" w:hAnsi="宋体" w:cs="宋体"/>
                <w:color w:val="000000"/>
                <w:kern w:val="0"/>
                <w:szCs w:val="21"/>
              </w:rPr>
              <w:t>超容量存储设备</w:t>
            </w:r>
          </w:p>
        </w:tc>
        <w:tc>
          <w:tcPr>
            <w:tcW w:w="5986" w:type="dxa"/>
          </w:tcPr>
          <w:p>
            <w:pPr>
              <w:widowControl/>
              <w:jc w:val="left"/>
              <w:textAlignment w:val="bottom"/>
              <w:rPr>
                <w:rFonts w:ascii="仿宋" w:hAnsi="仿宋" w:eastAsia="仿宋"/>
                <w:b/>
                <w:szCs w:val="21"/>
              </w:rPr>
            </w:pPr>
            <w:r>
              <w:rPr>
                <w:rFonts w:hint="eastAsia" w:ascii="宋体" w:hAnsi="宋体" w:cs="宋体"/>
                <w:color w:val="000000"/>
                <w:kern w:val="0"/>
                <w:szCs w:val="21"/>
              </w:rPr>
              <w:t>1、单设备应配置≥64位多核处理器，≥4GB内存，需配置冗余金牌电源。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widowControl/>
              <w:jc w:val="left"/>
              <w:textAlignment w:val="bottom"/>
              <w:rPr>
                <w:rFonts w:ascii="仿宋" w:hAnsi="仿宋" w:eastAsia="仿宋"/>
                <w:b/>
                <w:szCs w:val="21"/>
              </w:rPr>
            </w:pPr>
            <w:r>
              <w:rPr>
                <w:rFonts w:hint="eastAsia" w:ascii="宋体" w:hAnsi="宋体" w:cs="宋体"/>
                <w:color w:val="000000"/>
                <w:kern w:val="0"/>
                <w:szCs w:val="21"/>
              </w:rPr>
              <w:t>2、可接入2T/3T/4T/6T/8TSATA磁盘，具备不少于2个千兆数据网口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widowControl/>
              <w:jc w:val="left"/>
              <w:textAlignment w:val="bottom"/>
              <w:rPr>
                <w:rFonts w:ascii="仿宋" w:hAnsi="仿宋" w:eastAsia="仿宋"/>
                <w:b/>
                <w:szCs w:val="21"/>
              </w:rPr>
            </w:pPr>
            <w:r>
              <w:rPr>
                <w:rFonts w:hint="eastAsia" w:ascii="宋体" w:hAnsi="宋体" w:cs="宋体"/>
                <w:color w:val="000000"/>
                <w:kern w:val="0"/>
                <w:szCs w:val="21"/>
              </w:rPr>
              <w:t>3、▲支持视音频、图片、智能数据流进行混合直存，支持国际GB/T 28181和Onvif视频流直存模式；支持iSCSI直存功能，前端网络摄像机和设备之间可直接通过iSCSI协议进行块存储；（提供封面具有CNAS及CMA标识盖章的权威检测报告关键页证明）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widowControl/>
              <w:jc w:val="left"/>
              <w:textAlignment w:val="bottom"/>
              <w:rPr>
                <w:rFonts w:ascii="仿宋" w:hAnsi="仿宋" w:eastAsia="仿宋"/>
                <w:b/>
                <w:szCs w:val="21"/>
              </w:rPr>
            </w:pPr>
            <w:r>
              <w:rPr>
                <w:rFonts w:hint="eastAsia" w:ascii="宋体" w:hAnsi="宋体" w:cs="宋体"/>
                <w:color w:val="000000"/>
                <w:kern w:val="0"/>
                <w:szCs w:val="21"/>
              </w:rPr>
              <w:t>4、▲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提供封面具有CNAS及CMA标识盖章的权威检测报告关键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widowControl/>
              <w:jc w:val="left"/>
              <w:textAlignment w:val="bottom"/>
              <w:rPr>
                <w:rFonts w:ascii="仿宋" w:hAnsi="仿宋" w:eastAsia="仿宋"/>
                <w:b/>
                <w:szCs w:val="21"/>
              </w:rPr>
            </w:pPr>
            <w:r>
              <w:rPr>
                <w:rFonts w:hint="eastAsia" w:ascii="宋体" w:hAnsi="宋体" w:cs="宋体"/>
                <w:color w:val="000000"/>
                <w:kern w:val="0"/>
                <w:szCs w:val="21"/>
              </w:rPr>
              <w:t>5、▲支持红灯/蓝灯报警，可根据故障紧急程度分级报警，不同级别闪烁不同颜色保养灯，保养灯闪烁时长、频率可设;（提供封面具有CNAS及CMA标识盖章的权威检测报告关键页证明）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widowControl/>
              <w:jc w:val="left"/>
              <w:textAlignment w:val="bottom"/>
              <w:rPr>
                <w:rFonts w:ascii="仿宋" w:hAnsi="仿宋" w:eastAsia="仿宋"/>
                <w:b/>
                <w:szCs w:val="21"/>
              </w:rPr>
            </w:pPr>
            <w:r>
              <w:rPr>
                <w:rFonts w:hint="eastAsia" w:ascii="宋体" w:hAnsi="宋体" w:cs="宋体"/>
                <w:color w:val="000000"/>
                <w:kern w:val="0"/>
                <w:szCs w:val="21"/>
              </w:rPr>
              <w:t>6、可接入硬盘≥48块，支持RAID 0、1、3、5、6、10、50，60、JBOD模式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widowControl/>
              <w:jc w:val="left"/>
              <w:textAlignment w:val="bottom"/>
              <w:rPr>
                <w:rFonts w:ascii="仿宋" w:hAnsi="仿宋" w:eastAsia="仿宋"/>
                <w:b/>
                <w:szCs w:val="21"/>
              </w:rPr>
            </w:pPr>
            <w:r>
              <w:rPr>
                <w:rFonts w:hint="eastAsia" w:ascii="宋体" w:hAnsi="宋体" w:cs="宋体"/>
                <w:color w:val="000000"/>
                <w:kern w:val="0"/>
                <w:szCs w:val="21"/>
              </w:rPr>
              <w:t>7、▲可根据业务需要配置重构速度，支持低速、中速、高速和全速四种重构速度配置，可通过客户端软件显示重构速度；设备可根据自身业务量自动调节重构速度，当设备空间资源达到预设值时，可自动提高重构速度，当空间资源低于预设值时，可自动降低重构速度（提供封面具有CNAS及CMA标识盖章的权威检测报告关键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widowControl/>
              <w:jc w:val="left"/>
              <w:textAlignment w:val="bottom"/>
              <w:rPr>
                <w:rFonts w:ascii="仿宋" w:hAnsi="仿宋" w:eastAsia="仿宋"/>
                <w:b/>
                <w:szCs w:val="21"/>
              </w:rPr>
            </w:pPr>
            <w:r>
              <w:rPr>
                <w:rFonts w:hint="eastAsia" w:ascii="宋体" w:hAnsi="宋体" w:cs="宋体"/>
                <w:color w:val="000000"/>
                <w:kern w:val="0"/>
                <w:szCs w:val="21"/>
              </w:rPr>
              <w:t>8、▲磁盘容量配置：不少于30块企业级10T硬盘；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szCs w:val="21"/>
              </w:rPr>
            </w:pPr>
          </w:p>
        </w:tc>
        <w:tc>
          <w:tcPr>
            <w:tcW w:w="1476" w:type="dxa"/>
            <w:vMerge w:val="continue"/>
          </w:tcPr>
          <w:p>
            <w:pPr>
              <w:rPr>
                <w:rFonts w:ascii="仿宋" w:hAnsi="仿宋" w:eastAsia="仿宋"/>
                <w:b/>
                <w:szCs w:val="21"/>
              </w:rPr>
            </w:pPr>
          </w:p>
        </w:tc>
        <w:tc>
          <w:tcPr>
            <w:tcW w:w="5986" w:type="dxa"/>
          </w:tcPr>
          <w:p>
            <w:pPr>
              <w:rPr>
                <w:rFonts w:ascii="仿宋" w:hAnsi="仿宋" w:eastAsia="仿宋"/>
                <w:b/>
                <w:szCs w:val="21"/>
              </w:rPr>
            </w:pPr>
            <w:r>
              <w:rPr>
                <w:rFonts w:ascii="宋体" w:hAnsi="宋体" w:cs="宋体"/>
                <w:color w:val="000000"/>
                <w:kern w:val="0"/>
                <w:szCs w:val="21"/>
              </w:rPr>
              <w:t>9</w:t>
            </w:r>
            <w:r>
              <w:rPr>
                <w:rFonts w:hint="eastAsia" w:ascii="宋体" w:hAnsi="宋体" w:cs="宋体"/>
                <w:color w:val="000000"/>
                <w:kern w:val="0"/>
                <w:szCs w:val="21"/>
              </w:rPr>
              <w:t>、▲超容量存储必需能与现有的视频监控系统和管理平台无缝兼</w:t>
            </w:r>
            <w:r>
              <w:rPr>
                <w:rFonts w:hint="eastAsia" w:ascii="宋体" w:hAnsi="宋体" w:cs="宋体"/>
                <w:color w:val="000000"/>
                <w:kern w:val="0"/>
                <w:szCs w:val="21"/>
              </w:rPr>
              <w:t>容(现有监控平台管理系统是海康威视管理平台)，能将现有的前端摄像机无缝接入进行统一存储且能接入</w:t>
            </w:r>
            <w:r>
              <w:rPr>
                <w:rFonts w:hint="eastAsia" w:ascii="宋体" w:hAnsi="宋体" w:cs="宋体"/>
                <w:color w:val="000000"/>
                <w:kern w:val="0"/>
                <w:szCs w:val="21"/>
              </w:rPr>
              <w:t>现有的监控管理平台进行统一管理，能够被其自动发现（须提供超容量存储制造厂商出具的兼容性承诺函）</w:t>
            </w:r>
          </w:p>
        </w:tc>
      </w:tr>
    </w:tbl>
    <w:p>
      <w:pPr>
        <w:ind w:firstLine="422" w:firstLineChars="200"/>
        <w:rPr>
          <w:b/>
          <w:szCs w:val="21"/>
        </w:rPr>
      </w:pPr>
      <w:r>
        <w:rPr>
          <w:rFonts w:hint="eastAsia" w:ascii="宋体" w:hAnsi="宋体" w:cs="宋体"/>
          <w:b/>
        </w:rPr>
        <w:t>备注：</w:t>
      </w:r>
      <w:r>
        <w:rPr>
          <w:rFonts w:hint="eastAsia"/>
          <w:b/>
          <w:szCs w:val="21"/>
        </w:rPr>
        <w:t>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 xml:space="preserve">”指标项为重要参数，负偏离时依相关评分准则内容作重点扣分处理。 </w:t>
      </w:r>
    </w:p>
    <w:p>
      <w:pPr>
        <w:ind w:firstLine="422" w:firstLineChars="200"/>
        <w:rPr>
          <w:rFonts w:ascii="宋体" w:hAnsi="宋体" w:cs="宋体"/>
          <w:b/>
        </w:rPr>
      </w:pPr>
      <w:r>
        <w:rPr>
          <w:rFonts w:hint="eastAsia"/>
          <w:b/>
        </w:rPr>
        <w:t>2．评分时，如对一项招标技术要求中的内容存在两处（或以上）负偏离的，在评分时只作一项负偏离扣分</w:t>
      </w:r>
      <w:r>
        <w:rPr>
          <w:rFonts w:hint="eastAsia" w:ascii="宋体" w:hAnsi="宋体" w:cs="宋体"/>
          <w:b/>
        </w:rPr>
        <w:t>。</w:t>
      </w:r>
    </w:p>
    <w:p>
      <w:pPr>
        <w:pStyle w:val="3"/>
        <w:spacing w:beforeLines="50" w:afterLines="50"/>
        <w:rPr>
          <w:rFonts w:cs="宋体"/>
          <w:szCs w:val="28"/>
        </w:rPr>
      </w:pPr>
      <w:r>
        <w:rPr>
          <w:rFonts w:hint="eastAsia" w:cs="宋体"/>
          <w:szCs w:val="28"/>
        </w:rPr>
        <w:t>四、商务需求</w:t>
      </w:r>
    </w:p>
    <w:tbl>
      <w:tblPr>
        <w:tblStyle w:val="15"/>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8426" w:type="dxa"/>
            <w:gridSpan w:val="3"/>
            <w:vAlign w:val="center"/>
          </w:tcPr>
          <w:p>
            <w:pPr>
              <w:rPr>
                <w:rFonts w:ascii="宋体" w:hAnsi="宋体" w:cs="宋体"/>
                <w:b/>
              </w:rPr>
            </w:pPr>
            <w:r>
              <w:rPr>
                <w:rFonts w:hint="eastAsia" w:ascii="宋体" w:hAnsi="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ascii="宋体" w:hAnsi="宋体" w:cs="宋体"/>
                <w:b/>
              </w:rPr>
            </w:pPr>
            <w:r>
              <w:rPr>
                <w:rFonts w:hint="eastAsia" w:ascii="宋体" w:hAnsi="宋体"/>
                <w:b/>
                <w:szCs w:val="21"/>
              </w:rPr>
              <w:t>1</w:t>
            </w:r>
          </w:p>
        </w:tc>
        <w:tc>
          <w:tcPr>
            <w:tcW w:w="1559" w:type="dxa"/>
            <w:vAlign w:val="center"/>
          </w:tcPr>
          <w:p>
            <w:pPr>
              <w:jc w:val="center"/>
              <w:rPr>
                <w:rFonts w:ascii="宋体" w:hAnsi="宋体" w:cs="宋体"/>
              </w:rPr>
            </w:pPr>
            <w:r>
              <w:rPr>
                <w:rFonts w:hint="eastAsia" w:ascii="宋体" w:hAnsi="宋体"/>
                <w:b/>
                <w:szCs w:val="21"/>
              </w:rPr>
              <w:t>维修响应及故障解决时间</w:t>
            </w:r>
          </w:p>
        </w:tc>
        <w:tc>
          <w:tcPr>
            <w:tcW w:w="6158" w:type="dxa"/>
          </w:tcPr>
          <w:p>
            <w:pPr>
              <w:rPr>
                <w:rFonts w:ascii="宋体" w:hAnsi="宋体" w:cs="宋体"/>
                <w:b/>
              </w:rPr>
            </w:pPr>
            <w:r>
              <w:rPr>
                <w:rFonts w:hint="eastAsia" w:ascii="宋体" w:hAnsi="宋体"/>
                <w:bCs/>
                <w:szCs w:val="21"/>
              </w:rPr>
              <w:t>中标人在接到故障报修后30分钟内做出响应，2小时内携带备件到达现场，到达现场后4小时内必须处理完故障，因特殊或其它原因引起的设施损坏，投标人须保证在24小时内提供相应的备品备件，保证系统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rPr>
            </w:pPr>
            <w:r>
              <w:rPr>
                <w:rFonts w:hint="eastAsia" w:ascii="宋体" w:hAnsi="宋体"/>
                <w:b/>
                <w:szCs w:val="21"/>
              </w:rPr>
              <w:t>2</w:t>
            </w:r>
          </w:p>
        </w:tc>
        <w:tc>
          <w:tcPr>
            <w:tcW w:w="1559" w:type="dxa"/>
            <w:vAlign w:val="center"/>
          </w:tcPr>
          <w:p>
            <w:pPr>
              <w:jc w:val="center"/>
              <w:rPr>
                <w:rFonts w:ascii="宋体" w:hAnsi="宋体" w:cs="宋体"/>
              </w:rPr>
            </w:pPr>
            <w:r>
              <w:rPr>
                <w:rFonts w:hint="eastAsia" w:ascii="宋体" w:hAnsi="宋体"/>
                <w:b/>
                <w:szCs w:val="21"/>
              </w:rPr>
              <w:t>关于免费保修期</w:t>
            </w:r>
          </w:p>
        </w:tc>
        <w:tc>
          <w:tcPr>
            <w:tcW w:w="6158" w:type="dxa"/>
          </w:tcPr>
          <w:p>
            <w:pPr>
              <w:rPr>
                <w:rFonts w:ascii="宋体" w:hAnsi="宋体" w:cs="宋体"/>
                <w:b/>
                <w:highlight w:val="none"/>
              </w:rPr>
            </w:pPr>
            <w:r>
              <w:rPr>
                <w:rFonts w:hint="eastAsia" w:ascii="宋体" w:hAnsi="宋体"/>
                <w:bCs/>
                <w:szCs w:val="21"/>
                <w:highlight w:val="none"/>
              </w:rPr>
              <w:t>货物免费保修期3年，时间自最终验收合格并交付使用之日起计算。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Align w:val="center"/>
          </w:tcPr>
          <w:p>
            <w:pPr>
              <w:jc w:val="center"/>
              <w:rPr>
                <w:rFonts w:ascii="宋体" w:hAnsi="宋体" w:cs="宋体"/>
              </w:rPr>
            </w:pPr>
            <w:r>
              <w:rPr>
                <w:rFonts w:hint="eastAsia" w:ascii="宋体" w:hAnsi="宋体"/>
                <w:b/>
                <w:szCs w:val="21"/>
              </w:rPr>
              <w:t>3</w:t>
            </w:r>
          </w:p>
        </w:tc>
        <w:tc>
          <w:tcPr>
            <w:tcW w:w="1559" w:type="dxa"/>
            <w:vAlign w:val="center"/>
          </w:tcPr>
          <w:p>
            <w:pPr>
              <w:jc w:val="center"/>
              <w:rPr>
                <w:rFonts w:ascii="宋体" w:hAnsi="宋体" w:cs="宋体"/>
              </w:rPr>
            </w:pPr>
            <w:r>
              <w:rPr>
                <w:rFonts w:hint="eastAsia" w:ascii="宋体" w:hAnsi="宋体"/>
                <w:b/>
                <w:szCs w:val="21"/>
              </w:rPr>
              <w:t>售后服务承诺</w:t>
            </w:r>
          </w:p>
        </w:tc>
        <w:tc>
          <w:tcPr>
            <w:tcW w:w="6158" w:type="dxa"/>
            <w:vAlign w:val="center"/>
          </w:tcPr>
          <w:p>
            <w:pPr>
              <w:rPr>
                <w:rFonts w:ascii="宋体" w:hAnsi="宋体"/>
                <w:bCs/>
                <w:szCs w:val="21"/>
                <w:highlight w:val="none"/>
              </w:rPr>
            </w:pPr>
            <w:r>
              <w:rPr>
                <w:rFonts w:hint="eastAsia" w:ascii="宋体" w:hAnsi="宋体"/>
                <w:bCs/>
                <w:szCs w:val="21"/>
                <w:highlight w:val="none"/>
              </w:rPr>
              <w:t>3.1投标人应具有提供日常维护和技术支持的能力；</w:t>
            </w:r>
          </w:p>
          <w:p>
            <w:pPr>
              <w:rPr>
                <w:rFonts w:ascii="宋体" w:hAnsi="宋体" w:cs="宋体"/>
                <w:bCs/>
                <w:szCs w:val="21"/>
                <w:highlight w:val="none"/>
              </w:rPr>
            </w:pPr>
            <w:r>
              <w:rPr>
                <w:rFonts w:hint="eastAsia" w:ascii="宋体" w:hAnsi="宋体"/>
                <w:bCs/>
                <w:szCs w:val="21"/>
                <w:highlight w:val="none"/>
              </w:rPr>
              <w:t>3.2投标人应在深圳市设有合法经营的售后服务机构（即投标人在深圳市内注册或设有分公司或合法注册的其他分支机构），投标人提供相关证明复印件；或外地投标商承诺中标后设立本地经营（服务）网点的，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rPr>
            </w:pPr>
            <w:r>
              <w:rPr>
                <w:rFonts w:hint="eastAsia" w:ascii="宋体" w:hAnsi="宋体"/>
                <w:b/>
                <w:szCs w:val="21"/>
              </w:rPr>
              <w:t>4</w:t>
            </w:r>
          </w:p>
        </w:tc>
        <w:tc>
          <w:tcPr>
            <w:tcW w:w="1559" w:type="dxa"/>
            <w:vAlign w:val="center"/>
          </w:tcPr>
          <w:p>
            <w:pPr>
              <w:jc w:val="center"/>
              <w:rPr>
                <w:rFonts w:ascii="宋体" w:hAnsi="宋体" w:cs="宋体"/>
              </w:rPr>
            </w:pPr>
            <w:r>
              <w:rPr>
                <w:rFonts w:hint="eastAsia" w:ascii="宋体" w:hAnsi="宋体"/>
                <w:b/>
                <w:szCs w:val="21"/>
              </w:rPr>
              <w:t>质量保证</w:t>
            </w:r>
          </w:p>
        </w:tc>
        <w:tc>
          <w:tcPr>
            <w:tcW w:w="6158" w:type="dxa"/>
            <w:vAlign w:val="center"/>
          </w:tcPr>
          <w:p>
            <w:pPr>
              <w:rPr>
                <w:rFonts w:ascii="宋体" w:hAnsi="宋体"/>
                <w:bCs/>
                <w:szCs w:val="21"/>
              </w:rPr>
            </w:pPr>
            <w:r>
              <w:rPr>
                <w:rFonts w:hint="eastAsia" w:ascii="宋体" w:hAnsi="宋体"/>
                <w:bCs/>
                <w:szCs w:val="21"/>
              </w:rPr>
              <w:t>4.1投标人需保证投标设备的质量技术标准符合国家法律法规规定的标准和招标文件所要求的技术标准执行；</w:t>
            </w:r>
          </w:p>
          <w:p>
            <w:pPr>
              <w:rPr>
                <w:rFonts w:ascii="宋体" w:hAnsi="宋体" w:cs="宋体"/>
                <w:bCs/>
                <w:szCs w:val="21"/>
              </w:rPr>
            </w:pPr>
            <w:r>
              <w:rPr>
                <w:rFonts w:hint="eastAsia" w:ascii="宋体" w:hAnsi="宋体"/>
                <w:bCs/>
                <w:szCs w:val="21"/>
              </w:rPr>
              <w:t>4.2保证提供设备为原厂全新产品，否则甲方有权按退货处理并追究相关责任。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426" w:type="dxa"/>
            <w:gridSpan w:val="3"/>
            <w:vAlign w:val="center"/>
          </w:tcPr>
          <w:p>
            <w:pPr>
              <w:rPr>
                <w:rFonts w:ascii="宋体" w:hAnsi="宋体" w:cs="宋体"/>
                <w:bCs/>
                <w:szCs w:val="21"/>
              </w:rPr>
            </w:pPr>
            <w:r>
              <w:rPr>
                <w:rFonts w:hint="eastAsia" w:ascii="宋体" w:hAnsi="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pPr>
              <w:jc w:val="center"/>
              <w:rPr>
                <w:rFonts w:ascii="宋体" w:hAnsi="宋体"/>
                <w:b/>
                <w:szCs w:val="21"/>
              </w:rPr>
            </w:pPr>
            <w:r>
              <w:rPr>
                <w:rFonts w:hint="eastAsia" w:ascii="宋体" w:hAnsi="宋体"/>
                <w:b/>
                <w:szCs w:val="21"/>
              </w:rPr>
              <w:t>1</w:t>
            </w:r>
          </w:p>
        </w:tc>
        <w:tc>
          <w:tcPr>
            <w:tcW w:w="1559" w:type="dxa"/>
            <w:vAlign w:val="center"/>
          </w:tcPr>
          <w:p>
            <w:pPr>
              <w:jc w:val="center"/>
              <w:rPr>
                <w:rFonts w:ascii="宋体" w:hAnsi="宋体"/>
                <w:b/>
                <w:szCs w:val="21"/>
              </w:rPr>
            </w:pPr>
            <w:r>
              <w:rPr>
                <w:rFonts w:hint="eastAsia" w:ascii="宋体" w:hAnsi="宋体"/>
                <w:b/>
                <w:szCs w:val="21"/>
              </w:rPr>
              <w:t>关于交货</w:t>
            </w:r>
          </w:p>
        </w:tc>
        <w:tc>
          <w:tcPr>
            <w:tcW w:w="6158" w:type="dxa"/>
          </w:tcPr>
          <w:p>
            <w:pPr>
              <w:rPr>
                <w:rFonts w:ascii="宋体" w:hAnsi="宋体"/>
                <w:bCs/>
                <w:szCs w:val="21"/>
              </w:rPr>
            </w:pPr>
            <w:r>
              <w:rPr>
                <w:rFonts w:hint="eastAsia" w:ascii="宋体" w:hAnsi="宋体"/>
                <w:bCs/>
                <w:szCs w:val="21"/>
              </w:rPr>
              <w:t>1.1交货地点：深圳市第一职业技术学校</w:t>
            </w:r>
          </w:p>
          <w:p>
            <w:pPr>
              <w:rPr>
                <w:rFonts w:ascii="宋体" w:hAnsi="宋体"/>
                <w:bCs/>
                <w:szCs w:val="21"/>
              </w:rPr>
            </w:pPr>
            <w:r>
              <w:rPr>
                <w:rFonts w:hint="eastAsia" w:ascii="宋体" w:hAnsi="宋体"/>
                <w:bCs/>
                <w:szCs w:val="21"/>
              </w:rPr>
              <w:t>1.2投标人必须承担的设备运输、安装调试、验收检测和提供设备操作说明书、图纸等其他类似的义务。</w:t>
            </w:r>
          </w:p>
          <w:p>
            <w:pPr>
              <w:rPr>
                <w:rFonts w:ascii="宋体" w:hAnsi="宋体"/>
                <w:bCs/>
                <w:szCs w:val="21"/>
              </w:rPr>
            </w:pPr>
            <w:r>
              <w:rPr>
                <w:rFonts w:hint="eastAsia" w:ascii="宋体" w:hAnsi="宋体"/>
                <w:bCs/>
                <w:szCs w:val="21"/>
              </w:rPr>
              <w:t>1.3签订合同后</w:t>
            </w:r>
            <w:r>
              <w:rPr>
                <w:rFonts w:ascii="宋体" w:hAnsi="宋体"/>
                <w:bCs/>
                <w:szCs w:val="21"/>
              </w:rPr>
              <w:t>15</w:t>
            </w:r>
            <w:r>
              <w:rPr>
                <w:rFonts w:hint="eastAsia" w:ascii="宋体" w:hAnsi="宋体"/>
                <w:bCs/>
                <w:szCs w:val="21"/>
              </w:rPr>
              <w:t>天（日历日）内交货。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b/>
                <w:szCs w:val="21"/>
              </w:rPr>
            </w:pPr>
            <w:r>
              <w:rPr>
                <w:rFonts w:hint="eastAsia" w:ascii="宋体" w:hAnsi="宋体"/>
                <w:b/>
                <w:szCs w:val="21"/>
              </w:rPr>
              <w:t>2</w:t>
            </w:r>
          </w:p>
        </w:tc>
        <w:tc>
          <w:tcPr>
            <w:tcW w:w="1559" w:type="dxa"/>
            <w:vAlign w:val="center"/>
          </w:tcPr>
          <w:p>
            <w:pPr>
              <w:jc w:val="center"/>
              <w:rPr>
                <w:rFonts w:ascii="宋体" w:hAnsi="宋体"/>
                <w:b/>
                <w:szCs w:val="21"/>
              </w:rPr>
            </w:pPr>
            <w:r>
              <w:rPr>
                <w:rFonts w:hint="eastAsia" w:ascii="宋体" w:hAnsi="宋体"/>
                <w:b/>
                <w:szCs w:val="21"/>
              </w:rPr>
              <w:t>关于验收</w:t>
            </w:r>
          </w:p>
        </w:tc>
        <w:tc>
          <w:tcPr>
            <w:tcW w:w="6158" w:type="dxa"/>
          </w:tcPr>
          <w:p>
            <w:pPr>
              <w:rPr>
                <w:rFonts w:ascii="宋体" w:hAnsi="宋体"/>
                <w:bCs/>
                <w:szCs w:val="21"/>
              </w:rPr>
            </w:pPr>
            <w:r>
              <w:rPr>
                <w:rFonts w:hint="eastAsia" w:ascii="宋体" w:hAnsi="宋体"/>
                <w:bCs/>
                <w:szCs w:val="21"/>
              </w:rPr>
              <w:t>2.1投标人货物经过双方检验认可后，签署验收报告，产品保修期自验收合格之日起算，由投标人提供产品保修文件。</w:t>
            </w:r>
          </w:p>
          <w:p>
            <w:pPr>
              <w:rPr>
                <w:rFonts w:ascii="宋体" w:hAnsi="宋体"/>
                <w:bCs/>
                <w:szCs w:val="21"/>
              </w:rPr>
            </w:pPr>
            <w:r>
              <w:rPr>
                <w:rFonts w:hint="eastAsia" w:ascii="宋体" w:hAnsi="宋体"/>
                <w:bCs/>
                <w:szCs w:val="21"/>
              </w:rPr>
              <w:t>2.2当满足以下条件时，采购人才向中标人签发货物验收报告：</w:t>
            </w:r>
          </w:p>
          <w:p>
            <w:pPr>
              <w:rPr>
                <w:rFonts w:ascii="宋体" w:hAnsi="宋体"/>
                <w:bCs/>
                <w:szCs w:val="21"/>
              </w:rPr>
            </w:pPr>
            <w:r>
              <w:rPr>
                <w:rFonts w:hint="eastAsia" w:ascii="宋体" w:hAnsi="宋体"/>
                <w:bCs/>
                <w:szCs w:val="21"/>
              </w:rPr>
              <w:t>1）中标人已按照合同规定提供了全部产品及完整的技术资料。</w:t>
            </w:r>
          </w:p>
          <w:p>
            <w:pPr>
              <w:rPr>
                <w:rFonts w:ascii="宋体" w:hAnsi="宋体"/>
                <w:bCs/>
                <w:szCs w:val="21"/>
              </w:rPr>
            </w:pPr>
            <w:r>
              <w:rPr>
                <w:rFonts w:hint="eastAsia" w:ascii="宋体" w:hAnsi="宋体"/>
                <w:bCs/>
                <w:szCs w:val="21"/>
              </w:rPr>
              <w:t>2）货物符合招标文件技术规格书的要求，性能满足要求。</w:t>
            </w:r>
          </w:p>
          <w:p>
            <w:pPr>
              <w:rPr>
                <w:rFonts w:ascii="宋体" w:hAnsi="宋体"/>
                <w:bCs/>
                <w:szCs w:val="21"/>
              </w:rPr>
            </w:pPr>
            <w:r>
              <w:rPr>
                <w:rFonts w:hint="eastAsia" w:ascii="宋体" w:hAnsi="宋体"/>
                <w:bCs/>
                <w:szCs w:val="21"/>
              </w:rPr>
              <w:t>3）货物具备产品合格证。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b/>
                <w:szCs w:val="21"/>
              </w:rPr>
            </w:pPr>
            <w:r>
              <w:rPr>
                <w:rFonts w:hint="eastAsia" w:ascii="宋体" w:hAnsi="宋体"/>
                <w:b/>
                <w:szCs w:val="21"/>
              </w:rPr>
              <w:t>3</w:t>
            </w:r>
          </w:p>
        </w:tc>
        <w:tc>
          <w:tcPr>
            <w:tcW w:w="1559" w:type="dxa"/>
            <w:vAlign w:val="center"/>
          </w:tcPr>
          <w:p>
            <w:pPr>
              <w:jc w:val="center"/>
              <w:rPr>
                <w:rFonts w:ascii="宋体" w:hAnsi="宋体"/>
                <w:b/>
                <w:szCs w:val="21"/>
              </w:rPr>
            </w:pPr>
            <w:r>
              <w:rPr>
                <w:rFonts w:hint="eastAsia" w:ascii="宋体" w:hAnsi="宋体"/>
                <w:b/>
                <w:szCs w:val="21"/>
              </w:rPr>
              <w:t>关于报价</w:t>
            </w:r>
          </w:p>
        </w:tc>
        <w:tc>
          <w:tcPr>
            <w:tcW w:w="6158" w:type="dxa"/>
            <w:vAlign w:val="center"/>
          </w:tcPr>
          <w:p>
            <w:pPr>
              <w:rPr>
                <w:rFonts w:hint="eastAsia" w:ascii="宋体" w:hAnsi="宋体"/>
                <w:bCs/>
                <w:szCs w:val="21"/>
              </w:rPr>
            </w:pPr>
            <w:r>
              <w:rPr>
                <w:rFonts w:hint="eastAsia" w:ascii="宋体" w:hAnsi="宋体"/>
                <w:bCs/>
                <w:szCs w:val="21"/>
              </w:rPr>
              <w:t>本项目投标总价（以人民币计价）必须是满足该项目招标需求费用总和，包括但不限于设备及材料费、辅助材料费、仓储费、运输费、装卸费、保险费、技术培训费、设备安装费、测试费、巡检费及国家规定的各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b/>
                <w:szCs w:val="21"/>
              </w:rPr>
            </w:pPr>
            <w:r>
              <w:rPr>
                <w:rFonts w:hint="eastAsia" w:ascii="宋体" w:hAnsi="宋体"/>
                <w:b/>
                <w:szCs w:val="21"/>
              </w:rPr>
              <w:t>4</w:t>
            </w:r>
          </w:p>
        </w:tc>
        <w:tc>
          <w:tcPr>
            <w:tcW w:w="1559" w:type="dxa"/>
            <w:vAlign w:val="center"/>
          </w:tcPr>
          <w:p>
            <w:pPr>
              <w:jc w:val="center"/>
              <w:rPr>
                <w:rFonts w:ascii="宋体" w:hAnsi="宋体"/>
                <w:b/>
                <w:szCs w:val="21"/>
              </w:rPr>
            </w:pPr>
            <w:r>
              <w:rPr>
                <w:rFonts w:hint="eastAsia" w:ascii="宋体" w:hAnsi="宋体"/>
                <w:b/>
                <w:szCs w:val="21"/>
              </w:rPr>
              <w:t>关于付款</w:t>
            </w:r>
          </w:p>
        </w:tc>
        <w:tc>
          <w:tcPr>
            <w:tcW w:w="6158" w:type="dxa"/>
          </w:tcPr>
          <w:p>
            <w:pPr>
              <w:rPr>
                <w:rFonts w:hint="eastAsia" w:ascii="宋体" w:hAnsi="宋体"/>
                <w:bCs/>
                <w:szCs w:val="21"/>
              </w:rPr>
            </w:pPr>
            <w:r>
              <w:rPr>
                <w:rFonts w:hint="eastAsia" w:ascii="宋体" w:hAnsi="宋体"/>
                <w:bCs/>
                <w:szCs w:val="21"/>
              </w:rPr>
              <w:t>货物安装、调试完毕且验收合格后10个工作日内支付合同金额的100%。</w:t>
            </w:r>
          </w:p>
        </w:tc>
      </w:tr>
    </w:tbl>
    <w:p>
      <w:pPr>
        <w:pStyle w:val="10"/>
        <w:ind w:firstLine="422"/>
        <w:rPr>
          <w:rFonts w:ascii="宋体" w:hAnsi="宋体" w:cs="宋体"/>
          <w:b/>
        </w:rPr>
      </w:pPr>
    </w:p>
    <w:p>
      <w:pPr>
        <w:pStyle w:val="10"/>
        <w:ind w:firstLine="422"/>
        <w:rPr>
          <w:rFonts w:ascii="宋体" w:hAnsi="宋体" w:cs="宋体"/>
          <w:b/>
        </w:rPr>
      </w:pPr>
    </w:p>
    <w:p>
      <w:pPr>
        <w:pStyle w:val="2"/>
        <w:rPr>
          <w:rFonts w:hint="eastAsia"/>
        </w:rPr>
      </w:pPr>
      <w:bookmarkStart w:id="8" w:name="_GoBack"/>
      <w:bookmarkEnd w:id="8"/>
    </w:p>
    <w:p>
      <w:pPr>
        <w:pStyle w:val="2"/>
        <w:rPr>
          <w:rFonts w:hint="eastAsia"/>
        </w:rPr>
      </w:pPr>
    </w:p>
    <w:p>
      <w:pPr>
        <w:pStyle w:val="2"/>
        <w:rPr>
          <w:rFonts w:hint="eastAsia"/>
        </w:rPr>
      </w:pPr>
    </w:p>
    <w:p>
      <w:pPr>
        <w:pStyle w:val="2"/>
      </w:pPr>
      <w:r>
        <w:rPr>
          <w:rFonts w:hint="eastAsia"/>
        </w:rPr>
        <w:t>第三章  投标文件格式</w:t>
      </w:r>
    </w:p>
    <w:p>
      <w:pPr>
        <w:rPr>
          <w:rStyle w:val="22"/>
          <w:rFonts w:ascii="宋体" w:hAnsi="宋体" w:eastAsia="宋体" w:cs="宋体"/>
          <w:sz w:val="28"/>
          <w:szCs w:val="28"/>
        </w:rPr>
      </w:pPr>
      <w:r>
        <w:rPr>
          <w:rStyle w:val="22"/>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ascii="宋体" w:hAnsi="宋体" w:cs="宋体"/>
          <w:sz w:val="24"/>
        </w:rPr>
      </w:pPr>
      <w:r>
        <w:rPr>
          <w:rFonts w:hint="eastAsia" w:ascii="宋体" w:hAnsi="宋体" w:cs="宋体"/>
          <w:sz w:val="24"/>
        </w:rPr>
        <w:t>10、技术保障措施</w:t>
      </w:r>
    </w:p>
    <w:p>
      <w:pPr>
        <w:rPr>
          <w:rFonts w:ascii="宋体" w:hAnsi="宋体" w:cs="宋体"/>
          <w:sz w:val="24"/>
        </w:rPr>
      </w:pPr>
      <w:r>
        <w:rPr>
          <w:rFonts w:hint="eastAsia" w:ascii="宋体" w:hAnsi="宋体" w:cs="宋体"/>
          <w:sz w:val="24"/>
        </w:rPr>
        <w:t>11、实施安全保障措施</w:t>
      </w:r>
    </w:p>
    <w:p>
      <w:pPr>
        <w:rPr>
          <w:rFonts w:ascii="宋体" w:hAnsi="宋体" w:cs="宋体"/>
          <w:sz w:val="24"/>
        </w:rPr>
      </w:pPr>
      <w:r>
        <w:rPr>
          <w:rFonts w:hint="eastAsia" w:ascii="宋体" w:hAnsi="宋体" w:cs="宋体"/>
          <w:sz w:val="24"/>
        </w:rPr>
        <w:t>12、项目实施方案</w:t>
      </w:r>
    </w:p>
    <w:p>
      <w:pPr>
        <w:rPr>
          <w:rFonts w:ascii="宋体" w:hAnsi="宋体" w:cs="宋体"/>
          <w:sz w:val="24"/>
        </w:rPr>
      </w:pPr>
      <w:r>
        <w:rPr>
          <w:rFonts w:hint="eastAsia" w:ascii="宋体" w:hAnsi="宋体" w:cs="宋体"/>
          <w:sz w:val="24"/>
        </w:rPr>
        <w:t>13、售后服务方案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10" w:firstLineChars="100"/>
              <w:rPr>
                <w:rFonts w:ascii="宋体" w:hAnsi="宋体" w:cs="宋体"/>
                <w:color w:val="000000"/>
                <w:kern w:val="0"/>
                <w:szCs w:val="21"/>
                <w:lang w:val="zh-CN"/>
              </w:rPr>
            </w:pP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4"/>
        <w:numPr>
          <w:ilvl w:val="0"/>
          <w:numId w:val="2"/>
        </w:numPr>
        <w:jc w:val="center"/>
        <w:rPr>
          <w:rFonts w:cs="宋体"/>
          <w:bCs w:val="0"/>
          <w:kern w:val="0"/>
          <w:szCs w:val="28"/>
        </w:rPr>
      </w:pPr>
      <w:r>
        <w:rPr>
          <w:rFonts w:hint="eastAsia" w:cs="宋体"/>
          <w:bCs w:val="0"/>
          <w:kern w:val="0"/>
          <w:szCs w:val="28"/>
        </w:rPr>
        <w:t>评标指引表</w:t>
      </w:r>
    </w:p>
    <w:tbl>
      <w:tblPr>
        <w:tblStyle w:val="15"/>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同志，现任我单位职务，为法定代表人，特此证明。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代理人（签名）：性别：年龄：</w:t>
      </w:r>
    </w:p>
    <w:p>
      <w:pPr>
        <w:spacing w:line="360" w:lineRule="auto"/>
        <w:ind w:left="540" w:leftChars="257"/>
        <w:rPr>
          <w:rFonts w:ascii="宋体" w:hAnsi="宋体" w:cs="宋体"/>
          <w:szCs w:val="21"/>
        </w:rPr>
      </w:pPr>
      <w:r>
        <w:rPr>
          <w:rFonts w:hint="eastAsia" w:ascii="宋体" w:hAnsi="宋体" w:cs="宋体"/>
          <w:szCs w:val="21"/>
        </w:rPr>
        <w:t>联系电话：  手机：</w:t>
      </w:r>
    </w:p>
    <w:p>
      <w:pPr>
        <w:spacing w:line="360" w:lineRule="auto"/>
        <w:ind w:left="540" w:leftChars="257"/>
        <w:rPr>
          <w:rFonts w:ascii="宋体" w:hAnsi="宋体" w:cs="宋体"/>
          <w:szCs w:val="21"/>
          <w:u w:val="single"/>
        </w:rPr>
      </w:pPr>
      <w:r>
        <w:rPr>
          <w:rFonts w:hint="eastAsia" w:ascii="宋体" w:hAnsi="宋体" w:cs="宋体"/>
          <w:szCs w:val="21"/>
        </w:rPr>
        <w:t>身份证号码：职务：</w:t>
      </w:r>
    </w:p>
    <w:p>
      <w:pPr>
        <w:spacing w:line="360" w:lineRule="auto"/>
        <w:ind w:left="540" w:leftChars="257"/>
        <w:rPr>
          <w:rFonts w:ascii="宋体" w:hAnsi="宋体" w:cs="宋体"/>
          <w:szCs w:val="21"/>
        </w:rPr>
      </w:pPr>
      <w:r>
        <w:rPr>
          <w:rFonts w:hint="eastAsia" w:ascii="宋体" w:hAnsi="宋体" w:cs="宋体"/>
          <w:szCs w:val="21"/>
        </w:rPr>
        <w:t>投标人（盖章）：</w:t>
      </w:r>
    </w:p>
    <w:p>
      <w:pPr>
        <w:spacing w:line="360" w:lineRule="auto"/>
        <w:ind w:left="540" w:leftChars="257"/>
        <w:rPr>
          <w:rFonts w:ascii="宋体" w:hAnsi="宋体" w:cs="宋体"/>
          <w:szCs w:val="21"/>
        </w:rPr>
      </w:pPr>
      <w:r>
        <w:rPr>
          <w:rFonts w:hint="eastAsia" w:ascii="宋体" w:hAnsi="宋体" w:cs="宋体"/>
          <w:szCs w:val="21"/>
        </w:rPr>
        <w:t>法定代表人（签名）：</w:t>
      </w:r>
    </w:p>
    <w:p>
      <w:pPr>
        <w:spacing w:line="360" w:lineRule="auto"/>
        <w:ind w:left="540" w:leftChars="257"/>
        <w:rPr>
          <w:rFonts w:ascii="宋体" w:hAnsi="宋体" w:cs="宋体"/>
          <w:szCs w:val="21"/>
        </w:rPr>
      </w:pPr>
      <w:r>
        <w:rPr>
          <w:rFonts w:hint="eastAsia" w:ascii="宋体" w:hAnsi="宋体" w:cs="宋体"/>
          <w:szCs w:val="21"/>
        </w:rPr>
        <w:t>授权委托日期：年月 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3"/>
        </w:numPr>
        <w:spacing w:afterLines="50"/>
        <w:ind w:firstLine="440" w:firstLineChars="200"/>
        <w:rPr>
          <w:rFonts w:ascii="宋体" w:hAnsi="宋体" w:cs="宋体"/>
          <w:sz w:val="22"/>
          <w:szCs w:val="22"/>
        </w:rPr>
      </w:pPr>
      <w:r>
        <w:rPr>
          <w:rFonts w:hint="eastAsia" w:ascii="宋体" w:hAnsi="宋体" w:cs="宋体"/>
          <w:sz w:val="22"/>
          <w:szCs w:val="22"/>
        </w:rPr>
        <w:t>根据已收到贵方的的项目的招标文件，遵照《深圳经济特区政府采购条例》和《深圳网上政府采购管理暂行办法》等有关规定，我单位经研究上述招标文件的专用条款及通用条款后，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Lines="50"/>
        <w:ind w:firstLine="411" w:firstLineChars="196"/>
        <w:rPr>
          <w:rFonts w:ascii="宋体" w:hAnsi="宋体" w:cs="宋体"/>
          <w:szCs w:val="21"/>
        </w:rPr>
      </w:pPr>
    </w:p>
    <w:p>
      <w:pPr>
        <w:spacing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Lines="50"/>
        <w:ind w:firstLine="1968" w:firstLineChars="700"/>
        <w:rPr>
          <w:rFonts w:ascii="宋体" w:hAnsi="宋体" w:cs="宋体"/>
          <w:b/>
          <w:bCs/>
          <w:sz w:val="28"/>
          <w:szCs w:val="28"/>
        </w:rPr>
      </w:pPr>
    </w:p>
    <w:p>
      <w:pPr>
        <w:spacing w:afterLines="50"/>
        <w:ind w:firstLine="1968" w:firstLineChars="700"/>
        <w:rPr>
          <w:rFonts w:ascii="宋体" w:hAnsi="宋体" w:cs="宋体"/>
          <w:b/>
          <w:bCs/>
          <w:sz w:val="28"/>
          <w:szCs w:val="28"/>
        </w:rPr>
      </w:pPr>
    </w:p>
    <w:p>
      <w:pPr>
        <w:spacing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Lines="50"/>
        <w:ind w:firstLine="440" w:firstLineChars="200"/>
        <w:rPr>
          <w:rFonts w:ascii="宋体" w:hAnsi="宋体" w:cs="宋体"/>
          <w:sz w:val="22"/>
          <w:szCs w:val="22"/>
        </w:rPr>
      </w:pPr>
    </w:p>
    <w:p>
      <w:pPr>
        <w:spacing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Lines="50"/>
        <w:ind w:firstLine="440" w:firstLineChars="200"/>
        <w:rPr>
          <w:rFonts w:ascii="宋体" w:hAnsi="宋体" w:cs="宋体"/>
          <w:sz w:val="22"/>
          <w:szCs w:val="22"/>
        </w:rPr>
      </w:pPr>
    </w:p>
    <w:p>
      <w:pPr>
        <w:spacing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Lines="50"/>
        <w:rPr>
          <w:rFonts w:ascii="宋体" w:hAnsi="宋体" w:cs="宋体"/>
          <w:b/>
          <w:bCs/>
          <w:sz w:val="24"/>
        </w:rPr>
      </w:pPr>
      <w:r>
        <w:rPr>
          <w:rFonts w:hint="eastAsia" w:ascii="宋体" w:hAnsi="宋体" w:cs="宋体"/>
          <w:b/>
          <w:bCs/>
          <w:sz w:val="24"/>
        </w:rPr>
        <w:t>（一）投标人资格要求的证明文件</w:t>
      </w:r>
    </w:p>
    <w:p>
      <w:pPr>
        <w:spacing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5"/>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p>
    <w:p>
      <w:pPr>
        <w:rPr>
          <w:rFonts w:ascii="宋体" w:hAnsi="宋体" w:cs="宋体"/>
          <w:szCs w:val="21"/>
        </w:rPr>
      </w:pPr>
      <w:r>
        <w:rPr>
          <w:rFonts w:hint="eastAsia" w:ascii="宋体" w:hAnsi="宋体" w:cs="宋体"/>
          <w:szCs w:val="21"/>
        </w:rPr>
        <w:t>供应商代表姓名：</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4"/>
        <w:jc w:val="center"/>
        <w:rPr>
          <w:rFonts w:cs="宋体"/>
          <w:bCs w:val="0"/>
          <w:szCs w:val="28"/>
        </w:rPr>
      </w:pPr>
      <w:r>
        <w:rPr>
          <w:rFonts w:hint="eastAsia" w:cs="宋体"/>
          <w:bCs w:val="0"/>
          <w:szCs w:val="28"/>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8"/>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4"/>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8"/>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4"/>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p>
    <w:p>
      <w:pPr>
        <w:rPr>
          <w:rFonts w:ascii="宋体" w:hAnsi="宋体" w:cs="宋体"/>
          <w:szCs w:val="21"/>
        </w:rPr>
      </w:pPr>
    </w:p>
    <w:tbl>
      <w:tblPr>
        <w:tblStyle w:val="15"/>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4"/>
        <w:jc w:val="center"/>
        <w:rPr>
          <w:rFonts w:cs="宋体"/>
          <w:kern w:val="0"/>
          <w:szCs w:val="28"/>
        </w:rPr>
      </w:pPr>
      <w:r>
        <w:rPr>
          <w:rFonts w:hint="eastAsia" w:cs="宋体"/>
          <w:kern w:val="0"/>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hint="eastAsia" w:ascii="宋体" w:hAnsi="宋体" w:cs="宋体"/>
          <w:lang w:eastAsia="zh-CN"/>
        </w:rPr>
        <w:t>（若有）</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十一、实施安全保障措施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hint="eastAsia" w:ascii="宋体" w:hAnsi="宋体" w:cs="宋体"/>
          <w:lang w:eastAsia="zh-CN"/>
        </w:rPr>
        <w:t>（若有）</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十二、项目实施方案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szCs w:val="21"/>
        </w:rPr>
      </w:pPr>
      <w:r>
        <w:rPr>
          <w:rFonts w:hint="eastAsia" w:ascii="宋体" w:hAnsi="宋体"/>
          <w:szCs w:val="21"/>
        </w:rPr>
        <w:t>（1）供货方案；</w:t>
      </w:r>
    </w:p>
    <w:p>
      <w:pPr>
        <w:spacing w:line="360" w:lineRule="auto"/>
        <w:jc w:val="left"/>
        <w:rPr>
          <w:rFonts w:ascii="宋体" w:hAnsi="宋体"/>
          <w:szCs w:val="21"/>
        </w:rPr>
      </w:pPr>
      <w:r>
        <w:rPr>
          <w:rFonts w:hint="eastAsia" w:ascii="宋体" w:hAnsi="宋体"/>
          <w:szCs w:val="21"/>
        </w:rPr>
        <w:t>（2）施工方案；</w:t>
      </w:r>
    </w:p>
    <w:p>
      <w:pPr>
        <w:spacing w:line="360" w:lineRule="auto"/>
        <w:jc w:val="left"/>
        <w:rPr>
          <w:rFonts w:ascii="宋体" w:hAnsi="宋体"/>
          <w:szCs w:val="21"/>
        </w:rPr>
      </w:pPr>
      <w:r>
        <w:rPr>
          <w:rFonts w:hint="eastAsia" w:ascii="宋体" w:hAnsi="宋体"/>
          <w:szCs w:val="21"/>
        </w:rPr>
        <w:t>（3）质量保障措施。</w:t>
      </w:r>
    </w:p>
    <w:p>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pPr>
        <w:rPr>
          <w:rFonts w:ascii="宋体" w:hAnsi="宋体" w:cs="宋体"/>
          <w:b/>
          <w:bCs/>
          <w:sz w:val="24"/>
        </w:rPr>
      </w:pPr>
    </w:p>
    <w:p>
      <w:pPr>
        <w:pStyle w:val="4"/>
        <w:jc w:val="center"/>
        <w:rPr>
          <w:rFonts w:cs="宋体"/>
          <w:kern w:val="0"/>
          <w:szCs w:val="28"/>
        </w:rPr>
      </w:pPr>
      <w:r>
        <w:rPr>
          <w:rFonts w:hint="eastAsia" w:cs="宋体"/>
          <w:kern w:val="0"/>
          <w:szCs w:val="28"/>
        </w:rPr>
        <w:t>十三、售后服务方案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10"/>
        <w:ind w:firstLine="422"/>
        <w:rPr>
          <w:rFonts w:ascii="宋体" w:hAnsi="宋体" w:cs="宋体"/>
          <w:b/>
        </w:rPr>
      </w:pPr>
    </w:p>
    <w:p>
      <w:pPr>
        <w:pStyle w:val="5"/>
      </w:pPr>
    </w:p>
    <w:p>
      <w:pPr>
        <w:pStyle w:val="1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s>
  <w:rsids>
    <w:rsidRoot w:val="008E06EA"/>
    <w:rsid w:val="000958E5"/>
    <w:rsid w:val="001338D7"/>
    <w:rsid w:val="002B1235"/>
    <w:rsid w:val="00324DC9"/>
    <w:rsid w:val="00390C90"/>
    <w:rsid w:val="003C1F11"/>
    <w:rsid w:val="003C75D3"/>
    <w:rsid w:val="003D140B"/>
    <w:rsid w:val="005821A2"/>
    <w:rsid w:val="006E43F1"/>
    <w:rsid w:val="0079565D"/>
    <w:rsid w:val="008E06EA"/>
    <w:rsid w:val="00960C58"/>
    <w:rsid w:val="00990B16"/>
    <w:rsid w:val="009C137A"/>
    <w:rsid w:val="00A151C1"/>
    <w:rsid w:val="00A2554D"/>
    <w:rsid w:val="00A72C32"/>
    <w:rsid w:val="00A82616"/>
    <w:rsid w:val="00AF491E"/>
    <w:rsid w:val="00B626E5"/>
    <w:rsid w:val="00BD34F2"/>
    <w:rsid w:val="00C815FC"/>
    <w:rsid w:val="00CF7933"/>
    <w:rsid w:val="00D02822"/>
    <w:rsid w:val="00D22651"/>
    <w:rsid w:val="00D415BF"/>
    <w:rsid w:val="00D7132D"/>
    <w:rsid w:val="00E60DB0"/>
    <w:rsid w:val="0FB9795C"/>
    <w:rsid w:val="26B82091"/>
    <w:rsid w:val="38623892"/>
    <w:rsid w:val="3C602787"/>
    <w:rsid w:val="3C740F3C"/>
    <w:rsid w:val="411F02FE"/>
    <w:rsid w:val="49B706BD"/>
    <w:rsid w:val="4B465BD2"/>
    <w:rsid w:val="4E273257"/>
    <w:rsid w:val="52B37A56"/>
    <w:rsid w:val="565A0366"/>
    <w:rsid w:val="6BBD7F7B"/>
    <w:rsid w:val="6EE92007"/>
    <w:rsid w:val="772174F0"/>
    <w:rsid w:val="7EAF0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340" w:after="330" w:line="360" w:lineRule="auto"/>
      <w:jc w:val="center"/>
      <w:outlineLvl w:val="0"/>
    </w:pPr>
    <w:rPr>
      <w:kern w:val="44"/>
      <w:sz w:val="32"/>
      <w:szCs w:val="36"/>
    </w:rPr>
  </w:style>
  <w:style w:type="paragraph" w:styleId="3">
    <w:name w:val="heading 2"/>
    <w:basedOn w:val="4"/>
    <w:next w:val="5"/>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uiPriority w:val="0"/>
    <w:pPr>
      <w:jc w:val="left"/>
    </w:pPr>
  </w:style>
  <w:style w:type="paragraph" w:styleId="8">
    <w:name w:val="Body Text"/>
    <w:basedOn w:val="1"/>
    <w:next w:val="1"/>
    <w:qFormat/>
    <w:uiPriority w:val="0"/>
    <w:pPr>
      <w:spacing w:line="360" w:lineRule="auto"/>
    </w:pPr>
    <w:rPr>
      <w:b/>
      <w:bCs/>
      <w:sz w:val="24"/>
    </w:rPr>
  </w:style>
  <w:style w:type="paragraph" w:styleId="9">
    <w:name w:val="Body Text Indent"/>
    <w:basedOn w:val="1"/>
    <w:next w:val="10"/>
    <w:qFormat/>
    <w:uiPriority w:val="0"/>
    <w:pPr>
      <w:spacing w:line="360" w:lineRule="auto"/>
      <w:ind w:firstLine="420" w:firstLineChars="200"/>
    </w:pPr>
  </w:style>
  <w:style w:type="paragraph" w:styleId="10">
    <w:name w:val="Body Text First Indent 2"/>
    <w:basedOn w:val="9"/>
    <w:unhideWhenUsed/>
    <w:qFormat/>
    <w:uiPriority w:val="99"/>
    <w:pPr>
      <w:spacing w:after="120"/>
      <w:ind w:left="420" w:leftChars="200"/>
    </w:pPr>
    <w:rPr>
      <w:rFonts w:ascii="Calibri" w:hAnsi="Calibri"/>
      <w:szCs w:val="22"/>
    </w:r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Normal (Web)"/>
    <w:basedOn w:val="1"/>
    <w:qFormat/>
    <w:uiPriority w:val="0"/>
    <w:rPr>
      <w:sz w:val="24"/>
    </w:rPr>
  </w:style>
  <w:style w:type="character" w:styleId="17">
    <w:name w:val="Strong"/>
    <w:basedOn w:val="16"/>
    <w:qFormat/>
    <w:uiPriority w:val="22"/>
    <w:rPr>
      <w:b/>
      <w:bCs/>
    </w:rPr>
  </w:style>
  <w:style w:type="character" w:styleId="18">
    <w:name w:val="FollowedHyperlink"/>
    <w:basedOn w:val="16"/>
    <w:qFormat/>
    <w:uiPriority w:val="0"/>
    <w:rPr>
      <w:color w:val="954F72" w:themeColor="followedHyperlink"/>
      <w:u w:val="single"/>
    </w:rPr>
  </w:style>
  <w:style w:type="character" w:styleId="19">
    <w:name w:val="Hyperlink"/>
    <w:unhideWhenUsed/>
    <w:qFormat/>
    <w:uiPriority w:val="99"/>
    <w:rPr>
      <w:color w:val="0000FF"/>
      <w:u w:val="single"/>
    </w:rPr>
  </w:style>
  <w:style w:type="character" w:styleId="20">
    <w:name w:val="annotation reference"/>
    <w:unhideWhenUsed/>
    <w:qFormat/>
    <w:uiPriority w:val="0"/>
    <w:rPr>
      <w:sz w:val="21"/>
      <w:szCs w:val="21"/>
    </w:rPr>
  </w:style>
  <w:style w:type="paragraph" w:customStyle="1" w:styleId="21">
    <w:name w:val="表格文字"/>
    <w:basedOn w:val="1"/>
    <w:qFormat/>
    <w:uiPriority w:val="99"/>
    <w:pPr>
      <w:spacing w:before="25" w:after="25"/>
    </w:pPr>
    <w:rPr>
      <w:spacing w:val="10"/>
      <w:sz w:val="24"/>
    </w:rPr>
  </w:style>
  <w:style w:type="character" w:customStyle="1" w:styleId="22">
    <w:name w:val="标题 3 Char"/>
    <w:qFormat/>
    <w:uiPriority w:val="0"/>
    <w:rPr>
      <w:rFonts w:ascii="黑体" w:eastAsia="黑体"/>
      <w:bCs/>
      <w:sz w:val="30"/>
    </w:rPr>
  </w:style>
  <w:style w:type="character" w:customStyle="1" w:styleId="23">
    <w:name w:val="Unresolved Mention"/>
    <w:basedOn w:val="16"/>
    <w:semiHidden/>
    <w:unhideWhenUsed/>
    <w:qFormat/>
    <w:uiPriority w:val="99"/>
    <w:rPr>
      <w:color w:val="605E5C"/>
      <w:shd w:val="clear" w:color="auto" w:fill="E1DFDD"/>
    </w:rPr>
  </w:style>
  <w:style w:type="character" w:customStyle="1" w:styleId="24">
    <w:name w:val="批注框文本 Char"/>
    <w:basedOn w:val="16"/>
    <w:link w:val="11"/>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1484</Words>
  <Characters>8459</Characters>
  <Lines>70</Lines>
  <Paragraphs>19</Paragraphs>
  <TotalTime>5</TotalTime>
  <ScaleCrop>false</ScaleCrop>
  <LinksUpToDate>false</LinksUpToDate>
  <CharactersWithSpaces>9924</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cp:lastPrinted>2023-10-13T03:02:00Z</cp:lastPrinted>
  <dcterms:modified xsi:type="dcterms:W3CDTF">2023-10-18T07:19:49Z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CD4B80E5CE854C16B40028E49BBD0004_13</vt:lpwstr>
  </property>
</Properties>
</file>