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工业分析检验专用设备采购项目招标文件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二三年十月九日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深圳市第一职业技术学校工业分析检验专用设备采购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 xml:space="preserve">评标总得分＝F1×A1＋F2×A2＋……＋Fn×An </w:t>
            </w:r>
          </w:p>
          <w:p>
            <w:pPr>
              <w:pStyle w:val="12"/>
              <w:widowControl/>
              <w:spacing w:line="324" w:lineRule="auto"/>
              <w:ind w:left="420"/>
              <w:rPr>
                <w:sz w:val="21"/>
                <w:szCs w:val="21"/>
              </w:rPr>
            </w:pPr>
            <w:r>
              <w:rPr>
                <w:sz w:val="21"/>
                <w:szCs w:val="21"/>
              </w:rPr>
              <w:t xml:space="preserve">F1、F2……Fn分别为各项评审因素的得分； </w:t>
            </w:r>
          </w:p>
          <w:p>
            <w:pPr>
              <w:pStyle w:val="12"/>
              <w:widowControl/>
              <w:spacing w:line="324" w:lineRule="auto"/>
              <w:ind w:left="420"/>
              <w:rPr>
                <w:sz w:val="21"/>
                <w:szCs w:val="21"/>
              </w:rPr>
            </w:pPr>
            <w:r>
              <w:rPr>
                <w:sz w:val="21"/>
                <w:szCs w:val="21"/>
              </w:rPr>
              <w:t xml:space="preserve">A1、A2、……An 分别为各项评审因素所占的权重(A1＋A2＋……＋An＝1)。 </w:t>
            </w:r>
          </w:p>
          <w:p>
            <w:pPr>
              <w:pStyle w:val="12"/>
              <w:widowControl/>
              <w:spacing w:line="324" w:lineRule="auto"/>
              <w:ind w:left="420"/>
              <w:rPr>
                <w:sz w:val="21"/>
                <w:szCs w:val="21"/>
              </w:rPr>
            </w:pPr>
            <w:r>
              <w:rPr>
                <w:sz w:val="21"/>
                <w:szCs w:val="21"/>
              </w:rPr>
              <w:t xml:space="preserve">评标过程中，不得去掉报价中的最高报价和最低报价。 </w:t>
            </w:r>
          </w:p>
          <w:p>
            <w:pPr>
              <w:pStyle w:val="12"/>
              <w:widowControl/>
              <w:spacing w:line="324" w:lineRule="auto"/>
              <w:ind w:left="420"/>
              <w:rPr>
                <w:sz w:val="21"/>
                <w:szCs w:val="21"/>
              </w:rPr>
            </w:pPr>
            <w:r>
              <w:rPr>
                <w:sz w:val="21"/>
                <w:szCs w:val="21"/>
              </w:rPr>
              <w:t>此方法适用于货物类、服务类、工程类项目。</w:t>
            </w:r>
          </w:p>
        </w:tc>
      </w:tr>
    </w:tbl>
    <w:p/>
    <w:p>
      <w:pPr>
        <w:pStyle w:val="9"/>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ascii="宋体" w:hAnsi="宋体" w:cs="宋体"/>
                <w:szCs w:val="21"/>
              </w:rPr>
            </w:pPr>
          </w:p>
        </w:tc>
        <w:tc>
          <w:tcPr>
            <w:tcW w:w="1433" w:type="dxa"/>
            <w:gridSpan w:val="3"/>
            <w:vAlign w:val="center"/>
          </w:tcPr>
          <w:p>
            <w:pPr>
              <w:ind w:left="-63" w:leftChars="-30" w:right="-88" w:rightChars="-42"/>
              <w:jc w:val="center"/>
              <w:rPr>
                <w:rFonts w:ascii="宋体" w:hAnsi="宋体" w:cs="宋体"/>
                <w:szCs w:val="21"/>
              </w:rPr>
            </w:pPr>
            <w:r>
              <w:rPr>
                <w:rFonts w:hint="eastAsia" w:ascii="宋体" w:hAnsi="宋体"/>
                <w:color w:val="auto"/>
                <w:szCs w:val="21"/>
                <w:highlight w:val="none"/>
              </w:rPr>
              <w:t>技术要求偏离情况</w:t>
            </w:r>
          </w:p>
        </w:tc>
        <w:tc>
          <w:tcPr>
            <w:tcW w:w="1420" w:type="dxa"/>
            <w:vAlign w:val="center"/>
          </w:tcPr>
          <w:p>
            <w:pPr>
              <w:ind w:left="-78" w:leftChars="-37" w:right="-73" w:rightChars="-35"/>
              <w:jc w:val="center"/>
              <w:rPr>
                <w:rFonts w:ascii="宋体" w:hAnsi="宋体" w:cs="宋体"/>
                <w:szCs w:val="21"/>
              </w:rPr>
            </w:pPr>
            <w:r>
              <w:rPr>
                <w:rFonts w:hint="eastAsia" w:ascii="宋体" w:hAnsi="宋体"/>
                <w:color w:val="auto"/>
                <w:szCs w:val="21"/>
                <w:highlight w:val="none"/>
                <w:lang w:val="en-US" w:eastAsia="zh-CN"/>
              </w:rPr>
              <w:t>40</w:t>
            </w:r>
          </w:p>
        </w:tc>
        <w:tc>
          <w:tcPr>
            <w:tcW w:w="4678" w:type="dxa"/>
            <w:vAlign w:val="center"/>
          </w:tcPr>
          <w:p>
            <w:pPr>
              <w:ind w:left="-63" w:leftChars="-30" w:right="-88" w:rightChars="-42"/>
              <w:jc w:val="left"/>
              <w:rPr>
                <w:rFonts w:ascii="宋体" w:hAnsi="宋体" w:cs="宋体"/>
                <w:szCs w:val="21"/>
              </w:rPr>
            </w:pPr>
            <w:r>
              <w:rPr>
                <w:rFonts w:hint="eastAsia" w:ascii="宋体" w:hAnsi="宋体"/>
                <w:color w:val="auto"/>
                <w:szCs w:val="21"/>
                <w:highlight w:val="none"/>
              </w:rPr>
              <w:t>投标人应如实填写《技术条款响应一览表》，评审委员会根据技术参数要求响应情况进行评审</w:t>
            </w:r>
            <w:r>
              <w:rPr>
                <w:rFonts w:hint="eastAsia" w:ascii="宋体" w:hAnsi="宋体" w:eastAsia="宋体"/>
                <w:color w:val="auto"/>
                <w:szCs w:val="21"/>
                <w:highlight w:val="none"/>
                <w:lang w:eastAsia="zh-CN"/>
              </w:rPr>
              <w:t>，</w:t>
            </w:r>
            <w:r>
              <w:rPr>
                <w:rFonts w:hint="eastAsia" w:ascii="宋体" w:hAnsi="宋体"/>
                <w:color w:val="auto"/>
                <w:szCs w:val="21"/>
                <w:highlight w:val="none"/>
              </w:rPr>
              <w:t>完全满足或优于招标文件要求的得</w:t>
            </w:r>
            <w:r>
              <w:rPr>
                <w:rFonts w:hint="eastAsia" w:ascii="宋体" w:hAnsi="宋体"/>
                <w:color w:val="auto"/>
                <w:szCs w:val="21"/>
                <w:highlight w:val="none"/>
                <w:lang w:val="en-US" w:eastAsia="zh-CN"/>
              </w:rPr>
              <w:t>4</w:t>
            </w:r>
            <w:r>
              <w:rPr>
                <w:rFonts w:hint="eastAsia" w:ascii="宋体" w:hAnsi="宋体"/>
                <w:color w:val="auto"/>
                <w:szCs w:val="21"/>
                <w:highlight w:val="none"/>
              </w:rPr>
              <w:t>0分，带“</w:t>
            </w:r>
            <w:r>
              <w:rPr>
                <w:rFonts w:hint="eastAsia" w:ascii="宋体"/>
                <w:b/>
                <w:bCs/>
                <w:color w:val="auto"/>
                <w:szCs w:val="20"/>
                <w:highlight w:val="none"/>
              </w:rPr>
              <w:t>▲</w:t>
            </w:r>
            <w:r>
              <w:rPr>
                <w:rFonts w:hint="eastAsia" w:ascii="宋体" w:hAnsi="宋体"/>
                <w:color w:val="auto"/>
                <w:szCs w:val="21"/>
                <w:highlight w:val="none"/>
              </w:rPr>
              <w:t>”号参数，每负偏离一项扣</w:t>
            </w:r>
            <w:r>
              <w:rPr>
                <w:rFonts w:hint="eastAsia" w:ascii="宋体" w:hAnsi="宋体"/>
                <w:color w:val="auto"/>
                <w:szCs w:val="21"/>
                <w:highlight w:val="none"/>
                <w:lang w:val="en-US" w:eastAsia="zh-CN"/>
              </w:rPr>
              <w:t>4</w:t>
            </w:r>
            <w:r>
              <w:rPr>
                <w:rFonts w:hint="eastAsia" w:ascii="宋体" w:hAnsi="宋体"/>
                <w:color w:val="auto"/>
                <w:szCs w:val="21"/>
                <w:highlight w:val="none"/>
              </w:rPr>
              <w:t>分；一般参数，每负偏离一项扣1分，扣完为止。</w:t>
            </w:r>
            <w:r>
              <w:rPr>
                <w:rFonts w:hint="eastAsia" w:ascii="宋体" w:hAnsi="宋体"/>
                <w:b/>
                <w:bCs/>
                <w:color w:val="auto"/>
                <w:kern w:val="0"/>
                <w:szCs w:val="21"/>
                <w:highlight w:val="none"/>
              </w:rPr>
              <w:t>【根据技术参数要求提供相关证明文件，未提供或提供的证明文件不符合要求的均视为负偏离。】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hint="eastAsia" w:ascii="宋体" w:hAnsi="宋体" w:cs="宋体"/>
                <w:szCs w:val="21"/>
              </w:rPr>
            </w:pPr>
          </w:p>
        </w:tc>
        <w:tc>
          <w:tcPr>
            <w:tcW w:w="1433" w:type="dxa"/>
            <w:gridSpan w:val="3"/>
            <w:vAlign w:val="center"/>
          </w:tcPr>
          <w:p>
            <w:pPr>
              <w:jc w:val="center"/>
              <w:rPr>
                <w:rFonts w:hint="eastAsia" w:ascii="宋体" w:hAnsi="宋体" w:cs="宋体"/>
                <w:kern w:val="0"/>
                <w:szCs w:val="21"/>
              </w:rPr>
            </w:pPr>
            <w:r>
              <w:rPr>
                <w:rFonts w:hint="eastAsia" w:ascii="宋体" w:hAnsi="宋体" w:cs="宋体"/>
                <w:color w:val="auto"/>
                <w:szCs w:val="21"/>
              </w:rPr>
              <w:t>设备整体的功能、性能及使用效果</w:t>
            </w:r>
          </w:p>
        </w:tc>
        <w:tc>
          <w:tcPr>
            <w:tcW w:w="1420" w:type="dxa"/>
            <w:vAlign w:val="center"/>
          </w:tcPr>
          <w:p>
            <w:pPr>
              <w:ind w:left="-78" w:leftChars="-37" w:right="-73" w:rightChars="-35"/>
              <w:jc w:val="center"/>
              <w:rPr>
                <w:rFonts w:ascii="宋体" w:hAnsi="宋体" w:cs="宋体"/>
                <w:szCs w:val="21"/>
              </w:rPr>
            </w:pPr>
            <w:r>
              <w:rPr>
                <w:rFonts w:hint="eastAsia" w:ascii="宋体" w:hAnsi="宋体"/>
                <w:color w:val="auto"/>
                <w:szCs w:val="21"/>
                <w:highlight w:val="none"/>
                <w:lang w:val="en-US" w:eastAsia="zh-CN"/>
              </w:rPr>
              <w:t>10</w:t>
            </w:r>
          </w:p>
        </w:tc>
        <w:tc>
          <w:tcPr>
            <w:tcW w:w="4678" w:type="dxa"/>
            <w:vAlign w:val="center"/>
          </w:tcPr>
          <w:p>
            <w:pPr>
              <w:jc w:val="left"/>
              <w:textAlignment w:val="baseline"/>
              <w:rPr>
                <w:rFonts w:hint="eastAsia" w:ascii="宋体" w:hAnsi="宋体" w:cs="宋体"/>
                <w:color w:val="auto"/>
                <w:szCs w:val="21"/>
              </w:rPr>
            </w:pPr>
            <w:r>
              <w:rPr>
                <w:rFonts w:hint="eastAsia" w:ascii="宋体" w:hAnsi="宋体" w:cs="宋体"/>
                <w:color w:val="auto"/>
                <w:szCs w:val="21"/>
              </w:rPr>
              <w:t>根据投标人在投标文件中提供的</w:t>
            </w:r>
            <w:r>
              <w:rPr>
                <w:rFonts w:hint="eastAsia" w:ascii="宋体" w:hAnsi="宋体" w:cs="宋体"/>
                <w:color w:val="auto"/>
                <w:szCs w:val="21"/>
                <w:shd w:val="clear" w:color="auto" w:fill="FFFFFF"/>
              </w:rPr>
              <w:t>设备整体的功能、性能及使用效果进行评价</w:t>
            </w:r>
            <w:r>
              <w:rPr>
                <w:rFonts w:hint="eastAsia" w:ascii="宋体" w:hAnsi="宋体" w:cs="宋体"/>
                <w:color w:val="auto"/>
                <w:szCs w:val="21"/>
              </w:rPr>
              <w:t>。</w:t>
            </w:r>
          </w:p>
          <w:p>
            <w:pPr>
              <w:jc w:val="left"/>
              <w:textAlignment w:val="baseline"/>
              <w:rPr>
                <w:rFonts w:hint="eastAsia" w:ascii="宋体" w:hAnsi="宋体" w:cs="宋体"/>
                <w:bCs/>
                <w:color w:val="auto"/>
                <w:szCs w:val="21"/>
              </w:rPr>
            </w:pPr>
            <w:r>
              <w:rPr>
                <w:rFonts w:hint="eastAsia" w:ascii="宋体" w:hAnsi="宋体" w:cs="宋体"/>
                <w:bCs/>
                <w:color w:val="auto"/>
                <w:szCs w:val="21"/>
              </w:rPr>
              <w:t xml:space="preserve">评分标准： </w:t>
            </w:r>
          </w:p>
          <w:p>
            <w:pPr>
              <w:numPr>
                <w:ilvl w:val="0"/>
                <w:numId w:val="2"/>
              </w:numPr>
              <w:jc w:val="left"/>
              <w:textAlignment w:val="baseline"/>
              <w:rPr>
                <w:rFonts w:hint="eastAsia" w:ascii="宋体" w:hAnsi="宋体" w:cs="宋体"/>
                <w:bCs/>
                <w:color w:val="auto"/>
                <w:szCs w:val="21"/>
              </w:rPr>
            </w:pPr>
            <w:r>
              <w:rPr>
                <w:rFonts w:hint="eastAsia" w:ascii="宋体" w:hAnsi="宋体" w:cs="宋体"/>
                <w:bCs/>
                <w:color w:val="auto"/>
                <w:szCs w:val="21"/>
              </w:rPr>
              <w:t xml:space="preserve">投标文件响应内容全面； </w:t>
            </w:r>
          </w:p>
          <w:p>
            <w:pPr>
              <w:numPr>
                <w:ilvl w:val="0"/>
                <w:numId w:val="2"/>
              </w:numPr>
              <w:jc w:val="left"/>
              <w:textAlignment w:val="baseline"/>
              <w:rPr>
                <w:rFonts w:hint="eastAsia" w:ascii="宋体" w:hAnsi="宋体" w:cs="宋体"/>
                <w:bCs/>
                <w:color w:val="auto"/>
                <w:szCs w:val="21"/>
              </w:rPr>
            </w:pPr>
            <w:r>
              <w:rPr>
                <w:rFonts w:hint="eastAsia" w:ascii="宋体" w:hAnsi="宋体" w:cs="宋体"/>
                <w:bCs/>
                <w:color w:val="auto"/>
                <w:szCs w:val="21"/>
              </w:rPr>
              <w:t>投标文件响应内容具体；</w:t>
            </w:r>
          </w:p>
          <w:p>
            <w:pPr>
              <w:numPr>
                <w:ilvl w:val="0"/>
                <w:numId w:val="2"/>
              </w:numPr>
              <w:jc w:val="left"/>
              <w:textAlignment w:val="baseline"/>
              <w:rPr>
                <w:rFonts w:hint="eastAsia" w:ascii="宋体" w:hAnsi="宋体" w:cs="宋体"/>
                <w:bCs/>
                <w:color w:val="auto"/>
                <w:szCs w:val="21"/>
              </w:rPr>
            </w:pPr>
            <w:r>
              <w:rPr>
                <w:rFonts w:hint="eastAsia" w:ascii="宋体" w:hAnsi="宋体" w:cs="宋体"/>
                <w:bCs/>
                <w:color w:val="auto"/>
                <w:szCs w:val="21"/>
              </w:rPr>
              <w:t>投标文件响应内容针对性强；</w:t>
            </w:r>
          </w:p>
          <w:p>
            <w:pPr>
              <w:numPr>
                <w:ilvl w:val="0"/>
                <w:numId w:val="2"/>
              </w:numPr>
              <w:jc w:val="left"/>
              <w:textAlignment w:val="baseline"/>
              <w:rPr>
                <w:rFonts w:hint="eastAsia" w:ascii="宋体" w:hAnsi="宋体" w:cs="宋体"/>
                <w:bCs/>
                <w:color w:val="auto"/>
                <w:szCs w:val="21"/>
              </w:rPr>
            </w:pPr>
            <w:r>
              <w:rPr>
                <w:rFonts w:hint="eastAsia" w:ascii="宋体" w:hAnsi="宋体" w:cs="宋体"/>
                <w:bCs/>
                <w:color w:val="auto"/>
                <w:szCs w:val="21"/>
              </w:rPr>
              <w:t>投标文件响应内容科学合理；</w:t>
            </w:r>
          </w:p>
          <w:p>
            <w:pPr>
              <w:numPr>
                <w:ilvl w:val="0"/>
                <w:numId w:val="2"/>
              </w:numPr>
              <w:jc w:val="left"/>
              <w:textAlignment w:val="baseline"/>
              <w:rPr>
                <w:rFonts w:hint="eastAsia" w:ascii="宋体" w:hAnsi="宋体" w:cs="宋体"/>
                <w:bCs/>
                <w:color w:val="auto"/>
                <w:szCs w:val="21"/>
              </w:rPr>
            </w:pPr>
            <w:r>
              <w:rPr>
                <w:rFonts w:hint="eastAsia" w:ascii="宋体" w:hAnsi="宋体" w:cs="宋体"/>
                <w:bCs/>
                <w:color w:val="auto"/>
                <w:szCs w:val="21"/>
              </w:rPr>
              <w:t xml:space="preserve">投标文件响应内容可操作性强。 </w:t>
            </w:r>
          </w:p>
          <w:p>
            <w:pPr>
              <w:ind w:left="-78" w:leftChars="-37" w:right="-73" w:rightChars="-35" w:firstLine="420" w:firstLineChars="200"/>
              <w:jc w:val="left"/>
              <w:rPr>
                <w:rFonts w:hint="eastAsia" w:ascii="宋体" w:hAnsi="宋体" w:cs="宋体"/>
                <w:szCs w:val="21"/>
              </w:rPr>
            </w:pPr>
            <w:r>
              <w:rPr>
                <w:rFonts w:hint="eastAsia" w:ascii="宋体" w:hAnsi="宋体" w:cs="宋体"/>
                <w:bCs/>
                <w:color w:val="auto"/>
                <w:szCs w:val="21"/>
              </w:rPr>
              <w:t>满足以上五项要求的评价为优得</w:t>
            </w:r>
            <w:r>
              <w:rPr>
                <w:rFonts w:hint="eastAsia" w:ascii="宋体" w:hAnsi="宋体" w:cs="宋体"/>
                <w:bCs/>
                <w:color w:val="auto"/>
                <w:szCs w:val="21"/>
                <w:lang w:val="en-US" w:eastAsia="zh-CN"/>
              </w:rPr>
              <w:t>10</w:t>
            </w:r>
            <w:r>
              <w:rPr>
                <w:rFonts w:hint="eastAsia" w:ascii="宋体" w:hAnsi="宋体" w:cs="宋体"/>
                <w:bCs/>
                <w:color w:val="auto"/>
                <w:szCs w:val="21"/>
              </w:rPr>
              <w:t>分；满足以上四项要求的评价为良得</w:t>
            </w:r>
            <w:r>
              <w:rPr>
                <w:rFonts w:hint="eastAsia" w:ascii="宋体" w:hAnsi="宋体" w:cs="宋体"/>
                <w:bCs/>
                <w:color w:val="auto"/>
                <w:szCs w:val="21"/>
                <w:lang w:val="en-US" w:eastAsia="zh-CN"/>
              </w:rPr>
              <w:t>7</w:t>
            </w:r>
            <w:r>
              <w:rPr>
                <w:rFonts w:hint="eastAsia" w:ascii="宋体" w:hAnsi="宋体" w:cs="宋体"/>
                <w:bCs/>
                <w:color w:val="auto"/>
                <w:szCs w:val="21"/>
              </w:rPr>
              <w:t>分；满足以上三项要求的评价为中得</w:t>
            </w:r>
            <w:r>
              <w:rPr>
                <w:rFonts w:hint="eastAsia" w:ascii="宋体" w:hAnsi="宋体" w:cs="宋体"/>
                <w:bCs/>
                <w:color w:val="auto"/>
                <w:szCs w:val="21"/>
                <w:lang w:val="en-US" w:eastAsia="zh-CN"/>
              </w:rPr>
              <w:t>4</w:t>
            </w:r>
            <w:r>
              <w:rPr>
                <w:rFonts w:hint="eastAsia" w:ascii="宋体" w:hAnsi="宋体" w:cs="宋体"/>
                <w:bCs/>
                <w:color w:val="auto"/>
                <w:szCs w:val="21"/>
              </w:rPr>
              <w:t>分；满足以上两项要求的评价为合格得</w:t>
            </w:r>
            <w:r>
              <w:rPr>
                <w:rFonts w:hint="eastAsia" w:ascii="宋体" w:hAnsi="宋体" w:cs="宋体"/>
                <w:bCs/>
                <w:color w:val="auto"/>
                <w:szCs w:val="21"/>
                <w:lang w:val="en-US" w:eastAsia="zh-CN"/>
              </w:rPr>
              <w:t>2</w:t>
            </w:r>
            <w:r>
              <w:rPr>
                <w:rFonts w:hint="eastAsia" w:ascii="宋体" w:hAnsi="宋体" w:cs="宋体"/>
                <w:bCs/>
                <w:color w:val="auto"/>
                <w:szCs w:val="21"/>
              </w:rPr>
              <w:t>分；满足以上一项要求的评价为一般得0.5分；完全不满足的评价为差得0分。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1"/>
              </w:numPr>
              <w:ind w:left="420" w:leftChars="0" w:hanging="420" w:firstLineChars="0"/>
              <w:jc w:val="right"/>
              <w:rPr>
                <w:rFonts w:hint="eastAsia" w:ascii="宋体" w:hAnsi="宋体" w:cs="宋体"/>
                <w:szCs w:val="21"/>
              </w:rPr>
            </w:pPr>
          </w:p>
        </w:tc>
        <w:tc>
          <w:tcPr>
            <w:tcW w:w="1433" w:type="dxa"/>
            <w:gridSpan w:val="3"/>
            <w:vAlign w:val="center"/>
          </w:tcPr>
          <w:p>
            <w:pPr>
              <w:jc w:val="center"/>
              <w:rPr>
                <w:rFonts w:hint="eastAsia" w:ascii="宋体" w:hAnsi="宋体" w:cs="宋体"/>
                <w:kern w:val="0"/>
                <w:szCs w:val="21"/>
              </w:rPr>
            </w:pPr>
            <w:r>
              <w:rPr>
                <w:rFonts w:hint="eastAsia" w:ascii="宋体" w:hAnsi="宋体"/>
                <w:color w:val="auto"/>
                <w:kern w:val="0"/>
                <w:szCs w:val="21"/>
                <w:highlight w:val="none"/>
              </w:rPr>
              <w:t>售后服务方案</w:t>
            </w:r>
          </w:p>
        </w:tc>
        <w:tc>
          <w:tcPr>
            <w:tcW w:w="1420" w:type="dxa"/>
            <w:vAlign w:val="center"/>
          </w:tcPr>
          <w:p>
            <w:pPr>
              <w:ind w:left="-78" w:leftChars="-37" w:right="-73" w:rightChars="-35"/>
              <w:jc w:val="center"/>
              <w:rPr>
                <w:rFonts w:ascii="宋体" w:hAnsi="宋体" w:cs="宋体"/>
                <w:szCs w:val="21"/>
              </w:rPr>
            </w:pPr>
            <w:r>
              <w:rPr>
                <w:rFonts w:hint="eastAsia" w:ascii="宋体" w:hAnsi="宋体"/>
                <w:color w:val="auto"/>
                <w:szCs w:val="21"/>
                <w:highlight w:val="none"/>
                <w:lang w:val="en-US" w:eastAsia="zh-CN"/>
              </w:rPr>
              <w:t>7</w:t>
            </w:r>
          </w:p>
        </w:tc>
        <w:tc>
          <w:tcPr>
            <w:tcW w:w="4678" w:type="dxa"/>
            <w:vAlign w:val="center"/>
          </w:tcPr>
          <w:p>
            <w:pPr>
              <w:jc w:val="left"/>
              <w:rPr>
                <w:rFonts w:ascii="宋体" w:hAnsi="宋体"/>
                <w:color w:val="auto"/>
                <w:szCs w:val="21"/>
                <w:highlight w:val="none"/>
              </w:rPr>
            </w:pPr>
            <w:r>
              <w:rPr>
                <w:rFonts w:hint="eastAsia" w:ascii="宋体" w:hAnsi="宋体"/>
                <w:color w:val="auto"/>
                <w:szCs w:val="21"/>
                <w:highlight w:val="none"/>
              </w:rPr>
              <w:t>投标人在投标文件中提供</w:t>
            </w:r>
            <w:r>
              <w:rPr>
                <w:rFonts w:hint="eastAsia" w:ascii="宋体" w:hAnsi="宋体"/>
                <w:color w:val="auto"/>
                <w:kern w:val="0"/>
                <w:szCs w:val="21"/>
                <w:highlight w:val="none"/>
              </w:rPr>
              <w:t>售后服务方案</w:t>
            </w:r>
            <w:r>
              <w:rPr>
                <w:rFonts w:hint="eastAsia" w:ascii="宋体" w:hAnsi="宋体"/>
                <w:color w:val="auto"/>
                <w:szCs w:val="21"/>
                <w:highlight w:val="none"/>
              </w:rPr>
              <w:t>，评分标准：</w:t>
            </w:r>
          </w:p>
          <w:p>
            <w:pPr>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rPr>
              <w:t>售后服务方案</w:t>
            </w:r>
            <w:r>
              <w:rPr>
                <w:rFonts w:hint="eastAsia" w:ascii="宋体" w:hAnsi="宋体"/>
                <w:color w:val="auto"/>
                <w:szCs w:val="21"/>
                <w:highlight w:val="none"/>
              </w:rPr>
              <w:t>内容全面；</w:t>
            </w:r>
          </w:p>
          <w:p>
            <w:pPr>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售后服务方案</w:t>
            </w:r>
            <w:r>
              <w:rPr>
                <w:rFonts w:hint="eastAsia" w:ascii="宋体" w:hAnsi="宋体"/>
                <w:color w:val="auto"/>
                <w:szCs w:val="21"/>
                <w:highlight w:val="none"/>
              </w:rPr>
              <w:t>内容具体，表达清晰、完整、严谨；</w:t>
            </w:r>
          </w:p>
          <w:p>
            <w:pPr>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售后服务方案</w:t>
            </w:r>
            <w:r>
              <w:rPr>
                <w:rFonts w:hint="eastAsia" w:ascii="宋体" w:hAnsi="宋体"/>
                <w:color w:val="auto"/>
                <w:szCs w:val="21"/>
                <w:highlight w:val="none"/>
              </w:rPr>
              <w:t>内容针对性强；</w:t>
            </w:r>
          </w:p>
          <w:p>
            <w:pPr>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0"/>
                <w:szCs w:val="21"/>
                <w:highlight w:val="none"/>
              </w:rPr>
              <w:t>售后服务方案</w:t>
            </w:r>
            <w:r>
              <w:rPr>
                <w:rFonts w:hint="eastAsia" w:ascii="宋体" w:hAnsi="宋体"/>
                <w:color w:val="auto"/>
                <w:szCs w:val="21"/>
                <w:highlight w:val="none"/>
              </w:rPr>
              <w:t>内容先进，科学合理；</w:t>
            </w:r>
          </w:p>
          <w:p>
            <w:pPr>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kern w:val="0"/>
                <w:szCs w:val="21"/>
                <w:highlight w:val="none"/>
              </w:rPr>
              <w:t>售后服务方案</w:t>
            </w:r>
            <w:r>
              <w:rPr>
                <w:rFonts w:hint="eastAsia" w:ascii="宋体" w:hAnsi="宋体"/>
                <w:color w:val="auto"/>
                <w:szCs w:val="21"/>
                <w:highlight w:val="none"/>
              </w:rPr>
              <w:t>内容可操作性强；</w:t>
            </w:r>
          </w:p>
          <w:p>
            <w:pPr>
              <w:ind w:left="-78" w:leftChars="-37" w:right="-73" w:rightChars="-35" w:firstLine="420" w:firstLineChars="200"/>
              <w:jc w:val="left"/>
              <w:rPr>
                <w:rFonts w:hint="eastAsia" w:ascii="宋体" w:hAnsi="宋体" w:cs="宋体"/>
                <w:szCs w:val="21"/>
              </w:rPr>
            </w:pPr>
            <w:r>
              <w:rPr>
                <w:rFonts w:hint="eastAsia" w:ascii="宋体" w:hAnsi="宋体" w:cs="宋体"/>
                <w:bCs/>
                <w:color w:val="auto"/>
                <w:szCs w:val="21"/>
              </w:rPr>
              <w:t>满足以上五项要求的评价为优得</w:t>
            </w:r>
            <w:r>
              <w:rPr>
                <w:rFonts w:hint="eastAsia" w:ascii="宋体" w:hAnsi="宋体" w:cs="宋体"/>
                <w:bCs/>
                <w:color w:val="auto"/>
                <w:szCs w:val="21"/>
                <w:lang w:val="en-US" w:eastAsia="zh-CN"/>
              </w:rPr>
              <w:t>7</w:t>
            </w:r>
            <w:r>
              <w:rPr>
                <w:rFonts w:hint="eastAsia" w:ascii="宋体" w:hAnsi="宋体" w:cs="宋体"/>
                <w:bCs/>
                <w:color w:val="auto"/>
                <w:szCs w:val="21"/>
              </w:rPr>
              <w:t>分；满足以上四项要求的评价为良得</w:t>
            </w:r>
            <w:r>
              <w:rPr>
                <w:rFonts w:hint="eastAsia" w:ascii="宋体" w:hAnsi="宋体" w:cs="宋体"/>
                <w:bCs/>
                <w:color w:val="auto"/>
                <w:szCs w:val="21"/>
                <w:lang w:val="en-US" w:eastAsia="zh-CN"/>
              </w:rPr>
              <w:t>5</w:t>
            </w:r>
            <w:r>
              <w:rPr>
                <w:rFonts w:hint="eastAsia" w:ascii="宋体" w:hAnsi="宋体" w:cs="宋体"/>
                <w:bCs/>
                <w:color w:val="auto"/>
                <w:szCs w:val="21"/>
              </w:rPr>
              <w:t>分；满足以上三项要求的评价为中得</w:t>
            </w:r>
            <w:r>
              <w:rPr>
                <w:rFonts w:hint="eastAsia" w:ascii="宋体" w:hAnsi="宋体" w:cs="宋体"/>
                <w:bCs/>
                <w:color w:val="auto"/>
                <w:szCs w:val="21"/>
                <w:lang w:val="en-US" w:eastAsia="zh-CN"/>
              </w:rPr>
              <w:t>3</w:t>
            </w:r>
            <w:r>
              <w:rPr>
                <w:rFonts w:hint="eastAsia" w:ascii="宋体" w:hAnsi="宋体" w:cs="宋体"/>
                <w:bCs/>
                <w:color w:val="auto"/>
                <w:szCs w:val="21"/>
              </w:rPr>
              <w:t>分；满足以上两项要求的评价为合格得</w:t>
            </w:r>
            <w:r>
              <w:rPr>
                <w:rFonts w:hint="eastAsia" w:ascii="宋体" w:hAnsi="宋体" w:cs="宋体"/>
                <w:bCs/>
                <w:color w:val="auto"/>
                <w:szCs w:val="21"/>
                <w:lang w:val="en-US" w:eastAsia="zh-CN"/>
              </w:rPr>
              <w:t>1</w:t>
            </w:r>
            <w:r>
              <w:rPr>
                <w:rFonts w:hint="eastAsia" w:ascii="宋体" w:hAnsi="宋体" w:cs="宋体"/>
                <w:bCs/>
                <w:color w:val="auto"/>
                <w:szCs w:val="21"/>
              </w:rPr>
              <w:t>分；满足以上一项要求的评价为一般得0.5分；完全不满足的评价为差得0分。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eastAsia" w:ascii="宋体" w:hAnsi="宋体" w:eastAsia="宋体" w:cs="宋体"/>
                <w:b/>
                <w:color w:val="FF0000"/>
                <w:szCs w:val="21"/>
                <w:lang w:eastAsia="zh-CN"/>
              </w:rPr>
            </w:pPr>
            <w:r>
              <w:rPr>
                <w:rFonts w:hint="eastAsia" w:ascii="宋体" w:hAnsi="宋体" w:cs="宋体"/>
                <w:b/>
                <w:color w:val="FF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pStyle w:val="23"/>
              <w:numPr>
                <w:ilvl w:val="0"/>
                <w:numId w:val="3"/>
              </w:numPr>
              <w:ind w:left="420" w:leftChars="0" w:hanging="420" w:firstLineChars="0"/>
              <w:jc w:val="center"/>
              <w:rPr>
                <w:rFonts w:ascii="宋体" w:hAnsi="宋体" w:cs="宋体"/>
                <w:szCs w:val="21"/>
              </w:rPr>
            </w:pPr>
          </w:p>
        </w:tc>
        <w:tc>
          <w:tcPr>
            <w:tcW w:w="1422" w:type="dxa"/>
            <w:gridSpan w:val="2"/>
            <w:vAlign w:val="center"/>
          </w:tcPr>
          <w:p>
            <w:pPr>
              <w:jc w:val="center"/>
              <w:rPr>
                <w:rFonts w:ascii="宋体" w:hAnsi="宋体" w:cs="宋体"/>
                <w:szCs w:val="21"/>
              </w:rPr>
            </w:pPr>
            <w:r>
              <w:rPr>
                <w:rFonts w:hint="eastAsia" w:ascii="宋体" w:hAnsi="宋体" w:cs="Times New Roman"/>
                <w:color w:val="auto"/>
                <w:szCs w:val="21"/>
                <w:highlight w:val="none"/>
                <w:lang w:eastAsia="zh-CN"/>
              </w:rPr>
              <w:t>认证情况</w:t>
            </w:r>
          </w:p>
        </w:tc>
        <w:tc>
          <w:tcPr>
            <w:tcW w:w="1431" w:type="dxa"/>
            <w:gridSpan w:val="2"/>
            <w:vAlign w:val="center"/>
          </w:tcPr>
          <w:p>
            <w:pPr>
              <w:ind w:left="-78" w:leftChars="-37" w:right="-73" w:rightChars="-35"/>
              <w:jc w:val="center"/>
              <w:rPr>
                <w:rFonts w:ascii="宋体" w:hAnsi="宋体" w:cs="宋体"/>
                <w:szCs w:val="21"/>
              </w:rPr>
            </w:pPr>
            <w:r>
              <w:rPr>
                <w:rFonts w:hint="eastAsia" w:ascii="宋体" w:hAnsi="宋体"/>
                <w:color w:val="auto"/>
                <w:szCs w:val="21"/>
                <w:highlight w:val="none"/>
                <w:lang w:val="en-US" w:eastAsia="zh-CN"/>
              </w:rPr>
              <w:t>8</w:t>
            </w:r>
          </w:p>
        </w:tc>
        <w:tc>
          <w:tcPr>
            <w:tcW w:w="4678" w:type="dxa"/>
            <w:vAlign w:val="center"/>
          </w:tcPr>
          <w:p>
            <w:pPr>
              <w:spacing w:line="360" w:lineRule="exact"/>
              <w:jc w:val="left"/>
              <w:rPr>
                <w:rFonts w:hint="eastAsia" w:ascii="宋体" w:hAnsi="宋体" w:eastAsia="宋体"/>
                <w:color w:val="auto"/>
                <w:highlight w:val="none"/>
              </w:rPr>
            </w:pPr>
            <w:r>
              <w:rPr>
                <w:rFonts w:hint="eastAsia" w:ascii="宋体" w:hAnsi="宋体" w:eastAsia="宋体"/>
                <w:color w:val="auto"/>
                <w:highlight w:val="none"/>
                <w:lang w:val="en-US" w:eastAsia="zh-CN"/>
              </w:rPr>
              <w:t>1.</w:t>
            </w:r>
            <w:r>
              <w:rPr>
                <w:rFonts w:hint="eastAsia" w:ascii="宋体" w:hAnsi="宋体" w:eastAsia="宋体"/>
                <w:color w:val="auto"/>
                <w:highlight w:val="none"/>
              </w:rPr>
              <w:t>产品由国内保险（中国）有限公司承保产品责任险，单事故索赔金额最高300万美元（提供证明函得2分)。</w:t>
            </w:r>
          </w:p>
          <w:p>
            <w:pPr>
              <w:spacing w:line="360" w:lineRule="exact"/>
              <w:jc w:val="left"/>
              <w:rPr>
                <w:rFonts w:hint="eastAsia"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China</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Skills专家证明（投标时需提供证明复印件得2分）。</w:t>
            </w:r>
          </w:p>
          <w:p>
            <w:pPr>
              <w:spacing w:line="360" w:lineRule="exact"/>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3.售后工程师具备结构工程资格证书（提供复印件加盖制造厂家公章</w:t>
            </w:r>
            <w:r>
              <w:rPr>
                <w:rFonts w:hint="eastAsia" w:ascii="宋体" w:hAnsi="宋体" w:eastAsia="宋体"/>
                <w:color w:val="auto"/>
                <w:highlight w:val="none"/>
              </w:rPr>
              <w:t>得2分</w:t>
            </w:r>
            <w:r>
              <w:rPr>
                <w:rFonts w:hint="eastAsia" w:ascii="宋体" w:hAnsi="宋体" w:eastAsia="宋体"/>
                <w:color w:val="auto"/>
                <w:highlight w:val="none"/>
                <w:lang w:val="en-US" w:eastAsia="zh-CN"/>
              </w:rPr>
              <w:t>）</w:t>
            </w:r>
          </w:p>
          <w:p>
            <w:pPr>
              <w:spacing w:line="360" w:lineRule="exact"/>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4.提供厂家售后服务承诺书原件（加盖制造厂家公章</w:t>
            </w:r>
            <w:r>
              <w:rPr>
                <w:rFonts w:hint="eastAsia" w:ascii="宋体" w:hAnsi="宋体" w:eastAsia="宋体"/>
                <w:color w:val="auto"/>
                <w:highlight w:val="none"/>
              </w:rPr>
              <w:t>得2分</w:t>
            </w:r>
            <w:r>
              <w:rPr>
                <w:rFonts w:hint="eastAsia" w:ascii="宋体" w:hAnsi="宋体" w:eastAsia="宋体"/>
                <w:color w:val="auto"/>
                <w:highlight w:val="none"/>
                <w:lang w:val="en-US" w:eastAsia="zh-CN"/>
              </w:rPr>
              <w:t>）</w:t>
            </w:r>
          </w:p>
          <w:p>
            <w:pPr>
              <w:ind w:left="-78" w:leftChars="-37" w:right="-73" w:rightChars="-35"/>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1"/>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6"/>
        <w:spacing w:before="156" w:beforeLines="50" w:after="156" w:afterLines="50"/>
        <w:rPr>
          <w:rFonts w:cs="宋体"/>
          <w:szCs w:val="28"/>
        </w:rPr>
      </w:pPr>
      <w:bookmarkStart w:id="0" w:name="_Toc100052364"/>
      <w:bookmarkStart w:id="1" w:name="_Toc60631620"/>
      <w:bookmarkStart w:id="2" w:name="_Toc73518117"/>
      <w:bookmarkStart w:id="3" w:name="_Toc73521635"/>
      <w:bookmarkStart w:id="4" w:name="_Toc101074876"/>
      <w:bookmarkStart w:id="5" w:name="_Toc73517639"/>
      <w:bookmarkStart w:id="6" w:name="_Toc73521547"/>
      <w:bookmarkStart w:id="7" w:name="_Toc6056062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深圳市第一职业技术学校工业分析检验专用设备采购</w:t>
      </w:r>
      <w:bookmarkStart w:id="10" w:name="_GoBack"/>
      <w:bookmarkEnd w:id="10"/>
      <w:r>
        <w:rPr>
          <w:rFonts w:hint="eastAsia" w:ascii="宋体" w:hAnsi="宋体" w:cs="宋体"/>
          <w:szCs w:val="21"/>
        </w:rPr>
        <w:t>项目。</w:t>
      </w:r>
    </w:p>
    <w:p>
      <w:pPr>
        <w:pStyle w:val="6"/>
        <w:numPr>
          <w:ilvl w:val="0"/>
          <w:numId w:val="4"/>
        </w:numPr>
        <w:spacing w:before="156" w:beforeLines="50" w:after="156" w:afterLines="50"/>
        <w:rPr>
          <w:rFonts w:cs="宋体"/>
          <w:szCs w:val="28"/>
        </w:rPr>
      </w:pPr>
      <w:r>
        <w:rPr>
          <w:rFonts w:hint="eastAsia" w:cs="宋体"/>
          <w:szCs w:val="28"/>
        </w:rPr>
        <w:t>货物清单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olor w:val="auto"/>
                <w:kern w:val="0"/>
                <w:sz w:val="24"/>
                <w:highlight w:val="none"/>
              </w:rPr>
              <w:t>1</w:t>
            </w:r>
          </w:p>
        </w:tc>
        <w:tc>
          <w:tcPr>
            <w:tcW w:w="2265" w:type="dxa"/>
            <w:vAlign w:val="center"/>
          </w:tcPr>
          <w:p>
            <w:pPr>
              <w:widowControl/>
              <w:jc w:val="center"/>
              <w:textAlignment w:val="center"/>
              <w:rPr>
                <w:rFonts w:ascii="宋体" w:hAnsi="宋体" w:cs="宋体"/>
                <w:bCs/>
                <w:szCs w:val="21"/>
              </w:rPr>
            </w:pPr>
            <w:r>
              <w:rPr>
                <w:rFonts w:hint="eastAsia" w:ascii="宋体" w:hAnsi="宋体"/>
                <w:color w:val="auto"/>
                <w:kern w:val="0"/>
                <w:sz w:val="24"/>
                <w:highlight w:val="none"/>
              </w:rPr>
              <w:t>紫外可见分光光度计</w:t>
            </w:r>
          </w:p>
        </w:tc>
        <w:tc>
          <w:tcPr>
            <w:tcW w:w="1335" w:type="dxa"/>
            <w:vAlign w:val="center"/>
          </w:tcPr>
          <w:p>
            <w:pPr>
              <w:widowControl/>
              <w:jc w:val="center"/>
              <w:textAlignment w:val="center"/>
              <w:rPr>
                <w:rFonts w:ascii="宋体" w:hAnsi="宋体" w:cs="宋体"/>
                <w:bCs/>
                <w:szCs w:val="21"/>
              </w:rPr>
            </w:pPr>
            <w:r>
              <w:rPr>
                <w:rFonts w:hint="eastAsia" w:ascii="宋体" w:hAnsi="宋体"/>
                <w:color w:val="auto"/>
                <w:kern w:val="0"/>
                <w:sz w:val="24"/>
                <w:highlight w:val="none"/>
                <w:lang w:val="en-US" w:eastAsia="zh-CN"/>
              </w:rPr>
              <w:t>2</w:t>
            </w:r>
          </w:p>
        </w:tc>
        <w:tc>
          <w:tcPr>
            <w:tcW w:w="1290" w:type="dxa"/>
            <w:vAlign w:val="center"/>
          </w:tcPr>
          <w:p>
            <w:pPr>
              <w:widowControl/>
              <w:jc w:val="center"/>
              <w:textAlignment w:val="center"/>
              <w:rPr>
                <w:rFonts w:ascii="宋体" w:hAnsi="宋体" w:cs="宋体"/>
                <w:bCs/>
                <w:szCs w:val="21"/>
              </w:rPr>
            </w:pPr>
            <w:r>
              <w:rPr>
                <w:rFonts w:hint="eastAsia" w:ascii="宋体" w:hAnsi="宋体"/>
                <w:color w:val="auto"/>
                <w:kern w:val="0"/>
                <w:sz w:val="24"/>
                <w:highlight w:val="none"/>
                <w:lang w:eastAsia="zh-CN"/>
              </w:rPr>
              <w:t>台</w:t>
            </w:r>
          </w:p>
        </w:tc>
        <w:tc>
          <w:tcPr>
            <w:tcW w:w="2148" w:type="dxa"/>
            <w:vAlign w:val="center"/>
          </w:tcPr>
          <w:p>
            <w:pPr>
              <w:widowControl/>
              <w:jc w:val="center"/>
              <w:textAlignment w:val="center"/>
              <w:rPr>
                <w:rFonts w:ascii="宋体" w:hAnsi="宋体" w:cs="宋体"/>
                <w:bCs/>
                <w:szCs w:val="21"/>
              </w:rPr>
            </w:pPr>
            <w:r>
              <w:rPr>
                <w:rFonts w:hint="eastAsia" w:ascii="宋体" w:hAnsi="宋体"/>
                <w:color w:val="auto"/>
                <w:kern w:val="0"/>
                <w:sz w:val="22"/>
                <w:szCs w:val="22"/>
                <w:highlight w:val="none"/>
              </w:rPr>
              <w:t>详见需求</w:t>
            </w:r>
          </w:p>
        </w:tc>
      </w:tr>
    </w:tbl>
    <w:p>
      <w:pPr>
        <w:pStyle w:val="6"/>
        <w:numPr>
          <w:ilvl w:val="0"/>
          <w:numId w:val="4"/>
        </w:numPr>
        <w:spacing w:before="156" w:beforeLines="50" w:after="156" w:afterLines="50"/>
        <w:ind w:left="0" w:leftChars="0" w:firstLine="0" w:firstLineChars="0"/>
        <w:rPr>
          <w:rFonts w:hint="eastAsia" w:cs="宋体"/>
          <w:szCs w:val="28"/>
        </w:rPr>
      </w:pPr>
      <w:r>
        <w:rPr>
          <w:rFonts w:hint="eastAsia" w:cs="宋体"/>
          <w:szCs w:val="28"/>
        </w:rPr>
        <w:t>具体技术要求</w:t>
      </w:r>
    </w:p>
    <w:p>
      <w:p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说明：</w:t>
      </w:r>
    </w:p>
    <w:p>
      <w:pPr>
        <w:numPr>
          <w:ilvl w:val="0"/>
          <w:numId w:val="5"/>
        </w:num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pPr>
        <w:numPr>
          <w:ilvl w:val="0"/>
          <w:numId w:val="5"/>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投标人须对本项目的采购标的或服务内容进行整体响应，任何只对采购标的或服务内容其中一部分内容进行的响应都被视为无效投标。</w:t>
      </w:r>
    </w:p>
    <w:p>
      <w:pPr>
        <w:numPr>
          <w:ilvl w:val="0"/>
          <w:numId w:val="5"/>
        </w:numPr>
        <w:ind w:firstLine="205" w:firstLineChars="98"/>
        <w:rPr>
          <w:color w:val="auto"/>
          <w:highlight w:val="none"/>
        </w:rPr>
      </w:pPr>
      <w:r>
        <w:rPr>
          <w:rFonts w:hint="eastAsia" w:ascii="仿宋" w:hAnsi="仿宋" w:eastAsia="仿宋" w:cs="Times New Roman"/>
          <w:bCs/>
          <w:snapToGrid w:val="0"/>
          <w:color w:val="auto"/>
          <w:kern w:val="0"/>
          <w:szCs w:val="21"/>
          <w:highlight w:val="none"/>
        </w:rPr>
        <w:t>如项目技术要求中设置了“▲”号参数的，则该项参数为重要技术指标，将在评分项中作为重点评价指标。</w:t>
      </w:r>
    </w:p>
    <w:tbl>
      <w:tblPr>
        <w:tblStyle w:val="14"/>
        <w:tblW w:w="8796" w:type="dxa"/>
        <w:tblInd w:w="93" w:type="dxa"/>
        <w:tblLayout w:type="fixed"/>
        <w:tblCellMar>
          <w:top w:w="0" w:type="dxa"/>
          <w:left w:w="108" w:type="dxa"/>
          <w:bottom w:w="0" w:type="dxa"/>
          <w:right w:w="108" w:type="dxa"/>
        </w:tblCellMar>
      </w:tblPr>
      <w:tblGrid>
        <w:gridCol w:w="1080"/>
        <w:gridCol w:w="1390"/>
        <w:gridCol w:w="6326"/>
      </w:tblGrid>
      <w:tr>
        <w:tblPrEx>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序号</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名称</w:t>
            </w:r>
          </w:p>
        </w:tc>
        <w:tc>
          <w:tcPr>
            <w:tcW w:w="6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b/>
                <w:bCs/>
                <w:color w:val="auto"/>
                <w:sz w:val="24"/>
                <w:highlight w:val="none"/>
              </w:rPr>
            </w:pPr>
            <w:r>
              <w:rPr>
                <w:rFonts w:hint="eastAsia" w:ascii="宋体" w:hAnsi="宋体"/>
                <w:b/>
                <w:bCs/>
                <w:color w:val="auto"/>
                <w:kern w:val="0"/>
                <w:sz w:val="24"/>
                <w:highlight w:val="none"/>
              </w:rPr>
              <w:t>技术规格要求</w:t>
            </w:r>
          </w:p>
        </w:tc>
      </w:tr>
      <w:tr>
        <w:tblPrEx>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auto"/>
                <w:sz w:val="22"/>
                <w:szCs w:val="22"/>
                <w:highlight w:val="none"/>
              </w:rPr>
            </w:pPr>
            <w:r>
              <w:rPr>
                <w:rFonts w:hint="eastAsia" w:ascii="宋体" w:hAnsi="宋体"/>
                <w:color w:val="auto"/>
                <w:kern w:val="0"/>
                <w:sz w:val="22"/>
                <w:szCs w:val="22"/>
                <w:highlight w:val="none"/>
              </w:rPr>
              <w:t xml:space="preserve">1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auto"/>
                <w:sz w:val="22"/>
                <w:szCs w:val="22"/>
                <w:highlight w:val="none"/>
              </w:rPr>
            </w:pPr>
            <w:r>
              <w:rPr>
                <w:rFonts w:hint="eastAsia" w:ascii="宋体" w:hAnsi="宋体"/>
                <w:color w:val="auto"/>
                <w:sz w:val="22"/>
                <w:szCs w:val="22"/>
                <w:highlight w:val="none"/>
              </w:rPr>
              <w:t>紫外可见分光光度计</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一）功能要求</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1.全模具化设计。</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2.罩壳是阻燃塑料压制。</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3.底板是汽车铝压铸铝压制。</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▲4.无声细分电机驱动光栅，精确机械减速系统(提供证明文件并盖章)。</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5.自检完成后有预热倒计时。</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6.除常规USB联机外，还可选配蓝牙模式。</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7.可通过U盘导出数据，所测数据，可进行文件名保存。</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8.通过专门窗口换灯源，无需拆卸整体罩壳。</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9.样品室有漏液口，不小心漏洒的样品会自动流出，</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10.经过防锈处理的样品架和不锈钢螺丝，不易生锈。</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11.带阻尼效果的样品室盖，不会突然落下发出噪音。</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(二)性能参数</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 光学系统：高性能全息光栅1200条/毫米。</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2. 波长范围：190-1100nm。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3. 光谱带宽：2nm。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4. 波长准确度：±0.5nm。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5. 波长重复性：≤0.2nm。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6. 光度准确度：±0.5%T (0-100%T)；±0.002A(0-0.5A) ；±0.004A(0.5-1A)。</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7. 光度重复性：≤0.2%T (0-100%T)；≤0.001A(0-0.5A)；≤0.002A(0.5-1A)。</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8. 杂散光：≤0.05%T@220nm , 360nm。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9. 基线漂移：±0.001A/h @500nm。</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10. 基线平直度：±0.002A。</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11. 噪声：≤0.0005A(500nm处)。</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12. 显示方式：128*64大屏幕液晶显示。</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13. 工作方式：T,A,C，E。</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14. 波长设置方式：自动。</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15. 显示范围：0-200%T , -0.3 - 3A。</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16. 检测器：硅光二极管。</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17. 光源：长寿命钨灯，氘灯。</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18. 键盘：薄膜数字式按键。</w:t>
            </w:r>
          </w:p>
          <w:p>
            <w:pPr>
              <w:widowControl/>
              <w:jc w:val="left"/>
              <w:textAlignment w:val="center"/>
              <w:rPr>
                <w:rFonts w:hint="eastAsia" w:ascii="宋体" w:hAnsi="宋体"/>
                <w:color w:val="auto"/>
                <w:sz w:val="22"/>
                <w:szCs w:val="22"/>
                <w:highlight w:val="none"/>
              </w:rPr>
            </w:pPr>
            <w:r>
              <w:rPr>
                <w:rFonts w:hint="eastAsia" w:ascii="宋体" w:hAnsi="宋体"/>
                <w:color w:val="auto"/>
                <w:sz w:val="22"/>
                <w:szCs w:val="22"/>
                <w:highlight w:val="none"/>
              </w:rPr>
              <w:t>19.▲标配工业分析检验，水处理，化学实验技术技能大赛软件（提供工业分析检验技能大赛说明函加盖制造厂家公章）。</w:t>
            </w:r>
          </w:p>
          <w:p>
            <w:pPr>
              <w:widowControl/>
              <w:jc w:val="left"/>
              <w:textAlignment w:val="center"/>
              <w:rPr>
                <w:rFonts w:ascii="宋体" w:hAnsi="宋体"/>
                <w:color w:val="auto"/>
                <w:sz w:val="22"/>
                <w:szCs w:val="22"/>
                <w:highlight w:val="none"/>
              </w:rPr>
            </w:pPr>
            <w:r>
              <w:rPr>
                <w:rFonts w:hint="eastAsia" w:ascii="宋体" w:hAnsi="宋体"/>
                <w:color w:val="auto"/>
                <w:sz w:val="22"/>
                <w:szCs w:val="22"/>
                <w:highlight w:val="none"/>
              </w:rPr>
              <w:t>20.▲该仪器具备槽差校正功能（投标时需提供该功能截图） 。</w:t>
            </w:r>
          </w:p>
        </w:tc>
      </w:tr>
    </w:tbl>
    <w:p>
      <w:pPr>
        <w:pStyle w:val="12"/>
        <w:widowControl/>
        <w:shd w:val="clear" w:color="auto" w:fill="FFFFFF"/>
        <w:spacing w:beforeAutospacing="0" w:afterAutospacing="0"/>
        <w:rPr>
          <w:rFonts w:ascii="微软雅黑" w:hAnsi="微软雅黑" w:eastAsia="微软雅黑" w:cs="微软雅黑"/>
          <w:color w:val="auto"/>
          <w:szCs w:val="21"/>
          <w:highlight w:val="none"/>
        </w:rPr>
      </w:pPr>
      <w:r>
        <w:rPr>
          <w:rStyle w:val="16"/>
          <w:rFonts w:hint="eastAsia" w:ascii="宋体" w:hAnsi="宋体"/>
          <w:color w:val="auto"/>
          <w:sz w:val="32"/>
          <w:szCs w:val="32"/>
          <w:highlight w:val="none"/>
          <w:shd w:val="clear" w:color="auto" w:fill="FFFFFF"/>
        </w:rPr>
        <w:t> </w:t>
      </w:r>
      <w:r>
        <w:rPr>
          <w:rStyle w:val="16"/>
          <w:rFonts w:hint="eastAsia" w:ascii="宋体" w:hAnsi="宋体"/>
          <w:color w:val="auto"/>
          <w:sz w:val="32"/>
          <w:szCs w:val="32"/>
          <w:highlight w:val="none"/>
          <w:shd w:val="clear" w:color="auto" w:fill="FFFFFF"/>
          <w:lang w:val="en-US" w:eastAsia="zh-CN"/>
        </w:rPr>
        <w:t xml:space="preserve">  </w:t>
      </w:r>
      <w:r>
        <w:rPr>
          <w:rStyle w:val="16"/>
          <w:rFonts w:hint="eastAsia" w:ascii="宋体" w:hAnsi="宋体"/>
          <w:color w:val="auto"/>
          <w:sz w:val="32"/>
          <w:szCs w:val="32"/>
          <w:highlight w:val="none"/>
          <w:shd w:val="clear" w:color="auto" w:fill="FFFFFF"/>
          <w:lang w:eastAsia="zh-CN"/>
        </w:rPr>
        <w:t>三</w:t>
      </w:r>
      <w:r>
        <w:rPr>
          <w:rStyle w:val="16"/>
          <w:rFonts w:hint="eastAsia" w:ascii="宋体" w:hAnsi="宋体"/>
          <w:color w:val="auto"/>
          <w:kern w:val="0"/>
          <w:sz w:val="32"/>
          <w:szCs w:val="32"/>
          <w:highlight w:val="none"/>
          <w:shd w:val="clear" w:color="auto" w:fill="FFFFFF"/>
        </w:rPr>
        <w:t>、商务需求</w:t>
      </w:r>
    </w:p>
    <w:tbl>
      <w:tblPr>
        <w:tblStyle w:val="14"/>
        <w:tblW w:w="89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6"/>
        <w:gridCol w:w="2054"/>
        <w:gridCol w:w="60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82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序号</w:t>
            </w:r>
          </w:p>
        </w:tc>
        <w:tc>
          <w:tcPr>
            <w:tcW w:w="20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目录</w:t>
            </w:r>
          </w:p>
        </w:tc>
        <w:tc>
          <w:tcPr>
            <w:tcW w:w="60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highlight w:val="none"/>
              </w:rPr>
            </w:pPr>
            <w:r>
              <w:rPr>
                <w:rStyle w:val="16"/>
                <w:rFonts w:hint="eastAsia" w:ascii="宋体" w:hAnsi="宋体"/>
                <w:color w:val="auto"/>
                <w:kern w:val="0"/>
                <w:sz w:val="24"/>
                <w:highlight w:val="none"/>
              </w:rPr>
              <w:t>招标商务需求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0" w:hRule="atLeast"/>
        </w:trPr>
        <w:tc>
          <w:tcPr>
            <w:tcW w:w="8919"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highlight w:val="none"/>
              </w:rPr>
            </w:pPr>
            <w:r>
              <w:rPr>
                <w:rStyle w:val="16"/>
                <w:rFonts w:hint="eastAsia" w:ascii="宋体" w:hAnsi="宋体"/>
                <w:color w:val="auto"/>
                <w:kern w:val="0"/>
                <w:sz w:val="24"/>
                <w:highlight w:val="none"/>
              </w:rPr>
              <w:t>（一）免费保修期内售后服务要求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1</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维修响应及故障解决时间</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中标人在接到故障报修后30分钟内做出响应，2小时内携带备件到达现场，到达现场后4小时内必须处理完故障，因特殊或其它原因引起的设施损坏，投标人须保证在24小时内提供相应的备品备件，保证系统的正常运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2</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关于免费保修期</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货物免费保修期1年，时间自最终验收合格并交付使用之日起计算。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3</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售后服务承诺</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3.1投标人应具有提供日常维护和技术支持的能力；</w:t>
            </w:r>
          </w:p>
          <w:p>
            <w:pPr>
              <w:widowControl/>
              <w:jc w:val="left"/>
              <w:rPr>
                <w:color w:val="auto"/>
                <w:sz w:val="22"/>
                <w:szCs w:val="22"/>
                <w:highlight w:val="none"/>
              </w:rPr>
            </w:pPr>
            <w:r>
              <w:rPr>
                <w:rFonts w:hint="eastAsia" w:ascii="宋体" w:hAnsi="宋体"/>
                <w:color w:val="auto"/>
                <w:kern w:val="0"/>
                <w:sz w:val="22"/>
                <w:szCs w:val="22"/>
                <w:highlight w:val="none"/>
              </w:rPr>
              <w:t>3.2投标人应在深圳市设有合法经营的售后服务机构（即投标人在深圳市内注册或设有分公司或合法注册的其他分支机构），投标人提供相关证明扫描件。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4</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质量保证</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4.1投标人需保证投标设备的质量技术标准符合国家法律法规规定的标准和招标文件所要求的技术标准执行；</w:t>
            </w:r>
          </w:p>
          <w:p>
            <w:pPr>
              <w:widowControl/>
              <w:jc w:val="left"/>
              <w:rPr>
                <w:color w:val="auto"/>
                <w:sz w:val="22"/>
                <w:szCs w:val="22"/>
                <w:highlight w:val="none"/>
              </w:rPr>
            </w:pPr>
            <w:r>
              <w:rPr>
                <w:rFonts w:hint="eastAsia" w:ascii="宋体" w:hAnsi="宋体"/>
                <w:color w:val="auto"/>
                <w:kern w:val="0"/>
                <w:sz w:val="22"/>
                <w:szCs w:val="22"/>
                <w:highlight w:val="none"/>
              </w:rPr>
              <w:t>4.2保证提供设备为原厂全新产品，否则甲方有权按退货处理并追究相关责任。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919"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highlight w:val="none"/>
              </w:rPr>
            </w:pPr>
            <w:r>
              <w:rPr>
                <w:rStyle w:val="16"/>
                <w:rFonts w:hint="eastAsia" w:ascii="宋体" w:hAnsi="宋体"/>
                <w:color w:val="auto"/>
                <w:kern w:val="0"/>
                <w:sz w:val="24"/>
                <w:highlight w:val="none"/>
              </w:rPr>
              <w:t>（二）其他商务要求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1</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关于交货</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1.1交货地点：深圳市第一职业技术学校</w:t>
            </w:r>
          </w:p>
          <w:p>
            <w:pPr>
              <w:widowControl/>
              <w:jc w:val="left"/>
              <w:rPr>
                <w:color w:val="auto"/>
                <w:sz w:val="22"/>
                <w:szCs w:val="22"/>
                <w:highlight w:val="none"/>
              </w:rPr>
            </w:pPr>
            <w:r>
              <w:rPr>
                <w:rFonts w:hint="eastAsia" w:ascii="宋体" w:hAnsi="宋体"/>
                <w:color w:val="auto"/>
                <w:kern w:val="0"/>
                <w:sz w:val="22"/>
                <w:szCs w:val="22"/>
                <w:highlight w:val="none"/>
              </w:rPr>
              <w:t>1.2投标人必须承担的设备运输、安装调试、验收检测和提供设备操作说明书、图纸等其他类似的义务。</w:t>
            </w:r>
          </w:p>
          <w:p>
            <w:pPr>
              <w:widowControl/>
              <w:jc w:val="left"/>
              <w:rPr>
                <w:color w:val="auto"/>
                <w:sz w:val="22"/>
                <w:szCs w:val="22"/>
                <w:highlight w:val="none"/>
              </w:rPr>
            </w:pPr>
            <w:r>
              <w:rPr>
                <w:rFonts w:hint="eastAsia" w:ascii="宋体" w:hAnsi="宋体"/>
                <w:color w:val="auto"/>
                <w:kern w:val="0"/>
                <w:sz w:val="22"/>
                <w:szCs w:val="22"/>
                <w:highlight w:val="none"/>
              </w:rPr>
              <w:t>1.3签订合同后20天（日历日）内交货。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2</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关于验收</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2.1投标人货物经过双方检验认可后，签署验收报告，产品保修期自验收合格之日起算，由投标人提供产品保修文件。</w:t>
            </w:r>
          </w:p>
          <w:p>
            <w:pPr>
              <w:widowControl/>
              <w:jc w:val="left"/>
              <w:rPr>
                <w:color w:val="auto"/>
                <w:sz w:val="22"/>
                <w:szCs w:val="22"/>
                <w:highlight w:val="none"/>
              </w:rPr>
            </w:pPr>
            <w:r>
              <w:rPr>
                <w:rFonts w:hint="eastAsia" w:ascii="宋体" w:hAnsi="宋体"/>
                <w:color w:val="auto"/>
                <w:kern w:val="0"/>
                <w:sz w:val="22"/>
                <w:szCs w:val="22"/>
                <w:highlight w:val="none"/>
              </w:rPr>
              <w:t>2.2当满足以下条件时，采购人才向中标人签发货物验收报告：</w:t>
            </w:r>
          </w:p>
          <w:p>
            <w:pPr>
              <w:widowControl/>
              <w:jc w:val="left"/>
              <w:rPr>
                <w:color w:val="auto"/>
                <w:sz w:val="22"/>
                <w:szCs w:val="22"/>
                <w:highlight w:val="none"/>
              </w:rPr>
            </w:pPr>
            <w:r>
              <w:rPr>
                <w:rFonts w:hint="eastAsia" w:ascii="宋体" w:hAnsi="宋体"/>
                <w:color w:val="auto"/>
                <w:kern w:val="0"/>
                <w:sz w:val="22"/>
                <w:szCs w:val="22"/>
                <w:highlight w:val="none"/>
              </w:rPr>
              <w:t>1）中标人已按照合同规定提供了全部产品及完整的技术资料。</w:t>
            </w:r>
          </w:p>
          <w:p>
            <w:pPr>
              <w:widowControl/>
              <w:jc w:val="left"/>
              <w:rPr>
                <w:color w:val="auto"/>
                <w:sz w:val="22"/>
                <w:szCs w:val="22"/>
                <w:highlight w:val="none"/>
              </w:rPr>
            </w:pPr>
            <w:r>
              <w:rPr>
                <w:rFonts w:hint="eastAsia" w:ascii="宋体" w:hAnsi="宋体"/>
                <w:color w:val="auto"/>
                <w:kern w:val="0"/>
                <w:sz w:val="22"/>
                <w:szCs w:val="22"/>
                <w:highlight w:val="none"/>
              </w:rPr>
              <w:t>2）货物符合招标文件技术规格书的要求，性能满足要求。</w:t>
            </w:r>
          </w:p>
          <w:p>
            <w:pPr>
              <w:widowControl/>
              <w:jc w:val="left"/>
              <w:rPr>
                <w:color w:val="auto"/>
                <w:sz w:val="22"/>
                <w:szCs w:val="22"/>
                <w:highlight w:val="none"/>
              </w:rPr>
            </w:pPr>
            <w:r>
              <w:rPr>
                <w:rFonts w:hint="eastAsia" w:ascii="宋体" w:hAnsi="宋体"/>
                <w:color w:val="auto"/>
                <w:kern w:val="0"/>
                <w:sz w:val="22"/>
                <w:szCs w:val="22"/>
                <w:highlight w:val="none"/>
              </w:rPr>
              <w:t>3）货物具备产品合格证。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3</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关于报价</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color w:val="auto"/>
                <w:sz w:val="22"/>
                <w:szCs w:val="22"/>
                <w:highlight w:val="none"/>
              </w:rPr>
            </w:pPr>
            <w:r>
              <w:rPr>
                <w:rFonts w:hint="eastAsia" w:ascii="宋体" w:hAnsi="宋体"/>
                <w:color w:val="auto"/>
                <w:kern w:val="0"/>
                <w:sz w:val="22"/>
                <w:szCs w:val="22"/>
                <w:highlight w:val="none"/>
              </w:rPr>
              <w:t>本项目投标总价（以人民币计价）必须是满足该项目招标需求费用总和，包括但不限于设备及材料费、辅助材料费、仓储费、运输费、装卸费、保险费、技术培训费、设备安装费、测试费、巡检费及国家规定的各项税费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4</w:t>
            </w:r>
          </w:p>
        </w:tc>
        <w:tc>
          <w:tcPr>
            <w:tcW w:w="20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color w:val="auto"/>
                <w:sz w:val="22"/>
                <w:szCs w:val="22"/>
                <w:highlight w:val="none"/>
              </w:rPr>
            </w:pPr>
            <w:r>
              <w:rPr>
                <w:rStyle w:val="16"/>
                <w:rFonts w:hint="eastAsia" w:ascii="宋体" w:hAnsi="宋体"/>
                <w:color w:val="auto"/>
                <w:kern w:val="0"/>
                <w:sz w:val="22"/>
                <w:szCs w:val="22"/>
                <w:highlight w:val="none"/>
              </w:rPr>
              <w:t>关于付款</w:t>
            </w:r>
          </w:p>
        </w:tc>
        <w:tc>
          <w:tcPr>
            <w:tcW w:w="60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color w:val="auto"/>
                <w:sz w:val="22"/>
                <w:szCs w:val="22"/>
                <w:highlight w:val="none"/>
              </w:rPr>
            </w:pPr>
            <w:r>
              <w:rPr>
                <w:rFonts w:hint="eastAsia" w:ascii="宋体" w:hAnsi="宋体"/>
                <w:color w:val="auto"/>
                <w:kern w:val="0"/>
                <w:sz w:val="22"/>
                <w:szCs w:val="22"/>
                <w:highlight w:val="none"/>
              </w:rPr>
              <w:t>在签订合同</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货物安装、调试完毕且验收合格后10个工作日内</w:t>
            </w:r>
            <w:r>
              <w:rPr>
                <w:rFonts w:hint="eastAsia" w:ascii="宋体" w:hAnsi="宋体"/>
                <w:color w:val="auto"/>
                <w:kern w:val="0"/>
                <w:sz w:val="22"/>
                <w:szCs w:val="22"/>
                <w:highlight w:val="none"/>
                <w:lang w:eastAsia="zh-CN"/>
              </w:rPr>
              <w:t>一次性</w:t>
            </w:r>
            <w:r>
              <w:rPr>
                <w:rFonts w:hint="eastAsia" w:ascii="宋体" w:hAnsi="宋体"/>
                <w:color w:val="auto"/>
                <w:kern w:val="0"/>
                <w:sz w:val="22"/>
                <w:szCs w:val="22"/>
                <w:highlight w:val="none"/>
              </w:rPr>
              <w:t>支付合同金额的</w:t>
            </w:r>
            <w:r>
              <w:rPr>
                <w:rFonts w:hint="eastAsia" w:ascii="宋体" w:hAnsi="宋体"/>
                <w:color w:val="auto"/>
                <w:kern w:val="0"/>
                <w:sz w:val="22"/>
                <w:szCs w:val="22"/>
                <w:highlight w:val="none"/>
                <w:lang w:val="en-US" w:eastAsia="zh-CN"/>
              </w:rPr>
              <w:t>100</w:t>
            </w:r>
            <w:r>
              <w:rPr>
                <w:rFonts w:hint="eastAsia" w:ascii="宋体" w:hAnsi="宋体"/>
                <w:color w:val="auto"/>
                <w:kern w:val="0"/>
                <w:sz w:val="22"/>
                <w:szCs w:val="22"/>
                <w:highlight w:val="none"/>
              </w:rPr>
              <w:t>%。</w:t>
            </w:r>
          </w:p>
        </w:tc>
      </w:tr>
    </w:tbl>
    <w:p>
      <w:pPr>
        <w:widowControl/>
        <w:shd w:val="clear" w:color="auto" w:fill="FFFFFF"/>
        <w:jc w:val="left"/>
        <w:rPr>
          <w:color w:val="auto"/>
          <w:highlight w:val="none"/>
        </w:rPr>
      </w:pPr>
      <w:r>
        <w:rPr>
          <w:rStyle w:val="16"/>
          <w:rFonts w:hint="eastAsia" w:ascii="微软雅黑" w:hAnsi="微软雅黑" w:eastAsia="微软雅黑" w:cs="微软雅黑"/>
          <w:color w:val="auto"/>
          <w:kern w:val="0"/>
          <w:sz w:val="22"/>
          <w:szCs w:val="22"/>
          <w:highlight w:val="none"/>
          <w:shd w:val="clear" w:color="auto" w:fill="FFFFFF"/>
        </w:rPr>
        <w:t> </w:t>
      </w:r>
      <w:bookmarkStart w:id="8" w:name="bt投标书"/>
      <w:bookmarkEnd w:id="8"/>
      <w:bookmarkStart w:id="9" w:name="bt附件"/>
      <w:bookmarkEnd w:id="9"/>
    </w:p>
    <w:p>
      <w:pPr>
        <w:pStyle w:val="3"/>
      </w:pPr>
      <w:r>
        <w:rPr>
          <w:rFonts w:hint="eastAsia"/>
        </w:rPr>
        <w:t>第三章  投标文件格式</w:t>
      </w:r>
    </w:p>
    <w:p>
      <w:pPr>
        <w:rPr>
          <w:rStyle w:val="21"/>
          <w:rFonts w:ascii="宋体" w:hAnsi="宋体" w:eastAsia="宋体" w:cs="宋体"/>
          <w:sz w:val="28"/>
          <w:szCs w:val="28"/>
        </w:rPr>
      </w:pPr>
      <w:r>
        <w:rPr>
          <w:rStyle w:val="21"/>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9"/>
      </w:pPr>
    </w:p>
    <w:p>
      <w:pPr>
        <w:pStyle w:val="4"/>
        <w:numPr>
          <w:ilvl w:val="0"/>
          <w:numId w:val="6"/>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7"/>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9"/>
        <w:ind w:firstLine="422"/>
        <w:rPr>
          <w:rFonts w:ascii="宋体" w:hAnsi="宋体" w:cs="宋体"/>
          <w:b/>
        </w:rPr>
      </w:pPr>
    </w:p>
    <w:p>
      <w:pPr>
        <w:pStyle w:val="5"/>
      </w:pPr>
    </w:p>
    <w:p>
      <w:pPr>
        <w:pStyle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DAED16AA"/>
    <w:multiLevelType w:val="singleLevel"/>
    <w:tmpl w:val="DAED16AA"/>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85A461"/>
    <w:multiLevelType w:val="singleLevel"/>
    <w:tmpl w:val="3C85A461"/>
    <w:lvl w:ilvl="0" w:tentative="0">
      <w:start w:val="1"/>
      <w:numFmt w:val="decimal"/>
      <w:suff w:val="nothing"/>
      <w:lvlText w:val="%1、"/>
      <w:lvlJc w:val="left"/>
    </w:lvl>
  </w:abstractNum>
  <w:abstractNum w:abstractNumId="5">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5A748D"/>
    <w:multiLevelType w:val="singleLevel"/>
    <w:tmpl w:val="625A748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26B82091"/>
    <w:rsid w:val="3C602787"/>
    <w:rsid w:val="411F02FE"/>
    <w:rsid w:val="4B465BD2"/>
    <w:rsid w:val="4E273257"/>
    <w:rsid w:val="52B37A56"/>
    <w:rsid w:val="565A0366"/>
    <w:rsid w:val="59E33C70"/>
    <w:rsid w:val="62E8739E"/>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paragraph" w:styleId="13">
    <w:name w:val="Body Text First Indent"/>
    <w:basedOn w:val="2"/>
    <w:qFormat/>
    <w:uiPriority w:val="0"/>
    <w:pPr>
      <w:ind w:firstLine="420" w:firstLineChars="100"/>
    </w:p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表格文字"/>
    <w:basedOn w:val="1"/>
    <w:qFormat/>
    <w:uiPriority w:val="99"/>
    <w:pPr>
      <w:spacing w:before="25" w:after="25"/>
    </w:pPr>
    <w:rPr>
      <w:spacing w:val="10"/>
      <w:sz w:val="24"/>
    </w:rPr>
  </w:style>
  <w:style w:type="character" w:customStyle="1" w:styleId="21">
    <w:name w:val="标题 3 Char"/>
    <w:qFormat/>
    <w:uiPriority w:val="0"/>
    <w:rPr>
      <w:rFonts w:ascii="黑体" w:eastAsia="黑体"/>
      <w:bCs/>
      <w:sz w:val="30"/>
    </w:rPr>
  </w:style>
  <w:style w:type="character" w:customStyle="1" w:styleId="22">
    <w:name w:val="Unresolved Mention"/>
    <w:basedOn w:val="15"/>
    <w:semiHidden/>
    <w:unhideWhenUsed/>
    <w:qFormat/>
    <w:uiPriority w:val="99"/>
    <w:rPr>
      <w:color w:val="605E5C"/>
      <w:shd w:val="clear" w:color="auto" w:fill="E1DFDD"/>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1584</Words>
  <Characters>9029</Characters>
  <Lines>75</Lines>
  <Paragraphs>21</Paragraphs>
  <TotalTime>3</TotalTime>
  <ScaleCrop>false</ScaleCrop>
  <LinksUpToDate>false</LinksUpToDate>
  <CharactersWithSpaces>10592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2023-10-16T02:15:13Z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FD6E686AA8F54FA38A5CBE3EAA1F9D5D_13</vt:lpwstr>
  </property>
</Properties>
</file>