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default" w:ascii="华文中宋" w:hAnsi="华文中宋" w:eastAsia="华文中宋"/>
          <w:b/>
          <w:bCs/>
          <w:sz w:val="50"/>
          <w:szCs w:val="44"/>
          <w:lang w:val="en-US" w:eastAsia="zh-CN"/>
        </w:rPr>
      </w:pPr>
      <w:r>
        <w:rPr>
          <w:rFonts w:hint="eastAsia" w:ascii="华文中宋" w:hAnsi="华文中宋" w:eastAsia="华文中宋"/>
          <w:b/>
          <w:bCs/>
          <w:sz w:val="50"/>
          <w:szCs w:val="44"/>
          <w:lang w:val="en-US" w:eastAsia="zh-CN"/>
        </w:rPr>
        <w:t xml:space="preserve">                                                        </w:t>
      </w:r>
    </w:p>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50"/>
          <w:szCs w:val="44"/>
        </w:rPr>
      </w:pPr>
      <w:r>
        <w:rPr>
          <w:rFonts w:hint="eastAsia" w:ascii="华文中宋" w:hAnsi="华文中宋" w:eastAsia="华文中宋"/>
          <w:b/>
          <w:bCs/>
          <w:sz w:val="50"/>
          <w:szCs w:val="44"/>
        </w:rPr>
        <w:t>深圳市第一职业技术学校</w:t>
      </w:r>
    </w:p>
    <w:p>
      <w:pPr>
        <w:adjustRightInd w:val="0"/>
        <w:snapToGrid w:val="0"/>
        <w:jc w:val="center"/>
        <w:rPr>
          <w:rFonts w:ascii="华文中宋" w:hAnsi="华文中宋" w:eastAsia="华文中宋"/>
          <w:b/>
          <w:bCs/>
          <w:sz w:val="50"/>
          <w:szCs w:val="44"/>
        </w:rPr>
      </w:pPr>
      <w:r>
        <w:rPr>
          <w:rFonts w:hint="eastAsia" w:ascii="华文中宋" w:hAnsi="华文中宋" w:eastAsia="华文中宋"/>
          <w:b/>
          <w:bCs/>
          <w:sz w:val="50"/>
          <w:szCs w:val="44"/>
        </w:rPr>
        <w:t>综合高中楼五楼厕所改造项目招标文件</w:t>
      </w: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spacing w:after="156" w:afterLines="50" w:line="320" w:lineRule="exact"/>
        <w:jc w:val="center"/>
        <w:rPr>
          <w:rFonts w:ascii="宋体" w:hAnsi="宋体" w:cs="Arial"/>
          <w:b/>
          <w:sz w:val="24"/>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widowControl/>
        <w:jc w:val="center"/>
        <w:rPr>
          <w:rFonts w:ascii="黑体" w:hAnsi="华文中宋" w:eastAsia="黑体" w:cs="Arial"/>
          <w:szCs w:val="21"/>
        </w:rPr>
      </w:pPr>
      <w:r>
        <w:rPr>
          <w:rFonts w:hint="eastAsia" w:ascii="黑体" w:hAnsi="华文中宋" w:eastAsia="黑体" w:cs="Arial"/>
          <w:sz w:val="32"/>
          <w:szCs w:val="32"/>
        </w:rPr>
        <w:t>深圳市第一职业技术学校</w:t>
      </w:r>
    </w:p>
    <w:p>
      <w:pPr>
        <w:widowControl/>
        <w:spacing w:line="480" w:lineRule="exact"/>
        <w:jc w:val="center"/>
        <w:rPr>
          <w:rFonts w:ascii="宋体" w:hAnsi="宋体" w:cs="宋体"/>
        </w:rPr>
      </w:pPr>
      <w:r>
        <w:rPr>
          <w:rFonts w:hint="eastAsia" w:ascii="黑体" w:hAnsi="华文中宋" w:eastAsia="黑体" w:cs="Arial"/>
          <w:sz w:val="32"/>
          <w:szCs w:val="32"/>
        </w:rPr>
        <w:t>二</w:t>
      </w:r>
      <w:r>
        <w:rPr>
          <w:rFonts w:hint="eastAsia" w:ascii="黑体" w:hAnsi="华文中宋" w:eastAsia="黑体"/>
          <w:sz w:val="28"/>
          <w:szCs w:val="28"/>
        </w:rPr>
        <w:t>○</w:t>
      </w:r>
      <w:r>
        <w:rPr>
          <w:rFonts w:hint="eastAsia" w:ascii="黑体" w:hAnsi="华文中宋" w:eastAsia="黑体" w:cs="Arial"/>
          <w:sz w:val="32"/>
          <w:szCs w:val="32"/>
        </w:rPr>
        <w:t>二三年七月</w:t>
      </w:r>
      <w:r>
        <w:rPr>
          <w:rFonts w:hint="eastAsia" w:ascii="黑体" w:hAnsi="华文中宋" w:eastAsia="黑体" w:cs="Arial"/>
          <w:sz w:val="32"/>
          <w:szCs w:val="32"/>
          <w:lang w:eastAsia="zh-CN"/>
        </w:rPr>
        <w:t>二十七</w:t>
      </w:r>
      <w:r>
        <w:rPr>
          <w:rFonts w:hint="eastAsia" w:ascii="黑体" w:hAnsi="华文中宋" w:eastAsia="黑体" w:cs="Arial"/>
          <w:sz w:val="32"/>
          <w:szCs w:val="32"/>
        </w:rPr>
        <w:t>日</w:t>
      </w:r>
      <w:r>
        <w:rPr>
          <w:rFonts w:hint="eastAsia" w:ascii="宋体" w:hAnsi="宋体" w:cs="宋体"/>
          <w:sz w:val="32"/>
          <w:szCs w:val="32"/>
        </w:rPr>
        <w:br w:type="page"/>
      </w:r>
    </w:p>
    <w:p>
      <w:pPr>
        <w:pStyle w:val="4"/>
      </w:pPr>
      <w:r>
        <w:rPr>
          <w:rFonts w:hint="eastAsia"/>
        </w:rPr>
        <w:t>第一章  项目评审信息</w:t>
      </w:r>
    </w:p>
    <w:p>
      <w:pPr>
        <w:adjustRightInd w:val="0"/>
        <w:snapToGrid w:val="0"/>
        <w:spacing w:line="360" w:lineRule="auto"/>
        <w:rPr>
          <w:rFonts w:ascii="宋体" w:hAnsi="宋体" w:cs="宋体"/>
          <w:szCs w:val="21"/>
        </w:rPr>
      </w:pPr>
      <w:r>
        <w:rPr>
          <w:rFonts w:hint="eastAsia" w:ascii="宋体" w:hAnsi="宋体" w:cs="宋体"/>
          <w:szCs w:val="21"/>
        </w:rPr>
        <w:t xml:space="preserve">      项目名称：  深圳市第一职业技术学校综合高中楼五楼厕所改造项目  </w:t>
      </w:r>
    </w:p>
    <w:p>
      <w:pPr>
        <w:adjustRightInd w:val="0"/>
        <w:snapToGrid w:val="0"/>
        <w:spacing w:line="360" w:lineRule="auto"/>
        <w:rPr>
          <w:rFonts w:ascii="宋体" w:hAnsi="宋体" w:cs="宋体"/>
          <w:szCs w:val="21"/>
        </w:rPr>
      </w:pPr>
      <w:r>
        <w:rPr>
          <w:rFonts w:hint="eastAsia" w:ascii="宋体" w:hAnsi="宋体" w:cs="宋体"/>
          <w:szCs w:val="21"/>
        </w:rPr>
        <w:t xml:space="preserve">      项目类型：  工程类</w:t>
      </w:r>
    </w:p>
    <w:p>
      <w:pPr>
        <w:adjustRightInd w:val="0"/>
        <w:snapToGrid w:val="0"/>
        <w:spacing w:line="360" w:lineRule="auto"/>
        <w:rPr>
          <w:rFonts w:ascii="宋体" w:hAnsi="宋体" w:cs="宋体"/>
          <w:szCs w:val="21"/>
        </w:rPr>
      </w:pPr>
      <w:r>
        <w:rPr>
          <w:rFonts w:hint="eastAsia" w:ascii="宋体" w:hAnsi="宋体" w:cs="宋体"/>
          <w:szCs w:val="21"/>
        </w:rPr>
        <w:t xml:space="preserve">      采购方式：  公开招标</w:t>
      </w:r>
    </w:p>
    <w:p>
      <w:pPr>
        <w:adjustRightInd w:val="0"/>
        <w:snapToGrid w:val="0"/>
        <w:spacing w:line="360" w:lineRule="auto"/>
        <w:rPr>
          <w:rFonts w:ascii="宋体" w:hAnsi="宋体" w:cs="宋体"/>
          <w:szCs w:val="21"/>
        </w:rPr>
      </w:pPr>
      <w:r>
        <w:rPr>
          <w:rFonts w:hint="eastAsia" w:ascii="宋体" w:hAnsi="宋体" w:cs="宋体"/>
          <w:szCs w:val="21"/>
        </w:rPr>
        <w:t xml:space="preserve">      货币类型：  人民币</w:t>
      </w:r>
    </w:p>
    <w:p>
      <w:pPr>
        <w:pStyle w:val="7"/>
        <w:rPr>
          <w:rFonts w:cs="宋体"/>
          <w:szCs w:val="28"/>
        </w:rPr>
      </w:pPr>
      <w:r>
        <w:rPr>
          <w:rFonts w:hint="eastAsia" w:cs="宋体"/>
          <w:szCs w:val="28"/>
        </w:rPr>
        <w:t>投标文件初审表</w:t>
      </w:r>
    </w:p>
    <w:p>
      <w:pPr>
        <w:spacing w:after="112" w:afterLines="36"/>
        <w:jc w:val="center"/>
        <w:rPr>
          <w:rFonts w:ascii="宋体" w:hAnsi="宋体" w:cs="宋体"/>
          <w:b/>
        </w:rPr>
      </w:pPr>
      <w:r>
        <w:rPr>
          <w:rFonts w:hint="eastAsia" w:ascii="宋体" w:hAnsi="宋体" w:cs="宋体"/>
          <w:b/>
        </w:rPr>
        <w:t>（凡有下列情形之一的，投标文件无效，投标作废标处理）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1</w:t>
            </w:r>
          </w:p>
        </w:tc>
        <w:tc>
          <w:tcPr>
            <w:tcW w:w="7988" w:type="dxa"/>
            <w:vAlign w:val="center"/>
          </w:tcPr>
          <w:p>
            <w:pPr>
              <w:rPr>
                <w:rFonts w:ascii="宋体" w:hAnsi="宋体" w:cs="宋体"/>
                <w:b/>
              </w:rPr>
            </w:pPr>
            <w:r>
              <w:rPr>
                <w:rFonts w:hint="eastAsia" w:ascii="宋体" w:hAnsi="宋体" w:cs="宋体"/>
                <w:b/>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2</w:t>
            </w:r>
          </w:p>
        </w:tc>
        <w:tc>
          <w:tcPr>
            <w:tcW w:w="7988" w:type="dxa"/>
            <w:vAlign w:val="center"/>
          </w:tcPr>
          <w:p>
            <w:pPr>
              <w:rPr>
                <w:rFonts w:ascii="宋体" w:hAnsi="宋体" w:cs="宋体"/>
              </w:rPr>
            </w:pPr>
            <w:r>
              <w:rPr>
                <w:rFonts w:hint="eastAsia" w:ascii="宋体" w:hAnsi="宋体" w:cs="宋体"/>
              </w:rPr>
              <w:t>未按招标文件对投标文件组成的要求提供投标文件的（投标文件组成不完整）</w:t>
            </w:r>
            <w:r>
              <w:rPr>
                <w:rFonts w:hint="eastAsia" w:ascii="宋体" w:hAnsi="宋体" w:cs="宋体"/>
                <w:b/>
                <w:color w:val="FF0000"/>
              </w:rPr>
              <w:t>或</w:t>
            </w:r>
            <w:r>
              <w:rPr>
                <w:rFonts w:hint="eastAsia" w:ascii="宋体" w:hAnsi="宋体" w:cs="宋体"/>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3</w:t>
            </w:r>
          </w:p>
        </w:tc>
        <w:tc>
          <w:tcPr>
            <w:tcW w:w="7988" w:type="dxa"/>
            <w:vAlign w:val="center"/>
          </w:tcPr>
          <w:p>
            <w:pPr>
              <w:rPr>
                <w:rFonts w:ascii="宋体" w:hAnsi="宋体" w:cs="宋体"/>
              </w:rPr>
            </w:pPr>
            <w:r>
              <w:rPr>
                <w:rFonts w:hint="eastAsia" w:ascii="宋体" w:hAnsi="宋体" w:cs="宋体"/>
                <w:b/>
              </w:rPr>
              <w:t>《技术规格偏离表》或《商务需求偏离表》填写不全或不实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4</w:t>
            </w:r>
          </w:p>
        </w:tc>
        <w:tc>
          <w:tcPr>
            <w:tcW w:w="7988" w:type="dxa"/>
            <w:vAlign w:val="center"/>
          </w:tcPr>
          <w:p>
            <w:pPr>
              <w:rPr>
                <w:rFonts w:ascii="宋体" w:hAnsi="宋体" w:cs="宋体"/>
              </w:rPr>
            </w:pPr>
            <w:r>
              <w:rPr>
                <w:rFonts w:hint="eastAsia" w:ascii="宋体" w:hAnsi="宋体" w:cs="宋体"/>
              </w:rPr>
              <w:t>投标总价高于预算限额的或报价低于其成本且不能做出合理说明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5</w:t>
            </w:r>
          </w:p>
        </w:tc>
        <w:tc>
          <w:tcPr>
            <w:tcW w:w="7988" w:type="dxa"/>
            <w:vAlign w:val="center"/>
          </w:tcPr>
          <w:p>
            <w:pPr>
              <w:rPr>
                <w:rFonts w:ascii="宋体" w:hAnsi="宋体" w:cs="宋体"/>
              </w:rPr>
            </w:pPr>
            <w:r>
              <w:rPr>
                <w:rFonts w:hint="eastAsia" w:ascii="宋体" w:hAnsi="宋体" w:cs="宋体"/>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6</w:t>
            </w:r>
          </w:p>
        </w:tc>
        <w:tc>
          <w:tcPr>
            <w:tcW w:w="7988" w:type="dxa"/>
            <w:vAlign w:val="center"/>
          </w:tcPr>
          <w:p>
            <w:pPr>
              <w:rPr>
                <w:rFonts w:ascii="宋体" w:hAnsi="宋体" w:cs="宋体"/>
              </w:rPr>
            </w:pPr>
            <w:r>
              <w:rPr>
                <w:rFonts w:hint="eastAsia" w:ascii="宋体" w:hAnsi="宋体" w:cs="宋体"/>
                <w:b/>
              </w:rPr>
              <w:t>投标文件载明的项目工期超过招标文件规定的期限。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7</w:t>
            </w:r>
          </w:p>
        </w:tc>
        <w:tc>
          <w:tcPr>
            <w:tcW w:w="7988" w:type="dxa"/>
            <w:vAlign w:val="center"/>
          </w:tcPr>
          <w:p>
            <w:pPr>
              <w:rPr>
                <w:rFonts w:ascii="宋体" w:hAnsi="宋体" w:cs="宋体"/>
              </w:rPr>
            </w:pPr>
            <w:r>
              <w:rPr>
                <w:rFonts w:hint="eastAsia" w:ascii="宋体" w:hAnsi="宋体" w:cs="宋体"/>
              </w:rPr>
              <w:t>所投产品、工程、服务在质量、技术、方案等方面没有实质性满足招标文件要求</w:t>
            </w:r>
          </w:p>
        </w:tc>
      </w:tr>
    </w:tbl>
    <w:p>
      <w:pPr>
        <w:pStyle w:val="7"/>
        <w:rPr>
          <w:rFonts w:cs="宋体"/>
          <w:szCs w:val="28"/>
        </w:rPr>
      </w:pPr>
      <w:r>
        <w:rPr>
          <w:rFonts w:hint="eastAsia" w:cs="宋体"/>
          <w:szCs w:val="28"/>
        </w:rPr>
        <w:t>评标信息</w:t>
      </w:r>
    </w:p>
    <w:p>
      <w:pPr>
        <w:spacing w:line="400" w:lineRule="exact"/>
        <w:ind w:left="1050" w:hanging="1050" w:hangingChars="500"/>
        <w:rPr>
          <w:rFonts w:ascii="宋体" w:hAnsi="宋体" w:cs="宋体"/>
          <w:szCs w:val="21"/>
        </w:rPr>
      </w:pPr>
      <w:r>
        <w:rPr>
          <w:rFonts w:hint="eastAsia" w:ascii="宋体" w:hAnsi="宋体" w:cs="宋体"/>
          <w:szCs w:val="21"/>
        </w:rPr>
        <w:t>评审方法：本项目评审方法采用</w:t>
      </w:r>
      <w:r>
        <w:rPr>
          <w:rFonts w:hint="eastAsia" w:ascii="宋体" w:hAnsi="宋体" w:cs="宋体"/>
          <w:b/>
          <w:szCs w:val="21"/>
          <w:u w:val="single"/>
        </w:rPr>
        <w:t xml:space="preserve"> 综合评分法 </w:t>
      </w:r>
      <w:r>
        <w:rPr>
          <w:rFonts w:hint="eastAsia" w:ascii="宋体" w:hAnsi="宋体" w:cs="宋体"/>
          <w:szCs w:val="21"/>
        </w:rPr>
        <w:t>。</w:t>
      </w:r>
    </w:p>
    <w:p>
      <w:pPr>
        <w:pStyle w:val="7"/>
        <w:jc w:val="both"/>
        <w:rPr>
          <w:rFonts w:cs="宋体"/>
        </w:rPr>
      </w:pPr>
      <w:r>
        <w:rPr>
          <w:rFonts w:hint="eastAsia" w:cs="宋体"/>
        </w:rPr>
        <w:t>评标方法</w:t>
      </w:r>
    </w:p>
    <w:tbl>
      <w:tblPr>
        <w:tblStyle w:val="14"/>
        <w:tblW w:w="9078" w:type="dxa"/>
        <w:jc w:val="center"/>
        <w:tblCellSpacing w:w="0" w:type="dxa"/>
        <w:tblLayout w:type="autofit"/>
        <w:tblCellMar>
          <w:top w:w="45" w:type="dxa"/>
          <w:left w:w="45" w:type="dxa"/>
          <w:bottom w:w="45" w:type="dxa"/>
          <w:right w:w="45" w:type="dxa"/>
        </w:tblCellMar>
      </w:tblPr>
      <w:tblGrid>
        <w:gridCol w:w="8685"/>
        <w:gridCol w:w="393"/>
      </w:tblGrid>
      <w:tr>
        <w:tblPrEx>
          <w:tblCellMar>
            <w:top w:w="45" w:type="dxa"/>
            <w:left w:w="45" w:type="dxa"/>
            <w:bottom w:w="45" w:type="dxa"/>
            <w:right w:w="45" w:type="dxa"/>
          </w:tblCellMar>
        </w:tblPrEx>
        <w:trPr>
          <w:tblCellSpacing w:w="0" w:type="dxa"/>
          <w:jc w:val="center"/>
        </w:trPr>
        <w:tc>
          <w:tcPr>
            <w:tcW w:w="0" w:type="auto"/>
            <w:shd w:val="clear" w:color="auto" w:fill="auto"/>
            <w:vAlign w:val="center"/>
          </w:tcPr>
          <w:p>
            <w:pPr>
              <w:widowControl/>
              <w:jc w:val="left"/>
              <w:rPr>
                <w:b/>
                <w:bCs/>
                <w:sz w:val="24"/>
              </w:rPr>
            </w:pPr>
            <w:r>
              <w:rPr>
                <w:b/>
                <w:bCs/>
              </w:rPr>
              <w:t>评标方法：综合评分法</w:t>
            </w:r>
          </w:p>
        </w:tc>
        <w:tc>
          <w:tcPr>
            <w:tcW w:w="0" w:type="auto"/>
            <w:shd w:val="clear" w:color="auto" w:fill="auto"/>
            <w:vAlign w:val="center"/>
          </w:tcPr>
          <w:p>
            <w:pPr>
              <w:jc w:val="right"/>
              <w:rPr>
                <w:rFonts w:ascii="宋体"/>
                <w:b/>
                <w:bCs/>
                <w:sz w:val="24"/>
              </w:rPr>
            </w:pPr>
          </w:p>
        </w:tc>
      </w:tr>
      <w:tr>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pPr>
              <w:spacing w:line="324" w:lineRule="auto"/>
              <w:ind w:firstLine="420"/>
              <w:rPr>
                <w:szCs w:val="21"/>
              </w:rPr>
            </w:pPr>
            <w:r>
              <w:rPr>
                <w:rFonts w:hint="eastAsia"/>
                <w:szCs w:val="21"/>
              </w:rPr>
              <w:t>综合评分法。在最大限度地满足招标文件实质性要求的前提下，按照招标文件中规定的各项因素进行综合评审，评标总得分排名前列的投标人，作为推荐的候选中标供应商</w:t>
            </w:r>
            <w:r>
              <w:rPr>
                <w:szCs w:val="21"/>
              </w:rPr>
              <w:t xml:space="preserve">。 </w:t>
            </w:r>
          </w:p>
          <w:p>
            <w:pPr>
              <w:ind w:firstLine="420"/>
              <w:rPr>
                <w:szCs w:val="21"/>
              </w:rPr>
            </w:pPr>
            <w:r>
              <w:rPr>
                <w:szCs w:val="21"/>
              </w:rPr>
              <w:t>价格分计算方法：</w:t>
            </w:r>
          </w:p>
          <w:p>
            <w:pPr>
              <w:pStyle w:val="13"/>
              <w:widowControl/>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p>
          <w:p>
            <w:pPr>
              <w:pStyle w:val="13"/>
              <w:widowControl/>
              <w:spacing w:line="324" w:lineRule="auto"/>
              <w:ind w:left="420"/>
              <w:rPr>
                <w:sz w:val="21"/>
                <w:szCs w:val="21"/>
              </w:rPr>
            </w:pPr>
            <w:r>
              <w:rPr>
                <w:sz w:val="21"/>
                <w:szCs w:val="21"/>
              </w:rPr>
              <w:t>投标报价得分=(评标基准价／投标报价)×100</w:t>
            </w:r>
          </w:p>
          <w:p>
            <w:pPr>
              <w:pStyle w:val="13"/>
              <w:widowControl/>
              <w:spacing w:line="324" w:lineRule="auto"/>
              <w:ind w:left="420"/>
              <w:rPr>
                <w:sz w:val="21"/>
                <w:szCs w:val="21"/>
              </w:rPr>
            </w:pPr>
            <w:r>
              <w:rPr>
                <w:sz w:val="21"/>
                <w:szCs w:val="21"/>
              </w:rPr>
              <w:t xml:space="preserve">评标总得分＝F1×A1＋F2×A2＋……＋Fn×An </w:t>
            </w:r>
          </w:p>
          <w:p>
            <w:pPr>
              <w:pStyle w:val="13"/>
              <w:widowControl/>
              <w:spacing w:line="324" w:lineRule="auto"/>
              <w:ind w:left="420"/>
              <w:rPr>
                <w:sz w:val="21"/>
                <w:szCs w:val="21"/>
              </w:rPr>
            </w:pPr>
            <w:r>
              <w:rPr>
                <w:sz w:val="21"/>
                <w:szCs w:val="21"/>
              </w:rPr>
              <w:t xml:space="preserve">F1、F2……Fn分别为各项评审因素的得分； </w:t>
            </w:r>
          </w:p>
          <w:p>
            <w:pPr>
              <w:pStyle w:val="13"/>
              <w:widowControl/>
              <w:spacing w:line="324" w:lineRule="auto"/>
              <w:ind w:left="420"/>
              <w:rPr>
                <w:sz w:val="21"/>
                <w:szCs w:val="21"/>
              </w:rPr>
            </w:pPr>
            <w:r>
              <w:rPr>
                <w:sz w:val="21"/>
                <w:szCs w:val="21"/>
              </w:rPr>
              <w:t>A1、A2、……An 分别为各项评审因素所占的</w:t>
            </w:r>
            <w:r>
              <w:rPr>
                <w:rFonts w:hint="eastAsia"/>
                <w:sz w:val="21"/>
                <w:szCs w:val="21"/>
              </w:rPr>
              <w:t>权重</w:t>
            </w:r>
            <w:r>
              <w:rPr>
                <w:sz w:val="21"/>
                <w:szCs w:val="21"/>
              </w:rPr>
              <w:t xml:space="preserve">(A1＋A2＋……＋An＝1)。 </w:t>
            </w:r>
          </w:p>
          <w:p>
            <w:pPr>
              <w:pStyle w:val="13"/>
              <w:widowControl/>
              <w:spacing w:line="324" w:lineRule="auto"/>
              <w:ind w:left="420"/>
              <w:rPr>
                <w:sz w:val="21"/>
                <w:szCs w:val="21"/>
              </w:rPr>
            </w:pPr>
            <w:r>
              <w:rPr>
                <w:sz w:val="21"/>
                <w:szCs w:val="21"/>
              </w:rPr>
              <w:t xml:space="preserve">评标过程中，不得去掉报价中的最高报价和最低报价。 </w:t>
            </w:r>
          </w:p>
          <w:p>
            <w:pPr>
              <w:pStyle w:val="13"/>
              <w:widowControl/>
              <w:spacing w:line="324" w:lineRule="auto"/>
              <w:ind w:left="420"/>
              <w:rPr>
                <w:sz w:val="21"/>
                <w:szCs w:val="21"/>
              </w:rPr>
            </w:pPr>
            <w:r>
              <w:rPr>
                <w:sz w:val="21"/>
                <w:szCs w:val="21"/>
              </w:rPr>
              <w:t>此方法适用于货物类、服务类、工程类项目。</w:t>
            </w:r>
          </w:p>
        </w:tc>
      </w:tr>
    </w:tbl>
    <w:p/>
    <w:tbl>
      <w:tblPr>
        <w:tblStyle w:val="14"/>
        <w:tblW w:w="8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709"/>
        <w:gridCol w:w="1418"/>
        <w:gridCol w:w="760"/>
        <w:gridCol w:w="4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0" w:type="dxa"/>
            <w:vAlign w:val="center"/>
          </w:tcPr>
          <w:p>
            <w:pPr>
              <w:ind w:right="-92" w:rightChars="-44"/>
              <w:jc w:val="center"/>
              <w:rPr>
                <w:rFonts w:ascii="仿宋" w:hAnsi="仿宋" w:eastAsia="仿宋"/>
                <w:b/>
                <w:szCs w:val="21"/>
              </w:rPr>
            </w:pPr>
            <w:r>
              <w:rPr>
                <w:rFonts w:hint="eastAsia" w:ascii="仿宋" w:hAnsi="仿宋" w:eastAsia="仿宋"/>
                <w:b/>
                <w:szCs w:val="21"/>
              </w:rPr>
              <w:t>序号</w:t>
            </w:r>
          </w:p>
        </w:tc>
        <w:tc>
          <w:tcPr>
            <w:tcW w:w="2887" w:type="dxa"/>
            <w:gridSpan w:val="3"/>
            <w:vAlign w:val="center"/>
          </w:tcPr>
          <w:p>
            <w:pPr>
              <w:jc w:val="center"/>
              <w:rPr>
                <w:rFonts w:ascii="仿宋" w:hAnsi="仿宋" w:eastAsia="仿宋"/>
                <w:b/>
                <w:szCs w:val="21"/>
              </w:rPr>
            </w:pPr>
            <w:r>
              <w:rPr>
                <w:rFonts w:hint="eastAsia" w:ascii="仿宋" w:hAnsi="仿宋" w:eastAsia="仿宋"/>
                <w:b/>
                <w:szCs w:val="21"/>
              </w:rPr>
              <w:t>评分项</w:t>
            </w:r>
          </w:p>
        </w:tc>
        <w:tc>
          <w:tcPr>
            <w:tcW w:w="4568" w:type="dxa"/>
            <w:vAlign w:val="center"/>
          </w:tcPr>
          <w:p>
            <w:pPr>
              <w:jc w:val="center"/>
              <w:rPr>
                <w:rFonts w:ascii="仿宋" w:hAnsi="仿宋" w:eastAsia="仿宋"/>
                <w:b/>
                <w:szCs w:val="21"/>
              </w:rPr>
            </w:pPr>
            <w:r>
              <w:rPr>
                <w:rFonts w:hint="eastAsia" w:ascii="仿宋" w:hAnsi="仿宋" w:eastAsia="仿宋"/>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50" w:type="dxa"/>
            <w:vAlign w:val="center"/>
          </w:tcPr>
          <w:p>
            <w:pPr>
              <w:jc w:val="center"/>
              <w:rPr>
                <w:rFonts w:ascii="仿宋" w:hAnsi="仿宋" w:eastAsia="仿宋"/>
                <w:b/>
                <w:szCs w:val="21"/>
              </w:rPr>
            </w:pPr>
            <w:r>
              <w:rPr>
                <w:rFonts w:ascii="仿宋" w:hAnsi="仿宋" w:eastAsia="仿宋"/>
                <w:b/>
                <w:szCs w:val="21"/>
              </w:rPr>
              <w:t>1</w:t>
            </w:r>
          </w:p>
        </w:tc>
        <w:tc>
          <w:tcPr>
            <w:tcW w:w="2887" w:type="dxa"/>
            <w:gridSpan w:val="3"/>
            <w:vAlign w:val="center"/>
          </w:tcPr>
          <w:p>
            <w:pPr>
              <w:jc w:val="center"/>
              <w:rPr>
                <w:rFonts w:ascii="仿宋" w:hAnsi="仿宋" w:eastAsia="仿宋"/>
                <w:b/>
                <w:szCs w:val="21"/>
              </w:rPr>
            </w:pPr>
            <w:r>
              <w:rPr>
                <w:rFonts w:hint="eastAsia" w:ascii="仿宋" w:hAnsi="仿宋" w:eastAsia="仿宋"/>
                <w:b/>
                <w:szCs w:val="21"/>
              </w:rPr>
              <w:t>价格</w:t>
            </w:r>
          </w:p>
        </w:tc>
        <w:tc>
          <w:tcPr>
            <w:tcW w:w="4568" w:type="dxa"/>
            <w:vAlign w:val="center"/>
          </w:tcPr>
          <w:p>
            <w:pPr>
              <w:jc w:val="center"/>
              <w:rPr>
                <w:rFonts w:ascii="仿宋" w:hAnsi="仿宋" w:eastAsia="仿宋"/>
                <w:b/>
                <w:szCs w:val="21"/>
              </w:rPr>
            </w:pPr>
            <w:r>
              <w:rPr>
                <w:rFonts w:hint="eastAsia" w:ascii="仿宋" w:hAnsi="仿宋" w:eastAsia="仿宋"/>
                <w:b/>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0" w:type="dxa"/>
            <w:vAlign w:val="center"/>
          </w:tcPr>
          <w:p>
            <w:pPr>
              <w:jc w:val="center"/>
              <w:rPr>
                <w:rFonts w:ascii="仿宋" w:hAnsi="仿宋" w:eastAsia="仿宋"/>
                <w:szCs w:val="21"/>
              </w:rPr>
            </w:pPr>
          </w:p>
        </w:tc>
        <w:tc>
          <w:tcPr>
            <w:tcW w:w="2887" w:type="dxa"/>
            <w:gridSpan w:val="3"/>
            <w:vAlign w:val="center"/>
          </w:tcPr>
          <w:p>
            <w:pPr>
              <w:jc w:val="center"/>
              <w:rPr>
                <w:rFonts w:ascii="仿宋" w:hAnsi="仿宋" w:eastAsia="仿宋"/>
                <w:szCs w:val="21"/>
              </w:rPr>
            </w:pPr>
            <w:r>
              <w:rPr>
                <w:rFonts w:hint="eastAsia" w:ascii="仿宋" w:hAnsi="仿宋" w:eastAsia="仿宋"/>
                <w:szCs w:val="21"/>
              </w:rPr>
              <w:t>报价</w:t>
            </w:r>
          </w:p>
        </w:tc>
        <w:tc>
          <w:tcPr>
            <w:tcW w:w="4568" w:type="dxa"/>
            <w:vAlign w:val="center"/>
          </w:tcPr>
          <w:p>
            <w:pPr>
              <w:autoSpaceDE w:val="0"/>
              <w:autoSpaceDN w:val="0"/>
              <w:adjustRightInd w:val="0"/>
              <w:snapToGrid w:val="0"/>
              <w:jc w:val="left"/>
              <w:rPr>
                <w:rFonts w:ascii="仿宋" w:hAnsi="仿宋" w:eastAsia="仿宋" w:cs="宋体"/>
                <w:kern w:val="0"/>
                <w:szCs w:val="21"/>
              </w:rPr>
            </w:pPr>
            <w:r>
              <w:rPr>
                <w:rFonts w:ascii="仿宋" w:hAnsi="仿宋" w:eastAsia="仿宋" w:cs="宋体"/>
                <w:kern w:val="0"/>
                <w:szCs w:val="21"/>
              </w:rPr>
              <w:t>价格分</w:t>
            </w:r>
            <w:r>
              <w:rPr>
                <w:rFonts w:hint="eastAsia" w:ascii="仿宋" w:hAnsi="仿宋" w:eastAsia="仿宋" w:cs="宋体"/>
                <w:kern w:val="0"/>
                <w:szCs w:val="21"/>
              </w:rPr>
              <w:t>应当采用低价优先法计算，即满足招标文件要求且投标价格最低的投标报价为评标基准价，其价格分为满分。其他投标人的价格分统一按照下列公式计算：</w:t>
            </w:r>
          </w:p>
          <w:p>
            <w:pPr>
              <w:widowControl/>
              <w:jc w:val="left"/>
              <w:rPr>
                <w:rFonts w:ascii="仿宋" w:hAnsi="仿宋" w:eastAsia="仿宋" w:cs="宋体"/>
                <w:kern w:val="0"/>
                <w:szCs w:val="21"/>
              </w:rPr>
            </w:pPr>
            <w:r>
              <w:rPr>
                <w:rFonts w:hint="eastAsia" w:ascii="仿宋" w:hAnsi="仿宋" w:eastAsia="仿宋" w:cs="宋体"/>
                <w:kern w:val="0"/>
                <w:szCs w:val="21"/>
              </w:rPr>
              <w:t>投标报价得分=(评标基准价／投标报价)×100×分值</w:t>
            </w:r>
          </w:p>
          <w:p>
            <w:pPr>
              <w:widowControl/>
              <w:jc w:val="left"/>
              <w:rPr>
                <w:rFonts w:ascii="仿宋" w:hAnsi="仿宋" w:eastAsia="仿宋" w:cs="宋体"/>
                <w:szCs w:val="21"/>
              </w:rPr>
            </w:pPr>
            <w:r>
              <w:rPr>
                <w:rFonts w:hint="eastAsia" w:ascii="仿宋" w:hAnsi="仿宋" w:eastAsia="仿宋"/>
                <w:bCs/>
                <w:szCs w:val="21"/>
              </w:rPr>
              <w:t>备注：1、因落实政府采购政策进行价格调整的，以调整后的价格计算评标基准价和投标报价</w:t>
            </w:r>
            <w:r>
              <w:rPr>
                <w:rFonts w:hint="eastAsia" w:ascii="仿宋" w:hAnsi="仿宋" w:eastAsia="仿宋" w:cs="宋体"/>
                <w:szCs w:val="21"/>
              </w:rPr>
              <w:t>,详见《价格扣除》。</w:t>
            </w:r>
          </w:p>
          <w:p>
            <w:pPr>
              <w:jc w:val="left"/>
              <w:rPr>
                <w:rFonts w:ascii="仿宋" w:hAnsi="仿宋" w:eastAsia="仿宋"/>
                <w:szCs w:val="21"/>
              </w:rPr>
            </w:pPr>
            <w:r>
              <w:rPr>
                <w:rFonts w:hint="eastAsia" w:ascii="仿宋" w:hAnsi="仿宋" w:eastAsia="仿宋"/>
                <w:bCs/>
                <w:szCs w:val="21"/>
              </w:rPr>
              <w:t>2、投标报价得分四舍五入后，</w:t>
            </w:r>
            <w:r>
              <w:rPr>
                <w:rFonts w:hint="eastAsia" w:ascii="仿宋" w:hAnsi="仿宋" w:eastAsia="仿宋" w:cs="Arial"/>
                <w:szCs w:val="21"/>
              </w:rPr>
              <w:t>小数点后保留两位有效数</w:t>
            </w:r>
            <w:r>
              <w:rPr>
                <w:rFonts w:hint="eastAsia" w:ascii="仿宋" w:hAnsi="仿宋" w:eastAsia="仿宋"/>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50" w:type="dxa"/>
            <w:vAlign w:val="center"/>
          </w:tcPr>
          <w:p>
            <w:pPr>
              <w:jc w:val="center"/>
              <w:rPr>
                <w:rFonts w:ascii="仿宋" w:hAnsi="仿宋" w:eastAsia="仿宋"/>
                <w:b/>
                <w:szCs w:val="21"/>
              </w:rPr>
            </w:pPr>
            <w:r>
              <w:rPr>
                <w:rFonts w:ascii="仿宋" w:hAnsi="仿宋" w:eastAsia="仿宋"/>
                <w:b/>
                <w:szCs w:val="21"/>
              </w:rPr>
              <w:t>2</w:t>
            </w:r>
          </w:p>
        </w:tc>
        <w:tc>
          <w:tcPr>
            <w:tcW w:w="2887" w:type="dxa"/>
            <w:gridSpan w:val="3"/>
            <w:vAlign w:val="center"/>
          </w:tcPr>
          <w:p>
            <w:pPr>
              <w:jc w:val="center"/>
              <w:rPr>
                <w:rFonts w:ascii="仿宋" w:hAnsi="仿宋" w:eastAsia="仿宋"/>
                <w:b/>
                <w:szCs w:val="21"/>
              </w:rPr>
            </w:pPr>
            <w:r>
              <w:rPr>
                <w:rFonts w:hint="eastAsia" w:ascii="仿宋" w:hAnsi="仿宋" w:eastAsia="仿宋"/>
                <w:b/>
                <w:szCs w:val="21"/>
              </w:rPr>
              <w:t>技术部分</w:t>
            </w:r>
          </w:p>
        </w:tc>
        <w:tc>
          <w:tcPr>
            <w:tcW w:w="4568" w:type="dxa"/>
            <w:vAlign w:val="center"/>
          </w:tcPr>
          <w:p>
            <w:pPr>
              <w:jc w:val="center"/>
              <w:rPr>
                <w:rFonts w:ascii="仿宋" w:hAnsi="仿宋" w:eastAsia="仿宋"/>
                <w:b/>
                <w:szCs w:val="21"/>
              </w:rPr>
            </w:pPr>
            <w:r>
              <w:rPr>
                <w:rFonts w:hint="eastAsia" w:ascii="仿宋" w:hAnsi="仿宋" w:eastAsia="仿宋"/>
                <w:b/>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0" w:type="dxa"/>
            <w:vMerge w:val="restart"/>
            <w:vAlign w:val="center"/>
          </w:tcPr>
          <w:p>
            <w:pPr>
              <w:jc w:val="center"/>
              <w:rPr>
                <w:rFonts w:ascii="仿宋" w:hAnsi="仿宋" w:eastAsia="仿宋"/>
                <w:szCs w:val="21"/>
              </w:rPr>
            </w:pPr>
          </w:p>
        </w:tc>
        <w:tc>
          <w:tcPr>
            <w:tcW w:w="709" w:type="dxa"/>
            <w:vAlign w:val="center"/>
          </w:tcPr>
          <w:p>
            <w:pPr>
              <w:jc w:val="center"/>
              <w:rPr>
                <w:rFonts w:ascii="仿宋" w:hAnsi="仿宋" w:eastAsia="仿宋"/>
                <w:b/>
                <w:szCs w:val="21"/>
              </w:rPr>
            </w:pPr>
            <w:r>
              <w:rPr>
                <w:rFonts w:hint="eastAsia" w:ascii="仿宋" w:hAnsi="仿宋" w:eastAsia="仿宋"/>
                <w:b/>
                <w:szCs w:val="21"/>
              </w:rPr>
              <w:t>序号</w:t>
            </w:r>
          </w:p>
        </w:tc>
        <w:tc>
          <w:tcPr>
            <w:tcW w:w="1418" w:type="dxa"/>
            <w:vAlign w:val="center"/>
          </w:tcPr>
          <w:p>
            <w:pPr>
              <w:jc w:val="center"/>
              <w:rPr>
                <w:rFonts w:ascii="仿宋" w:hAnsi="仿宋" w:eastAsia="仿宋"/>
                <w:b/>
                <w:szCs w:val="21"/>
              </w:rPr>
            </w:pPr>
            <w:r>
              <w:rPr>
                <w:rFonts w:hint="eastAsia" w:ascii="仿宋" w:hAnsi="仿宋" w:eastAsia="仿宋"/>
                <w:b/>
                <w:szCs w:val="21"/>
              </w:rPr>
              <w:t>评分因素</w:t>
            </w:r>
          </w:p>
        </w:tc>
        <w:tc>
          <w:tcPr>
            <w:tcW w:w="760" w:type="dxa"/>
            <w:vAlign w:val="center"/>
          </w:tcPr>
          <w:p>
            <w:pPr>
              <w:jc w:val="center"/>
              <w:rPr>
                <w:rFonts w:ascii="仿宋" w:hAnsi="仿宋" w:eastAsia="仿宋"/>
                <w:b/>
                <w:szCs w:val="21"/>
              </w:rPr>
            </w:pPr>
            <w:r>
              <w:rPr>
                <w:rFonts w:hint="eastAsia" w:ascii="仿宋" w:hAnsi="仿宋" w:eastAsia="仿宋"/>
                <w:b/>
                <w:szCs w:val="21"/>
              </w:rPr>
              <w:t>分值</w:t>
            </w:r>
          </w:p>
        </w:tc>
        <w:tc>
          <w:tcPr>
            <w:tcW w:w="4568" w:type="dxa"/>
            <w:vAlign w:val="center"/>
          </w:tcPr>
          <w:p>
            <w:pPr>
              <w:jc w:val="center"/>
              <w:rPr>
                <w:rFonts w:ascii="仿宋" w:hAnsi="仿宋" w:eastAsia="仿宋"/>
                <w:b/>
                <w:szCs w:val="21"/>
              </w:rPr>
            </w:pPr>
            <w:r>
              <w:rPr>
                <w:rFonts w:hint="eastAsia" w:ascii="仿宋" w:hAnsi="仿宋" w:eastAsia="仿宋"/>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0" w:type="dxa"/>
            <w:vMerge w:val="continue"/>
            <w:vAlign w:val="center"/>
          </w:tcPr>
          <w:p>
            <w:pPr>
              <w:jc w:val="center"/>
              <w:rPr>
                <w:rFonts w:ascii="仿宋" w:hAnsi="仿宋" w:eastAsia="仿宋"/>
                <w:szCs w:val="21"/>
              </w:rPr>
            </w:pPr>
          </w:p>
        </w:tc>
        <w:tc>
          <w:tcPr>
            <w:tcW w:w="709" w:type="dxa"/>
            <w:vAlign w:val="center"/>
          </w:tcPr>
          <w:p>
            <w:pPr>
              <w:jc w:val="center"/>
              <w:rPr>
                <w:rFonts w:ascii="仿宋" w:hAnsi="仿宋" w:eastAsia="仿宋"/>
                <w:szCs w:val="21"/>
              </w:rPr>
            </w:pPr>
            <w:r>
              <w:rPr>
                <w:rFonts w:hint="eastAsia" w:ascii="仿宋" w:hAnsi="仿宋" w:eastAsia="仿宋"/>
                <w:szCs w:val="21"/>
              </w:rPr>
              <w:t>1</w:t>
            </w:r>
          </w:p>
        </w:tc>
        <w:tc>
          <w:tcPr>
            <w:tcW w:w="1418" w:type="dxa"/>
            <w:vAlign w:val="center"/>
          </w:tcPr>
          <w:p>
            <w:pPr>
              <w:jc w:val="center"/>
              <w:rPr>
                <w:rFonts w:ascii="仿宋" w:hAnsi="仿宋" w:eastAsia="仿宋" w:cs="宋体"/>
                <w:kern w:val="0"/>
                <w:szCs w:val="21"/>
              </w:rPr>
            </w:pPr>
            <w:r>
              <w:rPr>
                <w:rFonts w:hint="eastAsia" w:ascii="仿宋" w:hAnsi="仿宋" w:eastAsia="仿宋"/>
                <w:szCs w:val="21"/>
              </w:rPr>
              <w:t>项目总体概述及理解</w:t>
            </w:r>
          </w:p>
        </w:tc>
        <w:tc>
          <w:tcPr>
            <w:tcW w:w="760" w:type="dxa"/>
            <w:vAlign w:val="center"/>
          </w:tcPr>
          <w:p>
            <w:pPr>
              <w:jc w:val="center"/>
              <w:rPr>
                <w:rFonts w:ascii="仿宋" w:hAnsi="仿宋" w:eastAsia="仿宋"/>
                <w:szCs w:val="21"/>
              </w:rPr>
            </w:pPr>
            <w:r>
              <w:rPr>
                <w:rFonts w:hint="eastAsia" w:ascii="仿宋" w:hAnsi="仿宋" w:eastAsia="仿宋" w:cs="宋体"/>
                <w:szCs w:val="21"/>
              </w:rPr>
              <w:t>8</w:t>
            </w:r>
          </w:p>
        </w:tc>
        <w:tc>
          <w:tcPr>
            <w:tcW w:w="4568" w:type="dxa"/>
            <w:vAlign w:val="center"/>
          </w:tcPr>
          <w:p>
            <w:pPr>
              <w:rPr>
                <w:rFonts w:ascii="仿宋" w:hAnsi="仿宋" w:eastAsia="仿宋"/>
                <w:b/>
                <w:szCs w:val="21"/>
              </w:rPr>
            </w:pPr>
            <w:r>
              <w:rPr>
                <w:rFonts w:hint="eastAsia" w:ascii="仿宋" w:hAnsi="仿宋" w:eastAsia="仿宋"/>
                <w:b/>
                <w:szCs w:val="21"/>
              </w:rPr>
              <w:t>评审内容：</w:t>
            </w:r>
          </w:p>
          <w:p>
            <w:pPr>
              <w:rPr>
                <w:rFonts w:ascii="仿宋" w:hAnsi="仿宋" w:eastAsia="仿宋"/>
                <w:szCs w:val="21"/>
              </w:rPr>
            </w:pPr>
            <w:r>
              <w:rPr>
                <w:rFonts w:hint="eastAsia" w:ascii="仿宋" w:hAnsi="仿宋" w:eastAsia="仿宋"/>
                <w:szCs w:val="21"/>
              </w:rPr>
              <w:t>全面阐述项目总体概况以及项目建设的内容，深入分析说明学校的管理需求、面临的管理难点以及技术方案的优化选择。</w:t>
            </w:r>
          </w:p>
          <w:p>
            <w:pPr>
              <w:rPr>
                <w:rFonts w:ascii="仿宋" w:hAnsi="仿宋" w:eastAsia="仿宋"/>
                <w:b/>
                <w:szCs w:val="21"/>
              </w:rPr>
            </w:pPr>
            <w:r>
              <w:rPr>
                <w:rFonts w:hint="eastAsia" w:ascii="仿宋" w:hAnsi="仿宋" w:eastAsia="仿宋"/>
                <w:b/>
                <w:szCs w:val="21"/>
              </w:rPr>
              <w:t>优良中差评分标准：</w:t>
            </w:r>
          </w:p>
          <w:p>
            <w:pPr>
              <w:rPr>
                <w:rFonts w:ascii="仿宋" w:hAnsi="仿宋" w:eastAsia="仿宋"/>
                <w:szCs w:val="21"/>
              </w:rPr>
            </w:pPr>
            <w:r>
              <w:rPr>
                <w:rFonts w:hint="eastAsia" w:ascii="仿宋" w:hAnsi="仿宋" w:eastAsia="仿宋"/>
                <w:szCs w:val="21"/>
              </w:rPr>
              <w:t>（1）项目总体概述全面具体；</w:t>
            </w:r>
          </w:p>
          <w:p>
            <w:pPr>
              <w:rPr>
                <w:rFonts w:ascii="仿宋" w:hAnsi="仿宋" w:eastAsia="仿宋"/>
                <w:szCs w:val="21"/>
              </w:rPr>
            </w:pPr>
            <w:r>
              <w:rPr>
                <w:rFonts w:hint="eastAsia" w:ascii="仿宋" w:hAnsi="仿宋" w:eastAsia="仿宋"/>
                <w:szCs w:val="21"/>
              </w:rPr>
              <w:t>（2）具体建设内容清晰完整；</w:t>
            </w:r>
          </w:p>
          <w:p>
            <w:pPr>
              <w:rPr>
                <w:rFonts w:ascii="仿宋" w:hAnsi="仿宋" w:eastAsia="仿宋"/>
                <w:szCs w:val="21"/>
              </w:rPr>
            </w:pPr>
            <w:r>
              <w:rPr>
                <w:rFonts w:hint="eastAsia" w:ascii="仿宋" w:hAnsi="仿宋" w:eastAsia="仿宋"/>
                <w:szCs w:val="21"/>
              </w:rPr>
              <w:t>（3）组织实施的总体思路和综合措施阐述全面、深入；</w:t>
            </w:r>
          </w:p>
          <w:p>
            <w:pPr>
              <w:rPr>
                <w:rFonts w:ascii="仿宋" w:hAnsi="仿宋" w:eastAsia="仿宋"/>
                <w:szCs w:val="21"/>
              </w:rPr>
            </w:pPr>
            <w:r>
              <w:rPr>
                <w:rFonts w:hint="eastAsia" w:ascii="仿宋" w:hAnsi="仿宋" w:eastAsia="仿宋"/>
                <w:szCs w:val="21"/>
              </w:rPr>
              <w:t>（4）对项目的管理难点理解充分、分析透彻；</w:t>
            </w:r>
          </w:p>
          <w:p>
            <w:pPr>
              <w:rPr>
                <w:rFonts w:ascii="仿宋" w:hAnsi="仿宋" w:eastAsia="仿宋"/>
                <w:szCs w:val="21"/>
              </w:rPr>
            </w:pPr>
            <w:r>
              <w:rPr>
                <w:rFonts w:hint="eastAsia" w:ascii="仿宋" w:hAnsi="仿宋" w:eastAsia="仿宋"/>
                <w:szCs w:val="21"/>
              </w:rPr>
              <w:t>（5）对项目技术解决方案选择的合理性、实用性和先进性分析具体完整。</w:t>
            </w:r>
          </w:p>
          <w:p>
            <w:pPr>
              <w:jc w:val="left"/>
              <w:rPr>
                <w:rFonts w:ascii="仿宋" w:hAnsi="仿宋" w:eastAsia="仿宋"/>
                <w:color w:val="FF0000"/>
                <w:szCs w:val="21"/>
              </w:rPr>
            </w:pPr>
            <w:r>
              <w:rPr>
                <w:rFonts w:hint="eastAsia" w:ascii="仿宋" w:hAnsi="仿宋" w:eastAsia="仿宋"/>
                <w:szCs w:val="21"/>
              </w:rPr>
              <w:t>满足以上五项要求得8分，满足以上四项要求得6分，满足以上三项要求得4分，其它情况不得分。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0" w:type="dxa"/>
            <w:vMerge w:val="continue"/>
            <w:vAlign w:val="center"/>
          </w:tcPr>
          <w:p>
            <w:pPr>
              <w:jc w:val="center"/>
              <w:rPr>
                <w:rFonts w:ascii="仿宋" w:hAnsi="仿宋" w:eastAsia="仿宋"/>
                <w:szCs w:val="21"/>
              </w:rPr>
            </w:pPr>
          </w:p>
        </w:tc>
        <w:tc>
          <w:tcPr>
            <w:tcW w:w="709" w:type="dxa"/>
            <w:vAlign w:val="center"/>
          </w:tcPr>
          <w:p>
            <w:pPr>
              <w:jc w:val="center"/>
              <w:rPr>
                <w:rFonts w:ascii="仿宋" w:hAnsi="仿宋" w:eastAsia="仿宋"/>
                <w:szCs w:val="21"/>
              </w:rPr>
            </w:pPr>
            <w:r>
              <w:rPr>
                <w:rFonts w:hint="eastAsia" w:ascii="仿宋" w:hAnsi="仿宋" w:eastAsia="仿宋"/>
                <w:szCs w:val="21"/>
              </w:rPr>
              <w:t>2</w:t>
            </w:r>
          </w:p>
        </w:tc>
        <w:tc>
          <w:tcPr>
            <w:tcW w:w="1418" w:type="dxa"/>
            <w:vAlign w:val="center"/>
          </w:tcPr>
          <w:p>
            <w:pPr>
              <w:jc w:val="center"/>
              <w:rPr>
                <w:rFonts w:ascii="仿宋" w:hAnsi="仿宋" w:eastAsia="仿宋" w:cs="宋体"/>
                <w:kern w:val="0"/>
                <w:szCs w:val="21"/>
              </w:rPr>
            </w:pPr>
            <w:r>
              <w:rPr>
                <w:rFonts w:hint="eastAsia" w:ascii="仿宋" w:hAnsi="仿宋" w:eastAsia="仿宋"/>
                <w:szCs w:val="21"/>
              </w:rPr>
              <w:t>施工组织计划、施工技术、施工工艺及相关的合理化建议</w:t>
            </w:r>
          </w:p>
        </w:tc>
        <w:tc>
          <w:tcPr>
            <w:tcW w:w="760" w:type="dxa"/>
            <w:vAlign w:val="center"/>
          </w:tcPr>
          <w:p>
            <w:pPr>
              <w:jc w:val="center"/>
              <w:rPr>
                <w:rFonts w:ascii="仿宋" w:hAnsi="仿宋" w:eastAsia="仿宋"/>
                <w:szCs w:val="21"/>
              </w:rPr>
            </w:pPr>
            <w:r>
              <w:rPr>
                <w:rFonts w:hint="eastAsia" w:ascii="仿宋" w:hAnsi="仿宋" w:eastAsia="仿宋" w:cs="宋体"/>
                <w:szCs w:val="21"/>
              </w:rPr>
              <w:t>8</w:t>
            </w:r>
          </w:p>
        </w:tc>
        <w:tc>
          <w:tcPr>
            <w:tcW w:w="4568" w:type="dxa"/>
            <w:vAlign w:val="center"/>
          </w:tcPr>
          <w:p>
            <w:pPr>
              <w:rPr>
                <w:rFonts w:ascii="仿宋" w:hAnsi="仿宋" w:eastAsia="仿宋"/>
                <w:b/>
                <w:szCs w:val="21"/>
              </w:rPr>
            </w:pPr>
            <w:r>
              <w:rPr>
                <w:rFonts w:hint="eastAsia" w:ascii="仿宋" w:hAnsi="仿宋" w:eastAsia="仿宋"/>
                <w:b/>
                <w:szCs w:val="21"/>
              </w:rPr>
              <w:t>评审内容：</w:t>
            </w:r>
          </w:p>
          <w:p>
            <w:pPr>
              <w:rPr>
                <w:rFonts w:ascii="仿宋" w:hAnsi="仿宋" w:eastAsia="仿宋"/>
                <w:szCs w:val="21"/>
              </w:rPr>
            </w:pPr>
            <w:r>
              <w:rPr>
                <w:rFonts w:hint="eastAsia" w:ascii="仿宋" w:hAnsi="仿宋" w:eastAsia="仿宋"/>
                <w:szCs w:val="21"/>
              </w:rPr>
              <w:t>项目组织计划的完整性和合理性、项目施工技术和施工工艺的规范性和适用性以及相关合理化建议。</w:t>
            </w:r>
          </w:p>
          <w:p>
            <w:pPr>
              <w:rPr>
                <w:rFonts w:ascii="仿宋" w:hAnsi="仿宋" w:eastAsia="仿宋"/>
                <w:szCs w:val="21"/>
              </w:rPr>
            </w:pPr>
            <w:r>
              <w:rPr>
                <w:rFonts w:hint="eastAsia" w:ascii="仿宋" w:hAnsi="仿宋" w:eastAsia="仿宋"/>
                <w:b/>
                <w:szCs w:val="21"/>
              </w:rPr>
              <w:t>优良中差评分标准：</w:t>
            </w:r>
          </w:p>
          <w:p>
            <w:pPr>
              <w:rPr>
                <w:rFonts w:ascii="仿宋" w:hAnsi="仿宋" w:eastAsia="仿宋"/>
                <w:szCs w:val="21"/>
              </w:rPr>
            </w:pPr>
            <w:r>
              <w:rPr>
                <w:rFonts w:hint="eastAsia" w:ascii="仿宋" w:hAnsi="仿宋" w:eastAsia="仿宋"/>
                <w:szCs w:val="21"/>
              </w:rPr>
              <w:t>（1）项目组织岗位职责明确、人员结构完善；</w:t>
            </w:r>
          </w:p>
          <w:p>
            <w:pPr>
              <w:rPr>
                <w:rFonts w:ascii="仿宋" w:hAnsi="仿宋" w:eastAsia="仿宋"/>
                <w:szCs w:val="21"/>
              </w:rPr>
            </w:pPr>
            <w:r>
              <w:rPr>
                <w:rFonts w:hint="eastAsia" w:ascii="仿宋" w:hAnsi="仿宋" w:eastAsia="仿宋"/>
                <w:szCs w:val="21"/>
              </w:rPr>
              <w:t>（2）施工准备阶段技术准备措施充分；</w:t>
            </w:r>
          </w:p>
          <w:p>
            <w:pPr>
              <w:rPr>
                <w:rFonts w:ascii="仿宋" w:hAnsi="仿宋" w:eastAsia="仿宋"/>
                <w:szCs w:val="21"/>
              </w:rPr>
            </w:pPr>
            <w:r>
              <w:rPr>
                <w:rFonts w:hint="eastAsia" w:ascii="仿宋" w:hAnsi="仿宋" w:eastAsia="仿宋"/>
                <w:szCs w:val="21"/>
              </w:rPr>
              <w:t>（3）施工方法措施具体、技术规范、工艺实用；</w:t>
            </w:r>
          </w:p>
          <w:p>
            <w:pPr>
              <w:rPr>
                <w:rFonts w:ascii="仿宋" w:hAnsi="仿宋" w:eastAsia="仿宋"/>
                <w:szCs w:val="21"/>
              </w:rPr>
            </w:pPr>
            <w:r>
              <w:rPr>
                <w:rFonts w:hint="eastAsia" w:ascii="仿宋" w:hAnsi="仿宋" w:eastAsia="仿宋"/>
                <w:szCs w:val="21"/>
              </w:rPr>
              <w:t>（4）防水、补漏等重点施工方法措施具体、技术规范、工艺实用；</w:t>
            </w:r>
          </w:p>
          <w:p>
            <w:pPr>
              <w:rPr>
                <w:rFonts w:ascii="仿宋" w:hAnsi="仿宋" w:eastAsia="仿宋"/>
                <w:szCs w:val="21"/>
              </w:rPr>
            </w:pPr>
            <w:r>
              <w:rPr>
                <w:rFonts w:hint="eastAsia" w:ascii="仿宋" w:hAnsi="仿宋" w:eastAsia="仿宋"/>
                <w:szCs w:val="21"/>
              </w:rPr>
              <w:t>（5）为学校提出完善的合理化建议。</w:t>
            </w:r>
          </w:p>
          <w:p>
            <w:pPr>
              <w:jc w:val="left"/>
              <w:rPr>
                <w:rFonts w:ascii="仿宋" w:hAnsi="仿宋" w:eastAsia="仿宋"/>
                <w:color w:val="FF0000"/>
                <w:szCs w:val="21"/>
              </w:rPr>
            </w:pPr>
            <w:r>
              <w:rPr>
                <w:rFonts w:hint="eastAsia" w:ascii="仿宋" w:hAnsi="仿宋" w:eastAsia="仿宋"/>
                <w:szCs w:val="21"/>
              </w:rPr>
              <w:t>满足以上五项要求得8分，满足以上四项要求得6分，满足以上三项要求得4分，其它情况不得分。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0" w:type="dxa"/>
            <w:vMerge w:val="continue"/>
            <w:vAlign w:val="center"/>
          </w:tcPr>
          <w:p>
            <w:pPr>
              <w:jc w:val="center"/>
              <w:rPr>
                <w:rFonts w:ascii="仿宋" w:hAnsi="仿宋" w:eastAsia="仿宋"/>
                <w:szCs w:val="21"/>
              </w:rPr>
            </w:pPr>
          </w:p>
        </w:tc>
        <w:tc>
          <w:tcPr>
            <w:tcW w:w="709" w:type="dxa"/>
            <w:vAlign w:val="center"/>
          </w:tcPr>
          <w:p>
            <w:pPr>
              <w:jc w:val="center"/>
              <w:rPr>
                <w:rFonts w:ascii="仿宋" w:hAnsi="仿宋" w:eastAsia="仿宋"/>
                <w:szCs w:val="21"/>
              </w:rPr>
            </w:pPr>
            <w:r>
              <w:rPr>
                <w:rFonts w:hint="eastAsia" w:ascii="仿宋" w:hAnsi="仿宋" w:eastAsia="仿宋"/>
                <w:szCs w:val="21"/>
              </w:rPr>
              <w:t>3</w:t>
            </w:r>
          </w:p>
        </w:tc>
        <w:tc>
          <w:tcPr>
            <w:tcW w:w="1418" w:type="dxa"/>
            <w:vAlign w:val="center"/>
          </w:tcPr>
          <w:p>
            <w:pPr>
              <w:jc w:val="center"/>
              <w:rPr>
                <w:rFonts w:ascii="仿宋" w:hAnsi="仿宋" w:eastAsia="仿宋" w:cs="宋体"/>
                <w:kern w:val="0"/>
                <w:szCs w:val="21"/>
              </w:rPr>
            </w:pPr>
            <w:r>
              <w:rPr>
                <w:rFonts w:hint="eastAsia" w:ascii="仿宋" w:hAnsi="仿宋" w:eastAsia="仿宋"/>
                <w:szCs w:val="21"/>
              </w:rPr>
              <w:t>项目实施关键施工技术（重点难点）分析及解决方案</w:t>
            </w:r>
          </w:p>
        </w:tc>
        <w:tc>
          <w:tcPr>
            <w:tcW w:w="760" w:type="dxa"/>
            <w:vAlign w:val="center"/>
          </w:tcPr>
          <w:p>
            <w:pPr>
              <w:jc w:val="center"/>
              <w:rPr>
                <w:rFonts w:ascii="仿宋" w:hAnsi="仿宋" w:eastAsia="仿宋"/>
                <w:szCs w:val="21"/>
              </w:rPr>
            </w:pPr>
            <w:r>
              <w:rPr>
                <w:rFonts w:hint="eastAsia" w:ascii="仿宋" w:hAnsi="仿宋" w:eastAsia="仿宋" w:cs="宋体"/>
                <w:szCs w:val="21"/>
              </w:rPr>
              <w:t>8</w:t>
            </w:r>
          </w:p>
        </w:tc>
        <w:tc>
          <w:tcPr>
            <w:tcW w:w="4568" w:type="dxa"/>
            <w:vAlign w:val="center"/>
          </w:tcPr>
          <w:p>
            <w:pPr>
              <w:rPr>
                <w:rFonts w:ascii="仿宋" w:hAnsi="仿宋" w:eastAsia="仿宋"/>
                <w:b/>
                <w:szCs w:val="21"/>
              </w:rPr>
            </w:pPr>
            <w:r>
              <w:rPr>
                <w:rFonts w:hint="eastAsia" w:ascii="仿宋" w:hAnsi="仿宋" w:eastAsia="仿宋"/>
                <w:b/>
                <w:szCs w:val="21"/>
              </w:rPr>
              <w:t>评审内容：</w:t>
            </w:r>
          </w:p>
          <w:p>
            <w:pPr>
              <w:rPr>
                <w:rFonts w:ascii="仿宋" w:hAnsi="仿宋" w:eastAsia="仿宋"/>
                <w:szCs w:val="21"/>
              </w:rPr>
            </w:pPr>
            <w:r>
              <w:rPr>
                <w:rFonts w:hint="eastAsia" w:ascii="仿宋" w:hAnsi="仿宋" w:eastAsia="仿宋"/>
                <w:szCs w:val="21"/>
              </w:rPr>
              <w:t>项目实施关键施工技术（重点难点）分析条理清晰、合理。解决方案措施具体、有效。</w:t>
            </w:r>
          </w:p>
          <w:p>
            <w:pPr>
              <w:rPr>
                <w:rFonts w:ascii="仿宋" w:hAnsi="仿宋" w:eastAsia="仿宋"/>
                <w:szCs w:val="21"/>
              </w:rPr>
            </w:pPr>
            <w:r>
              <w:rPr>
                <w:rFonts w:hint="eastAsia" w:ascii="仿宋" w:hAnsi="仿宋" w:eastAsia="仿宋"/>
                <w:b/>
                <w:szCs w:val="21"/>
              </w:rPr>
              <w:t>优良中差评分标准：</w:t>
            </w:r>
          </w:p>
          <w:p>
            <w:pPr>
              <w:rPr>
                <w:rFonts w:ascii="仿宋" w:hAnsi="仿宋" w:eastAsia="仿宋"/>
                <w:szCs w:val="21"/>
              </w:rPr>
            </w:pPr>
            <w:r>
              <w:rPr>
                <w:rFonts w:hint="eastAsia" w:ascii="仿宋" w:hAnsi="仿宋" w:eastAsia="仿宋"/>
                <w:szCs w:val="21"/>
              </w:rPr>
              <w:t>（1）方案清晰合理的，具体有效的，得8分；</w:t>
            </w:r>
          </w:p>
          <w:p>
            <w:pPr>
              <w:rPr>
                <w:rFonts w:ascii="仿宋" w:hAnsi="仿宋" w:eastAsia="仿宋"/>
                <w:szCs w:val="21"/>
              </w:rPr>
            </w:pPr>
            <w:r>
              <w:rPr>
                <w:rFonts w:hint="eastAsia" w:ascii="仿宋" w:hAnsi="仿宋" w:eastAsia="仿宋"/>
                <w:szCs w:val="21"/>
              </w:rPr>
              <w:t>（2）方案较合理的和有效的，得6分；</w:t>
            </w:r>
          </w:p>
          <w:p>
            <w:pPr>
              <w:rPr>
                <w:rFonts w:ascii="仿宋" w:hAnsi="仿宋" w:eastAsia="仿宋"/>
                <w:szCs w:val="21"/>
              </w:rPr>
            </w:pPr>
            <w:r>
              <w:rPr>
                <w:rFonts w:hint="eastAsia" w:ascii="仿宋" w:hAnsi="仿宋" w:eastAsia="仿宋"/>
                <w:szCs w:val="21"/>
              </w:rPr>
              <w:t>（3）方案合理性和有效性一般的，得4分；</w:t>
            </w:r>
          </w:p>
          <w:p>
            <w:pPr>
              <w:rPr>
                <w:rFonts w:ascii="仿宋" w:hAnsi="仿宋" w:eastAsia="仿宋"/>
                <w:szCs w:val="21"/>
              </w:rPr>
            </w:pPr>
            <w:r>
              <w:rPr>
                <w:rFonts w:hint="eastAsia" w:ascii="仿宋" w:hAnsi="仿宋" w:eastAsia="仿宋"/>
                <w:szCs w:val="21"/>
              </w:rPr>
              <w:t>（4）方案不合理的的或者未提供的不得分。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0" w:type="dxa"/>
            <w:vMerge w:val="continue"/>
            <w:vAlign w:val="center"/>
          </w:tcPr>
          <w:p>
            <w:pPr>
              <w:jc w:val="center"/>
              <w:rPr>
                <w:rFonts w:ascii="仿宋" w:hAnsi="仿宋" w:eastAsia="仿宋"/>
                <w:szCs w:val="21"/>
              </w:rPr>
            </w:pPr>
          </w:p>
        </w:tc>
        <w:tc>
          <w:tcPr>
            <w:tcW w:w="709" w:type="dxa"/>
            <w:vAlign w:val="center"/>
          </w:tcPr>
          <w:p>
            <w:pPr>
              <w:jc w:val="center"/>
              <w:rPr>
                <w:rFonts w:ascii="仿宋" w:hAnsi="仿宋" w:eastAsia="仿宋"/>
                <w:szCs w:val="21"/>
              </w:rPr>
            </w:pPr>
            <w:r>
              <w:rPr>
                <w:rFonts w:hint="eastAsia" w:ascii="仿宋" w:hAnsi="仿宋" w:eastAsia="仿宋"/>
                <w:szCs w:val="21"/>
              </w:rPr>
              <w:t>4</w:t>
            </w:r>
          </w:p>
        </w:tc>
        <w:tc>
          <w:tcPr>
            <w:tcW w:w="1418" w:type="dxa"/>
            <w:vAlign w:val="center"/>
          </w:tcPr>
          <w:p>
            <w:pPr>
              <w:jc w:val="center"/>
              <w:rPr>
                <w:rFonts w:ascii="仿宋" w:hAnsi="仿宋" w:eastAsia="仿宋" w:cs="宋体"/>
                <w:kern w:val="0"/>
                <w:szCs w:val="21"/>
              </w:rPr>
            </w:pPr>
            <w:r>
              <w:rPr>
                <w:rFonts w:hint="eastAsia" w:ascii="仿宋" w:hAnsi="仿宋" w:eastAsia="仿宋"/>
                <w:szCs w:val="21"/>
              </w:rPr>
              <w:t>施工质量（安全、环保、工期、售后服务）保障措施及相关的违约承诺</w:t>
            </w:r>
          </w:p>
        </w:tc>
        <w:tc>
          <w:tcPr>
            <w:tcW w:w="760" w:type="dxa"/>
            <w:vAlign w:val="center"/>
          </w:tcPr>
          <w:p>
            <w:pPr>
              <w:jc w:val="center"/>
              <w:rPr>
                <w:rFonts w:ascii="仿宋" w:hAnsi="仿宋" w:eastAsia="仿宋"/>
                <w:szCs w:val="21"/>
              </w:rPr>
            </w:pPr>
            <w:r>
              <w:rPr>
                <w:rFonts w:hint="eastAsia" w:ascii="仿宋" w:hAnsi="仿宋" w:eastAsia="仿宋" w:cs="宋体"/>
                <w:szCs w:val="21"/>
              </w:rPr>
              <w:t>8</w:t>
            </w:r>
          </w:p>
        </w:tc>
        <w:tc>
          <w:tcPr>
            <w:tcW w:w="4568" w:type="dxa"/>
            <w:vAlign w:val="center"/>
          </w:tcPr>
          <w:p>
            <w:pPr>
              <w:rPr>
                <w:rFonts w:ascii="仿宋" w:hAnsi="仿宋" w:eastAsia="仿宋"/>
                <w:b/>
                <w:szCs w:val="21"/>
              </w:rPr>
            </w:pPr>
            <w:r>
              <w:rPr>
                <w:rFonts w:hint="eastAsia" w:ascii="仿宋" w:hAnsi="仿宋" w:eastAsia="仿宋"/>
                <w:b/>
                <w:szCs w:val="21"/>
              </w:rPr>
              <w:t>评审内容：</w:t>
            </w:r>
          </w:p>
          <w:p>
            <w:pPr>
              <w:rPr>
                <w:rFonts w:ascii="仿宋" w:hAnsi="仿宋" w:eastAsia="仿宋"/>
                <w:szCs w:val="21"/>
              </w:rPr>
            </w:pPr>
            <w:r>
              <w:rPr>
                <w:rFonts w:hint="eastAsia" w:ascii="仿宋" w:hAnsi="仿宋" w:eastAsia="仿宋"/>
                <w:szCs w:val="21"/>
              </w:rPr>
              <w:t>确保工程质量的技术组织、文明施工措施、安全生产措施、工期安排以及保证工期的技术措施。</w:t>
            </w:r>
          </w:p>
          <w:p>
            <w:pPr>
              <w:rPr>
                <w:rFonts w:ascii="仿宋" w:hAnsi="仿宋" w:eastAsia="仿宋"/>
                <w:szCs w:val="21"/>
              </w:rPr>
            </w:pPr>
            <w:r>
              <w:rPr>
                <w:rFonts w:hint="eastAsia" w:ascii="仿宋" w:hAnsi="仿宋" w:eastAsia="仿宋"/>
                <w:b/>
                <w:szCs w:val="21"/>
              </w:rPr>
              <w:t>优良中差评分标准：</w:t>
            </w:r>
          </w:p>
          <w:p>
            <w:pPr>
              <w:rPr>
                <w:rFonts w:ascii="仿宋" w:hAnsi="仿宋" w:eastAsia="仿宋"/>
                <w:szCs w:val="21"/>
              </w:rPr>
            </w:pPr>
            <w:r>
              <w:rPr>
                <w:rFonts w:hint="eastAsia" w:ascii="仿宋" w:hAnsi="仿宋" w:eastAsia="仿宋"/>
                <w:szCs w:val="21"/>
              </w:rPr>
              <w:t>（1）项目质量管理组织机构完善、合理；</w:t>
            </w:r>
          </w:p>
          <w:p>
            <w:pPr>
              <w:rPr>
                <w:rFonts w:ascii="仿宋" w:hAnsi="仿宋" w:eastAsia="仿宋"/>
                <w:szCs w:val="21"/>
              </w:rPr>
            </w:pPr>
            <w:r>
              <w:rPr>
                <w:rFonts w:hint="eastAsia" w:ascii="仿宋" w:hAnsi="仿宋" w:eastAsia="仿宋"/>
                <w:szCs w:val="21"/>
              </w:rPr>
              <w:t>（</w:t>
            </w:r>
            <w:r>
              <w:rPr>
                <w:rFonts w:ascii="仿宋" w:hAnsi="仿宋" w:eastAsia="仿宋"/>
                <w:szCs w:val="21"/>
              </w:rPr>
              <w:t>2</w:t>
            </w:r>
            <w:r>
              <w:rPr>
                <w:rFonts w:hint="eastAsia" w:ascii="仿宋" w:hAnsi="仿宋" w:eastAsia="仿宋"/>
                <w:szCs w:val="21"/>
              </w:rPr>
              <w:t>）项目质量控制措施全面、完善；</w:t>
            </w:r>
          </w:p>
          <w:p>
            <w:pPr>
              <w:rPr>
                <w:rFonts w:ascii="仿宋" w:hAnsi="仿宋" w:eastAsia="仿宋"/>
                <w:color w:val="000000"/>
                <w:szCs w:val="21"/>
              </w:rPr>
            </w:pPr>
            <w:r>
              <w:rPr>
                <w:rFonts w:hint="eastAsia" w:ascii="仿宋" w:hAnsi="仿宋" w:eastAsia="仿宋"/>
                <w:color w:val="000000"/>
                <w:szCs w:val="21"/>
              </w:rPr>
              <w:t>（</w:t>
            </w:r>
            <w:r>
              <w:rPr>
                <w:rFonts w:ascii="仿宋" w:hAnsi="仿宋" w:eastAsia="仿宋"/>
                <w:color w:val="000000"/>
                <w:szCs w:val="21"/>
              </w:rPr>
              <w:t>3</w:t>
            </w:r>
            <w:r>
              <w:rPr>
                <w:rFonts w:hint="eastAsia" w:ascii="仿宋" w:hAnsi="仿宋" w:eastAsia="仿宋"/>
                <w:color w:val="000000"/>
                <w:szCs w:val="21"/>
              </w:rPr>
              <w:t>）确保项目文明施工的技术组织措施全面、完善；</w:t>
            </w:r>
          </w:p>
          <w:p>
            <w:pPr>
              <w:rPr>
                <w:rFonts w:ascii="仿宋" w:hAnsi="仿宋" w:eastAsia="仿宋"/>
                <w:szCs w:val="21"/>
              </w:rPr>
            </w:pPr>
            <w:r>
              <w:rPr>
                <w:rFonts w:hint="eastAsia" w:ascii="仿宋" w:hAnsi="仿宋" w:eastAsia="仿宋"/>
                <w:szCs w:val="21"/>
              </w:rPr>
              <w:t>（</w:t>
            </w:r>
            <w:r>
              <w:rPr>
                <w:rFonts w:ascii="仿宋" w:hAnsi="仿宋" w:eastAsia="仿宋"/>
                <w:szCs w:val="21"/>
              </w:rPr>
              <w:t>4</w:t>
            </w:r>
            <w:r>
              <w:rPr>
                <w:rFonts w:hint="eastAsia" w:ascii="仿宋" w:hAnsi="仿宋" w:eastAsia="仿宋"/>
                <w:szCs w:val="21"/>
              </w:rPr>
              <w:t>）确保安全生产的技术组织措施全面、完善；</w:t>
            </w:r>
          </w:p>
          <w:p>
            <w:pPr>
              <w:rPr>
                <w:rFonts w:ascii="仿宋" w:hAnsi="仿宋" w:eastAsia="仿宋"/>
                <w:szCs w:val="21"/>
              </w:rPr>
            </w:pPr>
            <w:r>
              <w:rPr>
                <w:rFonts w:hint="eastAsia" w:ascii="仿宋" w:hAnsi="仿宋" w:eastAsia="仿宋"/>
                <w:szCs w:val="21"/>
              </w:rPr>
              <w:t>（</w:t>
            </w:r>
            <w:r>
              <w:rPr>
                <w:rFonts w:ascii="仿宋" w:hAnsi="仿宋" w:eastAsia="仿宋"/>
                <w:szCs w:val="21"/>
              </w:rPr>
              <w:t>5</w:t>
            </w:r>
            <w:r>
              <w:rPr>
                <w:rFonts w:hint="eastAsia" w:ascii="仿宋" w:hAnsi="仿宋" w:eastAsia="仿宋"/>
                <w:szCs w:val="21"/>
              </w:rPr>
              <w:t>）工期安排满足招标要求，确保工期的技术组织措施切实、可行。</w:t>
            </w:r>
          </w:p>
          <w:p>
            <w:pPr>
              <w:jc w:val="left"/>
              <w:rPr>
                <w:rFonts w:ascii="仿宋" w:hAnsi="仿宋" w:eastAsia="仿宋"/>
                <w:color w:val="FF0000"/>
                <w:szCs w:val="21"/>
              </w:rPr>
            </w:pPr>
            <w:r>
              <w:rPr>
                <w:rFonts w:hint="eastAsia" w:ascii="仿宋" w:hAnsi="仿宋" w:eastAsia="仿宋"/>
                <w:szCs w:val="21"/>
              </w:rPr>
              <w:t>满足以上五项要求得8分，满足以上四项要求得6分，满足以上三项要求得4分，其它情况不得分。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0" w:type="dxa"/>
            <w:vMerge w:val="continue"/>
            <w:vAlign w:val="center"/>
          </w:tcPr>
          <w:p>
            <w:pPr>
              <w:jc w:val="center"/>
              <w:rPr>
                <w:rFonts w:ascii="仿宋" w:hAnsi="仿宋" w:eastAsia="仿宋"/>
                <w:szCs w:val="21"/>
              </w:rPr>
            </w:pP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418" w:type="dxa"/>
            <w:vAlign w:val="center"/>
          </w:tcPr>
          <w:p>
            <w:pPr>
              <w:jc w:val="center"/>
              <w:rPr>
                <w:rFonts w:ascii="仿宋" w:hAnsi="仿宋" w:eastAsia="仿宋" w:cs="宋体"/>
                <w:kern w:val="0"/>
                <w:szCs w:val="21"/>
              </w:rPr>
            </w:pPr>
            <w:r>
              <w:rPr>
                <w:rFonts w:hint="eastAsia" w:ascii="仿宋" w:hAnsi="仿宋" w:eastAsia="仿宋" w:cs="宋体"/>
                <w:szCs w:val="21"/>
              </w:rPr>
              <w:t>项目使用的材料性能、劳动力、机械设备、材料投入计划及其保证措施</w:t>
            </w:r>
          </w:p>
        </w:tc>
        <w:tc>
          <w:tcPr>
            <w:tcW w:w="760" w:type="dxa"/>
            <w:vAlign w:val="center"/>
          </w:tcPr>
          <w:p>
            <w:pPr>
              <w:jc w:val="center"/>
              <w:rPr>
                <w:rFonts w:ascii="仿宋" w:hAnsi="仿宋" w:eastAsia="仿宋"/>
                <w:szCs w:val="21"/>
              </w:rPr>
            </w:pPr>
            <w:r>
              <w:rPr>
                <w:rFonts w:hint="eastAsia" w:ascii="仿宋" w:hAnsi="仿宋" w:eastAsia="仿宋" w:cs="宋体"/>
                <w:szCs w:val="21"/>
              </w:rPr>
              <w:t>5</w:t>
            </w:r>
          </w:p>
        </w:tc>
        <w:tc>
          <w:tcPr>
            <w:tcW w:w="4568" w:type="dxa"/>
            <w:vAlign w:val="center"/>
          </w:tcPr>
          <w:p>
            <w:pPr>
              <w:rPr>
                <w:rFonts w:ascii="仿宋" w:hAnsi="仿宋" w:eastAsia="仿宋"/>
                <w:b/>
                <w:szCs w:val="21"/>
              </w:rPr>
            </w:pPr>
            <w:r>
              <w:rPr>
                <w:rFonts w:hint="eastAsia" w:ascii="仿宋" w:hAnsi="仿宋" w:eastAsia="仿宋"/>
                <w:b/>
                <w:szCs w:val="21"/>
              </w:rPr>
              <w:t>评审内容：</w:t>
            </w:r>
          </w:p>
          <w:p>
            <w:pPr>
              <w:rPr>
                <w:rFonts w:ascii="仿宋" w:hAnsi="仿宋" w:eastAsia="仿宋"/>
                <w:szCs w:val="21"/>
              </w:rPr>
            </w:pPr>
            <w:r>
              <w:rPr>
                <w:rFonts w:hint="eastAsia" w:ascii="仿宋" w:hAnsi="仿宋" w:eastAsia="仿宋"/>
                <w:szCs w:val="21"/>
              </w:rPr>
              <w:t>项目实施使用的材料性能、劳动力、机械设备、材料投入计划及其保证措施方案具体、有效。</w:t>
            </w:r>
          </w:p>
          <w:p>
            <w:pPr>
              <w:rPr>
                <w:rFonts w:ascii="仿宋" w:hAnsi="仿宋" w:eastAsia="仿宋"/>
                <w:szCs w:val="21"/>
              </w:rPr>
            </w:pPr>
            <w:r>
              <w:rPr>
                <w:rFonts w:hint="eastAsia" w:ascii="仿宋" w:hAnsi="仿宋" w:eastAsia="仿宋"/>
                <w:b/>
                <w:szCs w:val="21"/>
              </w:rPr>
              <w:t>优良中差评分标准：</w:t>
            </w:r>
          </w:p>
          <w:p>
            <w:pPr>
              <w:rPr>
                <w:rFonts w:ascii="仿宋" w:hAnsi="仿宋" w:eastAsia="仿宋"/>
                <w:szCs w:val="21"/>
              </w:rPr>
            </w:pPr>
            <w:r>
              <w:rPr>
                <w:rFonts w:hint="eastAsia" w:ascii="仿宋" w:hAnsi="仿宋" w:eastAsia="仿宋"/>
                <w:szCs w:val="21"/>
              </w:rPr>
              <w:t>（1）项目实施使用的机械设备配备方案科学、合理；</w:t>
            </w:r>
          </w:p>
          <w:p>
            <w:pPr>
              <w:rPr>
                <w:rFonts w:ascii="仿宋" w:hAnsi="仿宋" w:eastAsia="仿宋"/>
                <w:szCs w:val="21"/>
              </w:rPr>
            </w:pPr>
            <w:r>
              <w:rPr>
                <w:rFonts w:hint="eastAsia" w:ascii="仿宋" w:hAnsi="仿宋" w:eastAsia="仿宋"/>
                <w:szCs w:val="21"/>
              </w:rPr>
              <w:t>（2）项目实施劳动力备置方案科学、合理；</w:t>
            </w:r>
          </w:p>
          <w:p>
            <w:pPr>
              <w:rPr>
                <w:rFonts w:ascii="仿宋" w:hAnsi="仿宋" w:eastAsia="仿宋"/>
                <w:szCs w:val="21"/>
              </w:rPr>
            </w:pPr>
            <w:r>
              <w:rPr>
                <w:rFonts w:hint="eastAsia" w:ascii="仿宋" w:hAnsi="仿宋" w:eastAsia="仿宋"/>
                <w:szCs w:val="21"/>
              </w:rPr>
              <w:t>（3）项目实施材料投入计划科学、合理；</w:t>
            </w:r>
          </w:p>
          <w:p>
            <w:pPr>
              <w:rPr>
                <w:rFonts w:ascii="仿宋" w:hAnsi="仿宋" w:eastAsia="仿宋"/>
                <w:szCs w:val="21"/>
              </w:rPr>
            </w:pPr>
            <w:r>
              <w:rPr>
                <w:rFonts w:hint="eastAsia" w:ascii="仿宋" w:hAnsi="仿宋" w:eastAsia="仿宋"/>
                <w:szCs w:val="21"/>
              </w:rPr>
              <w:t>（4）项目实施其配套保证措施方案科学、合理；</w:t>
            </w:r>
          </w:p>
          <w:p>
            <w:pPr>
              <w:jc w:val="left"/>
              <w:rPr>
                <w:rFonts w:ascii="仿宋" w:hAnsi="仿宋" w:eastAsia="仿宋"/>
                <w:color w:val="FF0000"/>
                <w:szCs w:val="21"/>
              </w:rPr>
            </w:pPr>
            <w:r>
              <w:rPr>
                <w:rFonts w:hint="eastAsia" w:ascii="仿宋" w:hAnsi="仿宋" w:eastAsia="仿宋"/>
                <w:szCs w:val="21"/>
              </w:rPr>
              <w:t>满足以上四项要求得</w:t>
            </w:r>
            <w:r>
              <w:rPr>
                <w:rFonts w:ascii="仿宋" w:hAnsi="仿宋" w:eastAsia="仿宋"/>
                <w:szCs w:val="21"/>
              </w:rPr>
              <w:t>5</w:t>
            </w:r>
            <w:r>
              <w:rPr>
                <w:rFonts w:hint="eastAsia" w:ascii="仿宋" w:hAnsi="仿宋" w:eastAsia="仿宋"/>
                <w:szCs w:val="21"/>
              </w:rPr>
              <w:t>分，满足以上三项要求得</w:t>
            </w:r>
            <w:r>
              <w:rPr>
                <w:rFonts w:ascii="仿宋" w:hAnsi="仿宋" w:eastAsia="仿宋"/>
                <w:szCs w:val="21"/>
              </w:rPr>
              <w:t>3</w:t>
            </w:r>
            <w:r>
              <w:rPr>
                <w:rFonts w:hint="eastAsia" w:ascii="仿宋" w:hAnsi="仿宋" w:eastAsia="仿宋"/>
                <w:szCs w:val="21"/>
              </w:rPr>
              <w:t>分，满足以上二项要求得</w:t>
            </w:r>
            <w:r>
              <w:rPr>
                <w:rFonts w:ascii="仿宋" w:hAnsi="仿宋" w:eastAsia="仿宋"/>
                <w:szCs w:val="21"/>
              </w:rPr>
              <w:t>2</w:t>
            </w:r>
            <w:r>
              <w:rPr>
                <w:rFonts w:hint="eastAsia" w:ascii="仿宋" w:hAnsi="仿宋" w:eastAsia="仿宋"/>
                <w:szCs w:val="21"/>
              </w:rPr>
              <w:t>分，其它情况不得分。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50" w:type="dxa"/>
            <w:vAlign w:val="center"/>
          </w:tcPr>
          <w:p>
            <w:pPr>
              <w:jc w:val="center"/>
              <w:rPr>
                <w:rFonts w:ascii="仿宋" w:hAnsi="仿宋" w:eastAsia="仿宋"/>
                <w:b/>
                <w:szCs w:val="21"/>
              </w:rPr>
            </w:pPr>
            <w:r>
              <w:rPr>
                <w:rFonts w:ascii="仿宋" w:hAnsi="仿宋" w:eastAsia="仿宋"/>
                <w:b/>
                <w:szCs w:val="21"/>
              </w:rPr>
              <w:t>3</w:t>
            </w:r>
          </w:p>
        </w:tc>
        <w:tc>
          <w:tcPr>
            <w:tcW w:w="2887" w:type="dxa"/>
            <w:gridSpan w:val="3"/>
            <w:vAlign w:val="center"/>
          </w:tcPr>
          <w:p>
            <w:pPr>
              <w:jc w:val="center"/>
              <w:rPr>
                <w:rFonts w:ascii="仿宋" w:hAnsi="仿宋" w:eastAsia="仿宋"/>
                <w:b/>
                <w:szCs w:val="21"/>
              </w:rPr>
            </w:pPr>
            <w:r>
              <w:rPr>
                <w:rFonts w:hint="eastAsia" w:ascii="仿宋" w:hAnsi="仿宋" w:eastAsia="仿宋"/>
                <w:b/>
                <w:szCs w:val="21"/>
              </w:rPr>
              <w:t>商务部分</w:t>
            </w:r>
          </w:p>
        </w:tc>
        <w:tc>
          <w:tcPr>
            <w:tcW w:w="4568" w:type="dxa"/>
            <w:vAlign w:val="center"/>
          </w:tcPr>
          <w:p>
            <w:pPr>
              <w:jc w:val="center"/>
              <w:rPr>
                <w:rFonts w:ascii="仿宋" w:hAnsi="仿宋" w:eastAsia="仿宋"/>
                <w:b/>
                <w:szCs w:val="21"/>
              </w:rPr>
            </w:pPr>
            <w:r>
              <w:rPr>
                <w:rFonts w:hint="eastAsia" w:ascii="仿宋" w:hAnsi="仿宋" w:eastAsia="仿宋"/>
                <w:b/>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0" w:type="dxa"/>
            <w:vMerge w:val="restart"/>
            <w:vAlign w:val="center"/>
          </w:tcPr>
          <w:p>
            <w:pPr>
              <w:jc w:val="center"/>
              <w:rPr>
                <w:rFonts w:ascii="仿宋" w:hAnsi="仿宋" w:eastAsia="仿宋"/>
                <w:szCs w:val="21"/>
              </w:rPr>
            </w:pPr>
          </w:p>
        </w:tc>
        <w:tc>
          <w:tcPr>
            <w:tcW w:w="709" w:type="dxa"/>
            <w:vAlign w:val="center"/>
          </w:tcPr>
          <w:p>
            <w:pPr>
              <w:jc w:val="center"/>
              <w:rPr>
                <w:rFonts w:ascii="仿宋" w:hAnsi="仿宋" w:eastAsia="仿宋"/>
                <w:szCs w:val="21"/>
              </w:rPr>
            </w:pPr>
            <w:r>
              <w:rPr>
                <w:rFonts w:hint="eastAsia" w:ascii="仿宋" w:hAnsi="仿宋" w:eastAsia="仿宋"/>
                <w:szCs w:val="21"/>
              </w:rPr>
              <w:t>序号</w:t>
            </w:r>
          </w:p>
        </w:tc>
        <w:tc>
          <w:tcPr>
            <w:tcW w:w="1418" w:type="dxa"/>
            <w:vAlign w:val="center"/>
          </w:tcPr>
          <w:p>
            <w:pPr>
              <w:jc w:val="center"/>
              <w:rPr>
                <w:rFonts w:ascii="仿宋" w:hAnsi="仿宋" w:eastAsia="仿宋"/>
                <w:szCs w:val="21"/>
              </w:rPr>
            </w:pPr>
            <w:r>
              <w:rPr>
                <w:rFonts w:hint="eastAsia" w:ascii="仿宋" w:hAnsi="仿宋" w:eastAsia="仿宋"/>
                <w:szCs w:val="21"/>
              </w:rPr>
              <w:t>评分因素</w:t>
            </w:r>
          </w:p>
        </w:tc>
        <w:tc>
          <w:tcPr>
            <w:tcW w:w="760" w:type="dxa"/>
            <w:vAlign w:val="center"/>
          </w:tcPr>
          <w:p>
            <w:pPr>
              <w:jc w:val="center"/>
              <w:rPr>
                <w:rFonts w:ascii="仿宋" w:hAnsi="仿宋" w:eastAsia="仿宋"/>
                <w:szCs w:val="21"/>
              </w:rPr>
            </w:pPr>
            <w:r>
              <w:rPr>
                <w:rFonts w:hint="eastAsia" w:ascii="仿宋" w:hAnsi="仿宋" w:eastAsia="仿宋"/>
                <w:szCs w:val="21"/>
              </w:rPr>
              <w:t>分值</w:t>
            </w:r>
          </w:p>
        </w:tc>
        <w:tc>
          <w:tcPr>
            <w:tcW w:w="4568" w:type="dxa"/>
            <w:vAlign w:val="center"/>
          </w:tcPr>
          <w:p>
            <w:pPr>
              <w:jc w:val="center"/>
              <w:rPr>
                <w:rFonts w:ascii="仿宋" w:hAnsi="仿宋" w:eastAsia="仿宋"/>
                <w:szCs w:val="21"/>
              </w:rPr>
            </w:pPr>
            <w:r>
              <w:rPr>
                <w:rFonts w:hint="eastAsia" w:ascii="仿宋" w:hAnsi="仿宋" w:eastAsia="仿宋"/>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0" w:type="dxa"/>
            <w:vMerge w:val="continue"/>
            <w:vAlign w:val="center"/>
          </w:tcPr>
          <w:p>
            <w:pPr>
              <w:jc w:val="center"/>
              <w:rPr>
                <w:rFonts w:ascii="仿宋" w:hAnsi="仿宋" w:eastAsia="仿宋"/>
                <w:szCs w:val="21"/>
              </w:rPr>
            </w:pPr>
          </w:p>
        </w:tc>
        <w:tc>
          <w:tcPr>
            <w:tcW w:w="709" w:type="dxa"/>
            <w:vAlign w:val="center"/>
          </w:tcPr>
          <w:p>
            <w:pPr>
              <w:jc w:val="center"/>
              <w:rPr>
                <w:rFonts w:ascii="仿宋" w:hAnsi="仿宋" w:eastAsia="仿宋"/>
                <w:szCs w:val="21"/>
                <w:highlight w:val="yellow"/>
              </w:rPr>
            </w:pPr>
            <w:r>
              <w:rPr>
                <w:rFonts w:hint="eastAsia" w:ascii="仿宋" w:hAnsi="仿宋" w:eastAsia="仿宋"/>
                <w:szCs w:val="21"/>
                <w:highlight w:val="yellow"/>
              </w:rPr>
              <w:t>1</w:t>
            </w:r>
          </w:p>
        </w:tc>
        <w:tc>
          <w:tcPr>
            <w:tcW w:w="1418" w:type="dxa"/>
            <w:vAlign w:val="center"/>
          </w:tcPr>
          <w:p>
            <w:pPr>
              <w:jc w:val="center"/>
              <w:rPr>
                <w:rFonts w:ascii="仿宋" w:hAnsi="仿宋" w:eastAsia="仿宋" w:cs="宋体"/>
                <w:szCs w:val="21"/>
                <w:highlight w:val="yellow"/>
              </w:rPr>
            </w:pPr>
            <w:r>
              <w:rPr>
                <w:rFonts w:hint="eastAsia" w:ascii="仿宋" w:hAnsi="仿宋" w:eastAsia="仿宋" w:cs="宋体"/>
                <w:szCs w:val="21"/>
                <w:highlight w:val="yellow"/>
              </w:rPr>
              <w:t>拟投入劳动力（项目经理、技术人员、管理班子）情况</w:t>
            </w:r>
          </w:p>
        </w:tc>
        <w:tc>
          <w:tcPr>
            <w:tcW w:w="760" w:type="dxa"/>
            <w:vAlign w:val="center"/>
          </w:tcPr>
          <w:p>
            <w:pPr>
              <w:jc w:val="center"/>
              <w:rPr>
                <w:rFonts w:ascii="仿宋" w:hAnsi="仿宋" w:eastAsia="仿宋"/>
                <w:szCs w:val="21"/>
                <w:highlight w:val="yellow"/>
              </w:rPr>
            </w:pPr>
            <w:r>
              <w:rPr>
                <w:rFonts w:hint="eastAsia" w:ascii="仿宋" w:hAnsi="仿宋" w:eastAsia="仿宋"/>
                <w:szCs w:val="21"/>
                <w:highlight w:val="yellow"/>
              </w:rPr>
              <w:t>8</w:t>
            </w:r>
          </w:p>
        </w:tc>
        <w:tc>
          <w:tcPr>
            <w:tcW w:w="4568" w:type="dxa"/>
            <w:vAlign w:val="center"/>
          </w:tcPr>
          <w:p>
            <w:pPr>
              <w:rPr>
                <w:rFonts w:ascii="仿宋" w:hAnsi="仿宋" w:eastAsia="仿宋" w:cs="宋体"/>
                <w:b/>
                <w:bCs/>
                <w:szCs w:val="21"/>
                <w:highlight w:val="yellow"/>
              </w:rPr>
            </w:pPr>
            <w:r>
              <w:rPr>
                <w:rFonts w:hint="eastAsia" w:ascii="仿宋" w:hAnsi="仿宋" w:eastAsia="仿宋" w:cs="宋体"/>
                <w:b/>
                <w:bCs/>
                <w:szCs w:val="21"/>
                <w:highlight w:val="yellow"/>
              </w:rPr>
              <w:t>（一）评分内容：</w:t>
            </w:r>
          </w:p>
          <w:p>
            <w:pPr>
              <w:rPr>
                <w:rFonts w:ascii="仿宋" w:hAnsi="仿宋" w:eastAsia="仿宋" w:cs="宋体"/>
                <w:szCs w:val="21"/>
                <w:highlight w:val="yellow"/>
              </w:rPr>
            </w:pPr>
            <w:r>
              <w:rPr>
                <w:rFonts w:hint="eastAsia" w:ascii="仿宋" w:hAnsi="仿宋" w:eastAsia="仿宋" w:cs="宋体"/>
                <w:szCs w:val="21"/>
                <w:highlight w:val="yellow"/>
              </w:rPr>
              <w:t>1、拟派本项目负责人（仅限一人）同时具备</w:t>
            </w:r>
            <w:r>
              <w:rPr>
                <w:rFonts w:hint="eastAsia" w:ascii="仿宋" w:hAnsi="仿宋" w:eastAsia="仿宋" w:cs="宋体"/>
                <w:b/>
                <w:bCs/>
                <w:color w:val="FF0000"/>
                <w:szCs w:val="21"/>
                <w:highlight w:val="yellow"/>
              </w:rPr>
              <w:t>二级</w:t>
            </w:r>
            <w:r>
              <w:rPr>
                <w:rFonts w:hint="eastAsia" w:ascii="仿宋" w:hAnsi="仿宋" w:eastAsia="仿宋" w:cs="宋体"/>
                <w:szCs w:val="21"/>
                <w:highlight w:val="yellow"/>
              </w:rPr>
              <w:t>建造师（建筑工程）资格证书及同类项目、同类岗位工作经验，得4分；</w:t>
            </w:r>
          </w:p>
          <w:p>
            <w:pPr>
              <w:rPr>
                <w:rFonts w:ascii="仿宋" w:hAnsi="仿宋" w:eastAsia="仿宋" w:cs="宋体"/>
                <w:szCs w:val="21"/>
                <w:highlight w:val="yellow"/>
              </w:rPr>
            </w:pPr>
            <w:r>
              <w:rPr>
                <w:rFonts w:hint="eastAsia" w:ascii="仿宋" w:hAnsi="仿宋" w:eastAsia="仿宋" w:cs="宋体"/>
                <w:szCs w:val="21"/>
                <w:highlight w:val="yellow"/>
              </w:rPr>
              <w:t>2、拟派的技术负责人、安全员、质量员、资料员均需持证上岗，提供相关资格证书，全部提供得4分，其他不得分；</w:t>
            </w:r>
          </w:p>
          <w:p>
            <w:pPr>
              <w:rPr>
                <w:rFonts w:ascii="仿宋" w:hAnsi="仿宋" w:eastAsia="仿宋" w:cs="宋体"/>
                <w:b/>
                <w:bCs/>
                <w:szCs w:val="21"/>
                <w:highlight w:val="yellow"/>
              </w:rPr>
            </w:pPr>
            <w:r>
              <w:rPr>
                <w:rFonts w:hint="eastAsia" w:ascii="仿宋" w:hAnsi="仿宋" w:eastAsia="仿宋" w:cs="宋体"/>
                <w:szCs w:val="21"/>
                <w:highlight w:val="yellow"/>
              </w:rPr>
              <w:t>3、投标人投标文件中承诺的项目主要负责人员，包括但不限于项目负责人、技术负责人、安全员、质检员、资料员等必须按时到岗。现场人员与投标文件不符的且无正当理由的，招标人按500元/人/天的标准按实扣减工程款。投标人因为客观原因更换管理人员的，必须以书面形式报招标人和监理批准（提供承诺函加盖投标人公章，格式自拟），出具上述内容承诺函得1分，未提供不得分。</w:t>
            </w:r>
          </w:p>
          <w:p>
            <w:pPr>
              <w:rPr>
                <w:rFonts w:ascii="仿宋" w:hAnsi="仿宋" w:eastAsia="仿宋" w:cs="宋体"/>
                <w:b/>
                <w:bCs/>
                <w:szCs w:val="21"/>
                <w:highlight w:val="yellow"/>
              </w:rPr>
            </w:pPr>
            <w:r>
              <w:rPr>
                <w:rFonts w:hint="eastAsia" w:ascii="仿宋" w:hAnsi="仿宋" w:eastAsia="仿宋" w:cs="宋体"/>
                <w:b/>
                <w:bCs/>
                <w:szCs w:val="21"/>
                <w:highlight w:val="yellow"/>
              </w:rPr>
              <w:t>（二）评分依据</w:t>
            </w:r>
          </w:p>
          <w:p>
            <w:pPr>
              <w:rPr>
                <w:rFonts w:ascii="仿宋" w:hAnsi="仿宋" w:eastAsia="仿宋" w:cs="宋体"/>
                <w:szCs w:val="21"/>
                <w:highlight w:val="yellow"/>
              </w:rPr>
            </w:pPr>
            <w:r>
              <w:rPr>
                <w:rFonts w:hint="eastAsia" w:ascii="仿宋" w:hAnsi="仿宋" w:eastAsia="仿宋" w:cs="宋体"/>
                <w:szCs w:val="21"/>
                <w:highlight w:val="yellow"/>
              </w:rPr>
              <w:t>1.要求提供投标人为其购买的近3个月的社保加盖社保局印章（或税务部门公章）的社保证明清单（由于社保部门（或税务部门）原因，最近一个月的社保证明无法提供的，可往前顺延一个月。如供应商为新成立企业且成立时间不足三个月可提供加盖公章的情况说明或者证明材料亦视为符合。）及相关证书等证明材料复印件加盖公章。无证明资料或无法判断是否得分得，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0" w:type="dxa"/>
            <w:vMerge w:val="continue"/>
            <w:vAlign w:val="center"/>
          </w:tcPr>
          <w:p>
            <w:pPr>
              <w:jc w:val="center"/>
              <w:rPr>
                <w:rFonts w:ascii="仿宋" w:hAnsi="仿宋" w:eastAsia="仿宋"/>
                <w:szCs w:val="21"/>
              </w:rPr>
            </w:pPr>
          </w:p>
        </w:tc>
        <w:tc>
          <w:tcPr>
            <w:tcW w:w="709" w:type="dxa"/>
            <w:vAlign w:val="center"/>
          </w:tcPr>
          <w:p>
            <w:pPr>
              <w:jc w:val="center"/>
              <w:rPr>
                <w:rFonts w:ascii="仿宋" w:hAnsi="仿宋" w:eastAsia="仿宋"/>
                <w:szCs w:val="21"/>
              </w:rPr>
            </w:pPr>
            <w:r>
              <w:rPr>
                <w:rFonts w:hint="eastAsia" w:ascii="仿宋" w:hAnsi="仿宋" w:eastAsia="仿宋"/>
                <w:szCs w:val="21"/>
              </w:rPr>
              <w:t>2</w:t>
            </w:r>
          </w:p>
        </w:tc>
        <w:tc>
          <w:tcPr>
            <w:tcW w:w="1418" w:type="dxa"/>
            <w:vAlign w:val="center"/>
          </w:tcPr>
          <w:p>
            <w:pPr>
              <w:jc w:val="center"/>
              <w:rPr>
                <w:rFonts w:ascii="仿宋" w:hAnsi="仿宋" w:eastAsia="仿宋"/>
                <w:szCs w:val="21"/>
                <w:highlight w:val="yellow"/>
              </w:rPr>
            </w:pPr>
            <w:r>
              <w:rPr>
                <w:rFonts w:hint="eastAsia" w:ascii="仿宋" w:hAnsi="仿宋" w:eastAsia="仿宋" w:cs="宋体"/>
                <w:szCs w:val="21"/>
                <w:highlight w:val="yellow"/>
              </w:rPr>
              <w:t>获奖情况</w:t>
            </w:r>
          </w:p>
        </w:tc>
        <w:tc>
          <w:tcPr>
            <w:tcW w:w="760" w:type="dxa"/>
            <w:vAlign w:val="center"/>
          </w:tcPr>
          <w:p>
            <w:pPr>
              <w:jc w:val="center"/>
              <w:rPr>
                <w:rFonts w:ascii="仿宋" w:hAnsi="仿宋" w:eastAsia="仿宋"/>
                <w:szCs w:val="21"/>
                <w:highlight w:val="yellow"/>
              </w:rPr>
            </w:pPr>
            <w:r>
              <w:rPr>
                <w:rFonts w:hint="eastAsia" w:ascii="仿宋" w:hAnsi="仿宋" w:eastAsia="仿宋"/>
                <w:szCs w:val="21"/>
                <w:highlight w:val="yellow"/>
              </w:rPr>
              <w:t>5</w:t>
            </w:r>
          </w:p>
        </w:tc>
        <w:tc>
          <w:tcPr>
            <w:tcW w:w="4568" w:type="dxa"/>
            <w:vAlign w:val="center"/>
          </w:tcPr>
          <w:p>
            <w:pPr>
              <w:rPr>
                <w:rFonts w:ascii="仿宋" w:hAnsi="仿宋" w:eastAsia="仿宋" w:cs="宋体"/>
                <w:b/>
                <w:bCs/>
                <w:szCs w:val="21"/>
                <w:highlight w:val="yellow"/>
              </w:rPr>
            </w:pPr>
            <w:r>
              <w:rPr>
                <w:rFonts w:hint="eastAsia" w:ascii="仿宋" w:hAnsi="仿宋" w:eastAsia="仿宋" w:cs="宋体"/>
                <w:b/>
                <w:szCs w:val="21"/>
                <w:highlight w:val="yellow"/>
              </w:rPr>
              <w:t>（一）</w:t>
            </w:r>
            <w:r>
              <w:rPr>
                <w:rFonts w:hint="eastAsia" w:ascii="仿宋" w:hAnsi="仿宋" w:eastAsia="仿宋" w:cs="宋体"/>
                <w:b/>
                <w:bCs/>
                <w:szCs w:val="21"/>
                <w:highlight w:val="yellow"/>
              </w:rPr>
              <w:t>评分内容：</w:t>
            </w:r>
          </w:p>
          <w:p>
            <w:pPr>
              <w:rPr>
                <w:rFonts w:ascii="仿宋" w:hAnsi="仿宋" w:eastAsia="仿宋" w:cs="宋体"/>
                <w:szCs w:val="21"/>
                <w:highlight w:val="yellow"/>
              </w:rPr>
            </w:pPr>
            <w:r>
              <w:rPr>
                <w:rFonts w:hint="eastAsia" w:ascii="仿宋" w:hAnsi="仿宋" w:eastAsia="仿宋" w:cs="宋体"/>
                <w:szCs w:val="21"/>
                <w:highlight w:val="yellow"/>
              </w:rPr>
              <w:t>投标人具有</w:t>
            </w:r>
            <w:r>
              <w:rPr>
                <w:rFonts w:hint="eastAsia" w:ascii="仿宋" w:hAnsi="仿宋" w:eastAsia="仿宋" w:cs="宋体"/>
                <w:color w:val="FF0000"/>
                <w:szCs w:val="21"/>
                <w:highlight w:val="yellow"/>
              </w:rPr>
              <w:t>建筑行业相关</w:t>
            </w:r>
            <w:r>
              <w:rPr>
                <w:rFonts w:hint="eastAsia" w:ascii="仿宋" w:hAnsi="仿宋" w:eastAsia="仿宋" w:cs="宋体"/>
                <w:szCs w:val="21"/>
                <w:highlight w:val="yellow"/>
              </w:rPr>
              <w:t>国家级以上奖励奖项的得5分，具备省级以上奖励奖项的每个得3分，具备市级以上奖励奖项的每个得2分，以上奖项可以累加，最高得分为5分。</w:t>
            </w:r>
          </w:p>
          <w:p>
            <w:pPr>
              <w:rPr>
                <w:rFonts w:ascii="仿宋" w:hAnsi="仿宋" w:eastAsia="仿宋" w:cs="宋体"/>
                <w:b/>
                <w:bCs/>
                <w:szCs w:val="21"/>
                <w:highlight w:val="yellow"/>
              </w:rPr>
            </w:pPr>
            <w:r>
              <w:rPr>
                <w:rFonts w:hint="eastAsia" w:ascii="仿宋" w:hAnsi="仿宋" w:eastAsia="仿宋" w:cs="宋体"/>
                <w:b/>
                <w:bCs/>
                <w:szCs w:val="21"/>
                <w:highlight w:val="yellow"/>
              </w:rPr>
              <w:t>（二）评分</w:t>
            </w:r>
            <w:r>
              <w:rPr>
                <w:rFonts w:hint="eastAsia" w:ascii="仿宋" w:hAnsi="仿宋" w:eastAsia="仿宋" w:cs="宋体"/>
                <w:b/>
                <w:szCs w:val="21"/>
                <w:highlight w:val="yellow"/>
              </w:rPr>
              <w:t>标准</w:t>
            </w:r>
            <w:r>
              <w:rPr>
                <w:rFonts w:hint="eastAsia" w:ascii="仿宋" w:hAnsi="仿宋" w:eastAsia="仿宋" w:cs="宋体"/>
                <w:b/>
                <w:bCs/>
                <w:szCs w:val="21"/>
                <w:highlight w:val="yellow"/>
              </w:rPr>
              <w:t>：</w:t>
            </w:r>
          </w:p>
          <w:p>
            <w:pPr>
              <w:pStyle w:val="12"/>
              <w:pBdr>
                <w:bottom w:val="none" w:color="auto" w:sz="0" w:space="0"/>
              </w:pBdr>
              <w:tabs>
                <w:tab w:val="clear" w:pos="4153"/>
                <w:tab w:val="clear" w:pos="8306"/>
              </w:tabs>
              <w:spacing w:line="300" w:lineRule="auto"/>
              <w:jc w:val="left"/>
              <w:rPr>
                <w:rFonts w:ascii="仿宋" w:hAnsi="仿宋" w:eastAsia="仿宋"/>
                <w:sz w:val="21"/>
                <w:szCs w:val="21"/>
                <w:highlight w:val="yellow"/>
              </w:rPr>
            </w:pPr>
            <w:r>
              <w:rPr>
                <w:rFonts w:hint="eastAsia" w:ascii="仿宋" w:hAnsi="仿宋" w:eastAsia="仿宋" w:cs="宋体"/>
                <w:sz w:val="21"/>
                <w:szCs w:val="21"/>
                <w:highlight w:val="yellow"/>
              </w:rPr>
              <w:t>提供奖励证明复印件加盖投标人公章。未提供的不得分。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0" w:type="dxa"/>
            <w:vMerge w:val="continue"/>
            <w:vAlign w:val="center"/>
          </w:tcPr>
          <w:p>
            <w:pPr>
              <w:jc w:val="center"/>
              <w:rPr>
                <w:rFonts w:ascii="仿宋" w:hAnsi="仿宋" w:eastAsia="仿宋"/>
                <w:szCs w:val="21"/>
              </w:rPr>
            </w:pPr>
          </w:p>
        </w:tc>
        <w:tc>
          <w:tcPr>
            <w:tcW w:w="709" w:type="dxa"/>
            <w:vAlign w:val="center"/>
          </w:tcPr>
          <w:p>
            <w:pPr>
              <w:jc w:val="center"/>
              <w:rPr>
                <w:rFonts w:ascii="仿宋" w:hAnsi="仿宋" w:eastAsia="仿宋"/>
                <w:szCs w:val="21"/>
              </w:rPr>
            </w:pPr>
            <w:r>
              <w:rPr>
                <w:rFonts w:hint="eastAsia" w:ascii="仿宋" w:hAnsi="仿宋" w:eastAsia="仿宋"/>
                <w:szCs w:val="21"/>
              </w:rPr>
              <w:t>3</w:t>
            </w:r>
          </w:p>
        </w:tc>
        <w:tc>
          <w:tcPr>
            <w:tcW w:w="1418" w:type="dxa"/>
            <w:vAlign w:val="center"/>
          </w:tcPr>
          <w:p>
            <w:pPr>
              <w:jc w:val="center"/>
              <w:rPr>
                <w:rFonts w:ascii="仿宋" w:hAnsi="仿宋" w:eastAsia="仿宋" w:cs="宋体"/>
                <w:szCs w:val="21"/>
              </w:rPr>
            </w:pPr>
            <w:r>
              <w:rPr>
                <w:rFonts w:hint="eastAsia" w:ascii="仿宋" w:hAnsi="仿宋" w:eastAsia="仿宋"/>
                <w:szCs w:val="21"/>
              </w:rPr>
              <w:t>服务网点</w:t>
            </w:r>
          </w:p>
        </w:tc>
        <w:tc>
          <w:tcPr>
            <w:tcW w:w="760" w:type="dxa"/>
            <w:vAlign w:val="center"/>
          </w:tcPr>
          <w:p>
            <w:pPr>
              <w:jc w:val="center"/>
              <w:rPr>
                <w:rFonts w:ascii="仿宋" w:hAnsi="仿宋" w:eastAsia="仿宋"/>
                <w:szCs w:val="21"/>
              </w:rPr>
            </w:pPr>
            <w:r>
              <w:rPr>
                <w:rFonts w:hint="eastAsia" w:ascii="仿宋" w:hAnsi="仿宋" w:eastAsia="仿宋" w:cs="宋体"/>
                <w:szCs w:val="21"/>
              </w:rPr>
              <w:t>2</w:t>
            </w:r>
          </w:p>
        </w:tc>
        <w:tc>
          <w:tcPr>
            <w:tcW w:w="4568" w:type="dxa"/>
            <w:vAlign w:val="center"/>
          </w:tcPr>
          <w:p>
            <w:pPr>
              <w:jc w:val="left"/>
              <w:rPr>
                <w:rFonts w:ascii="仿宋" w:hAnsi="仿宋" w:eastAsia="仿宋"/>
                <w:szCs w:val="21"/>
              </w:rPr>
            </w:pPr>
            <w:r>
              <w:rPr>
                <w:rFonts w:hint="eastAsia" w:ascii="仿宋" w:hAnsi="仿宋" w:eastAsia="仿宋"/>
                <w:szCs w:val="21"/>
              </w:rPr>
              <w:t>1.深圳市注册的企业及非深圳市注册的企业但在深圳设有长期的售后服务机构的得2分。（需提供分支机构的注册登记证明复印件，未提供不得分。）</w:t>
            </w:r>
          </w:p>
          <w:p>
            <w:pPr>
              <w:pStyle w:val="12"/>
              <w:pBdr>
                <w:bottom w:val="none" w:color="auto" w:sz="0" w:space="0"/>
              </w:pBdr>
              <w:tabs>
                <w:tab w:val="clear" w:pos="4153"/>
                <w:tab w:val="clear" w:pos="8306"/>
              </w:tabs>
              <w:spacing w:line="300" w:lineRule="auto"/>
              <w:jc w:val="left"/>
              <w:rPr>
                <w:rFonts w:ascii="仿宋" w:hAnsi="仿宋" w:eastAsia="仿宋"/>
                <w:sz w:val="21"/>
                <w:szCs w:val="21"/>
              </w:rPr>
            </w:pPr>
            <w:r>
              <w:rPr>
                <w:rFonts w:hint="eastAsia" w:ascii="仿宋" w:hAnsi="仿宋" w:eastAsia="仿宋"/>
                <w:sz w:val="21"/>
                <w:szCs w:val="21"/>
              </w:rPr>
              <w:t>2.未在深圳设有长期售后服务机构的，承诺</w:t>
            </w:r>
            <w:r>
              <w:rPr>
                <w:rFonts w:ascii="仿宋" w:hAnsi="仿宋" w:eastAsia="仿宋"/>
                <w:sz w:val="21"/>
                <w:szCs w:val="21"/>
              </w:rPr>
              <w:t>中标后设立本地经营（服务）网点的，提供承诺文件（格式自定）的，得</w:t>
            </w:r>
            <w:r>
              <w:rPr>
                <w:rFonts w:hint="eastAsia" w:ascii="仿宋" w:hAnsi="仿宋" w:eastAsia="仿宋"/>
                <w:sz w:val="21"/>
                <w:szCs w:val="21"/>
                <w:lang w:val="en-US" w:eastAsia="zh-CN"/>
              </w:rPr>
              <w:t>2</w:t>
            </w:r>
            <w:r>
              <w:rPr>
                <w:rFonts w:ascii="仿宋" w:hAnsi="仿宋" w:eastAsia="仿宋"/>
                <w:sz w:val="21"/>
                <w:szCs w:val="21"/>
              </w:rPr>
              <w:t>分</w:t>
            </w:r>
            <w:r>
              <w:rPr>
                <w:rFonts w:hint="eastAsia" w:ascii="仿宋" w:hAnsi="仿宋" w:eastAsia="仿宋"/>
                <w:sz w:val="21"/>
                <w:szCs w:val="21"/>
              </w:rPr>
              <w:t>。</w:t>
            </w:r>
            <w:r>
              <w:rPr>
                <w:rFonts w:ascii="仿宋" w:hAnsi="仿宋" w:eastAsia="仿宋"/>
                <w:sz w:val="21"/>
                <w:szCs w:val="21"/>
              </w:rPr>
              <w:t>未提供承诺或承诺内容不满足要求均不得分。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0" w:type="dxa"/>
            <w:vMerge w:val="continue"/>
            <w:vAlign w:val="center"/>
          </w:tcPr>
          <w:p>
            <w:pPr>
              <w:jc w:val="center"/>
              <w:rPr>
                <w:rFonts w:ascii="仿宋" w:hAnsi="仿宋" w:eastAsia="仿宋"/>
                <w:szCs w:val="21"/>
              </w:rPr>
            </w:pPr>
          </w:p>
        </w:tc>
        <w:tc>
          <w:tcPr>
            <w:tcW w:w="709" w:type="dxa"/>
            <w:vAlign w:val="center"/>
          </w:tcPr>
          <w:p>
            <w:pPr>
              <w:jc w:val="center"/>
              <w:rPr>
                <w:rFonts w:ascii="仿宋" w:hAnsi="仿宋" w:eastAsia="仿宋"/>
                <w:szCs w:val="21"/>
              </w:rPr>
            </w:pPr>
            <w:r>
              <w:rPr>
                <w:rFonts w:hint="eastAsia" w:ascii="仿宋" w:hAnsi="仿宋" w:eastAsia="仿宋"/>
                <w:szCs w:val="21"/>
              </w:rPr>
              <w:t>4</w:t>
            </w:r>
          </w:p>
        </w:tc>
        <w:tc>
          <w:tcPr>
            <w:tcW w:w="1418" w:type="dxa"/>
            <w:vAlign w:val="center"/>
          </w:tcPr>
          <w:p>
            <w:pPr>
              <w:jc w:val="center"/>
              <w:rPr>
                <w:rFonts w:ascii="仿宋" w:hAnsi="仿宋" w:eastAsia="仿宋"/>
                <w:szCs w:val="21"/>
              </w:rPr>
            </w:pPr>
            <w:r>
              <w:rPr>
                <w:rFonts w:hint="eastAsia" w:ascii="仿宋" w:hAnsi="仿宋" w:eastAsia="仿宋"/>
                <w:szCs w:val="21"/>
              </w:rPr>
              <w:t>同类业绩</w:t>
            </w:r>
          </w:p>
        </w:tc>
        <w:tc>
          <w:tcPr>
            <w:tcW w:w="760" w:type="dxa"/>
            <w:vAlign w:val="center"/>
          </w:tcPr>
          <w:p>
            <w:pPr>
              <w:jc w:val="center"/>
              <w:rPr>
                <w:rFonts w:ascii="仿宋" w:hAnsi="仿宋" w:eastAsia="仿宋"/>
                <w:szCs w:val="21"/>
              </w:rPr>
            </w:pPr>
            <w:r>
              <w:rPr>
                <w:rFonts w:hint="eastAsia" w:ascii="仿宋" w:hAnsi="仿宋" w:eastAsia="仿宋"/>
                <w:szCs w:val="21"/>
              </w:rPr>
              <w:t>3</w:t>
            </w:r>
          </w:p>
        </w:tc>
        <w:tc>
          <w:tcPr>
            <w:tcW w:w="4568" w:type="dxa"/>
            <w:vAlign w:val="center"/>
          </w:tcPr>
          <w:p>
            <w:pPr>
              <w:rPr>
                <w:rFonts w:ascii="仿宋" w:hAnsi="仿宋" w:eastAsia="仿宋"/>
                <w:szCs w:val="21"/>
              </w:rPr>
            </w:pPr>
            <w:r>
              <w:rPr>
                <w:rFonts w:hint="eastAsia" w:ascii="仿宋" w:hAnsi="仿宋" w:eastAsia="仿宋" w:cs="宋体"/>
                <w:kern w:val="0"/>
                <w:szCs w:val="21"/>
              </w:rPr>
              <w:t>投标人近三年（</w:t>
            </w:r>
            <w:r>
              <w:rPr>
                <w:rFonts w:ascii="仿宋" w:hAnsi="仿宋" w:eastAsia="仿宋" w:cs="宋体"/>
                <w:kern w:val="0"/>
                <w:szCs w:val="21"/>
              </w:rPr>
              <w:t>2020</w:t>
            </w:r>
            <w:r>
              <w:rPr>
                <w:rFonts w:hint="eastAsia" w:ascii="仿宋" w:hAnsi="仿宋" w:eastAsia="仿宋" w:cs="宋体"/>
                <w:kern w:val="0"/>
                <w:szCs w:val="21"/>
              </w:rPr>
              <w:t>年</w:t>
            </w:r>
            <w:r>
              <w:rPr>
                <w:rFonts w:ascii="仿宋" w:hAnsi="仿宋" w:eastAsia="仿宋" w:cs="宋体"/>
                <w:kern w:val="0"/>
                <w:szCs w:val="21"/>
              </w:rPr>
              <w:t>1</w:t>
            </w:r>
            <w:r>
              <w:rPr>
                <w:rFonts w:hint="eastAsia" w:ascii="仿宋" w:hAnsi="仿宋" w:eastAsia="仿宋" w:cs="宋体"/>
                <w:kern w:val="0"/>
                <w:szCs w:val="21"/>
              </w:rPr>
              <w:t>月至今）以来</w:t>
            </w:r>
            <w:r>
              <w:rPr>
                <w:rFonts w:ascii="仿宋" w:hAnsi="仿宋" w:eastAsia="仿宋" w:cs="宋体"/>
                <w:kern w:val="0"/>
                <w:szCs w:val="21"/>
              </w:rPr>
              <w:t>3</w:t>
            </w:r>
            <w:r>
              <w:rPr>
                <w:rFonts w:hint="eastAsia" w:ascii="仿宋" w:hAnsi="仿宋" w:eastAsia="仿宋" w:cs="宋体"/>
                <w:kern w:val="0"/>
                <w:szCs w:val="21"/>
              </w:rPr>
              <w:t>个同类业绩，每提供1个得</w:t>
            </w:r>
            <w:r>
              <w:rPr>
                <w:rFonts w:ascii="仿宋" w:hAnsi="仿宋" w:eastAsia="仿宋" w:cs="宋体"/>
                <w:kern w:val="0"/>
                <w:szCs w:val="21"/>
              </w:rPr>
              <w:t>1</w:t>
            </w:r>
            <w:r>
              <w:rPr>
                <w:rFonts w:hint="eastAsia" w:ascii="仿宋" w:hAnsi="仿宋" w:eastAsia="仿宋" w:cs="宋体"/>
                <w:kern w:val="0"/>
                <w:szCs w:val="21"/>
              </w:rPr>
              <w:t>分，未提供的不得分。投标人需在投标文件中提供每个项目的合同、中标通知书和验收报告，否则不得分。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650" w:type="dxa"/>
            <w:vAlign w:val="center"/>
          </w:tcPr>
          <w:p>
            <w:pPr>
              <w:jc w:val="center"/>
              <w:rPr>
                <w:rFonts w:ascii="仿宋" w:hAnsi="仿宋" w:eastAsia="仿宋"/>
                <w:b/>
                <w:szCs w:val="21"/>
              </w:rPr>
            </w:pPr>
            <w:r>
              <w:rPr>
                <w:rFonts w:hint="eastAsia" w:ascii="仿宋" w:hAnsi="仿宋" w:eastAsia="仿宋"/>
                <w:b/>
                <w:szCs w:val="21"/>
              </w:rPr>
              <w:t>4</w:t>
            </w:r>
          </w:p>
        </w:tc>
        <w:tc>
          <w:tcPr>
            <w:tcW w:w="2887" w:type="dxa"/>
            <w:gridSpan w:val="3"/>
            <w:vAlign w:val="center"/>
          </w:tcPr>
          <w:p>
            <w:pPr>
              <w:jc w:val="center"/>
              <w:rPr>
                <w:rFonts w:ascii="仿宋" w:hAnsi="仿宋" w:eastAsia="仿宋"/>
                <w:b/>
                <w:szCs w:val="21"/>
              </w:rPr>
            </w:pPr>
            <w:r>
              <w:rPr>
                <w:rFonts w:hint="eastAsia" w:ascii="仿宋" w:hAnsi="仿宋" w:eastAsia="仿宋"/>
                <w:b/>
                <w:szCs w:val="21"/>
              </w:rPr>
              <w:t>诚信情况部分</w:t>
            </w:r>
          </w:p>
        </w:tc>
        <w:tc>
          <w:tcPr>
            <w:tcW w:w="4568" w:type="dxa"/>
            <w:vAlign w:val="center"/>
          </w:tcPr>
          <w:p>
            <w:pPr>
              <w:pStyle w:val="12"/>
              <w:pBdr>
                <w:bottom w:val="none" w:color="auto" w:sz="0" w:space="0"/>
              </w:pBdr>
              <w:tabs>
                <w:tab w:val="clear" w:pos="4153"/>
                <w:tab w:val="clear" w:pos="8306"/>
              </w:tabs>
              <w:spacing w:line="300" w:lineRule="auto"/>
              <w:rPr>
                <w:rFonts w:ascii="仿宋" w:hAnsi="仿宋" w:eastAsia="仿宋"/>
                <w:b/>
                <w:sz w:val="21"/>
                <w:szCs w:val="21"/>
              </w:rPr>
            </w:pPr>
            <w:r>
              <w:rPr>
                <w:rFonts w:hint="eastAsia" w:ascii="仿宋" w:hAnsi="仿宋" w:eastAsia="仿宋"/>
                <w:b/>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0" w:type="dxa"/>
            <w:vMerge w:val="restart"/>
            <w:vAlign w:val="center"/>
          </w:tcPr>
          <w:p>
            <w:pPr>
              <w:jc w:val="center"/>
              <w:rPr>
                <w:rFonts w:ascii="仿宋" w:hAnsi="仿宋" w:eastAsia="仿宋"/>
                <w:szCs w:val="21"/>
              </w:rPr>
            </w:pPr>
          </w:p>
        </w:tc>
        <w:tc>
          <w:tcPr>
            <w:tcW w:w="709" w:type="dxa"/>
            <w:vAlign w:val="center"/>
          </w:tcPr>
          <w:p>
            <w:pPr>
              <w:jc w:val="center"/>
              <w:rPr>
                <w:rFonts w:ascii="仿宋" w:hAnsi="仿宋" w:eastAsia="仿宋"/>
                <w:szCs w:val="21"/>
              </w:rPr>
            </w:pPr>
            <w:r>
              <w:rPr>
                <w:rFonts w:hint="eastAsia" w:ascii="仿宋" w:hAnsi="仿宋" w:eastAsia="仿宋"/>
                <w:szCs w:val="21"/>
              </w:rPr>
              <w:t>序号</w:t>
            </w:r>
          </w:p>
        </w:tc>
        <w:tc>
          <w:tcPr>
            <w:tcW w:w="1418" w:type="dxa"/>
            <w:vAlign w:val="center"/>
          </w:tcPr>
          <w:p>
            <w:pPr>
              <w:jc w:val="center"/>
              <w:rPr>
                <w:rFonts w:ascii="仿宋" w:hAnsi="仿宋" w:eastAsia="仿宋"/>
                <w:szCs w:val="21"/>
              </w:rPr>
            </w:pPr>
            <w:r>
              <w:rPr>
                <w:rFonts w:hint="eastAsia" w:ascii="仿宋" w:hAnsi="仿宋" w:eastAsia="仿宋"/>
                <w:szCs w:val="21"/>
              </w:rPr>
              <w:t>评分因素</w:t>
            </w:r>
          </w:p>
        </w:tc>
        <w:tc>
          <w:tcPr>
            <w:tcW w:w="760" w:type="dxa"/>
            <w:vAlign w:val="center"/>
          </w:tcPr>
          <w:p>
            <w:pPr>
              <w:jc w:val="center"/>
              <w:rPr>
                <w:rFonts w:ascii="仿宋" w:hAnsi="仿宋" w:eastAsia="仿宋"/>
                <w:szCs w:val="21"/>
              </w:rPr>
            </w:pPr>
            <w:r>
              <w:rPr>
                <w:rFonts w:hint="eastAsia" w:ascii="仿宋" w:hAnsi="仿宋" w:eastAsia="仿宋"/>
                <w:szCs w:val="21"/>
              </w:rPr>
              <w:t>分值</w:t>
            </w:r>
          </w:p>
        </w:tc>
        <w:tc>
          <w:tcPr>
            <w:tcW w:w="4568" w:type="dxa"/>
            <w:vAlign w:val="center"/>
          </w:tcPr>
          <w:p>
            <w:pPr>
              <w:jc w:val="center"/>
              <w:rPr>
                <w:rFonts w:ascii="仿宋" w:hAnsi="仿宋" w:eastAsia="仿宋"/>
                <w:szCs w:val="21"/>
              </w:rPr>
            </w:pPr>
            <w:r>
              <w:rPr>
                <w:rFonts w:hint="eastAsia" w:ascii="仿宋" w:hAnsi="仿宋" w:eastAsia="仿宋"/>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0" w:type="dxa"/>
            <w:vMerge w:val="continue"/>
            <w:vAlign w:val="center"/>
          </w:tcPr>
          <w:p>
            <w:pPr>
              <w:jc w:val="center"/>
              <w:rPr>
                <w:rFonts w:ascii="仿宋" w:hAnsi="仿宋" w:eastAsia="仿宋"/>
                <w:szCs w:val="21"/>
              </w:rPr>
            </w:pPr>
          </w:p>
        </w:tc>
        <w:tc>
          <w:tcPr>
            <w:tcW w:w="709" w:type="dxa"/>
            <w:vAlign w:val="center"/>
          </w:tcPr>
          <w:p>
            <w:pPr>
              <w:jc w:val="center"/>
              <w:rPr>
                <w:rFonts w:ascii="仿宋" w:hAnsi="仿宋" w:eastAsia="仿宋"/>
                <w:b/>
                <w:color w:val="FF0000"/>
                <w:szCs w:val="21"/>
              </w:rPr>
            </w:pPr>
            <w:r>
              <w:rPr>
                <w:rFonts w:hint="eastAsia" w:ascii="仿宋" w:hAnsi="仿宋" w:eastAsia="仿宋"/>
                <w:b/>
                <w:color w:val="FF0000"/>
                <w:szCs w:val="21"/>
              </w:rPr>
              <w:t>1</w:t>
            </w:r>
          </w:p>
        </w:tc>
        <w:tc>
          <w:tcPr>
            <w:tcW w:w="1418" w:type="dxa"/>
            <w:vAlign w:val="center"/>
          </w:tcPr>
          <w:p>
            <w:pPr>
              <w:jc w:val="center"/>
              <w:rPr>
                <w:rFonts w:ascii="仿宋" w:hAnsi="仿宋" w:eastAsia="仿宋"/>
                <w:b/>
                <w:color w:val="FF0000"/>
                <w:szCs w:val="21"/>
              </w:rPr>
            </w:pPr>
            <w:r>
              <w:rPr>
                <w:rFonts w:hint="eastAsia" w:ascii="仿宋" w:hAnsi="仿宋" w:eastAsia="仿宋"/>
                <w:b/>
                <w:color w:val="FF0000"/>
                <w:szCs w:val="21"/>
              </w:rPr>
              <w:t>诚信评价</w:t>
            </w:r>
          </w:p>
          <w:p>
            <w:pPr>
              <w:jc w:val="center"/>
              <w:rPr>
                <w:rFonts w:ascii="仿宋" w:hAnsi="仿宋" w:eastAsia="仿宋" w:cs="宋体"/>
                <w:b/>
                <w:color w:val="FF0000"/>
                <w:sz w:val="18"/>
                <w:szCs w:val="18"/>
              </w:rPr>
            </w:pPr>
          </w:p>
        </w:tc>
        <w:tc>
          <w:tcPr>
            <w:tcW w:w="760" w:type="dxa"/>
            <w:vAlign w:val="center"/>
          </w:tcPr>
          <w:p>
            <w:pPr>
              <w:jc w:val="center"/>
              <w:rPr>
                <w:rFonts w:ascii="仿宋" w:hAnsi="仿宋" w:eastAsia="仿宋"/>
                <w:b/>
                <w:color w:val="FF0000"/>
                <w:szCs w:val="21"/>
              </w:rPr>
            </w:pPr>
            <w:r>
              <w:rPr>
                <w:rFonts w:hint="eastAsia" w:ascii="仿宋" w:hAnsi="仿宋" w:eastAsia="仿宋" w:cs="宋体"/>
                <w:b/>
                <w:color w:val="FF0000"/>
                <w:szCs w:val="21"/>
              </w:rPr>
              <w:t>5</w:t>
            </w:r>
          </w:p>
        </w:tc>
        <w:tc>
          <w:tcPr>
            <w:tcW w:w="4568" w:type="dxa"/>
            <w:vAlign w:val="center"/>
          </w:tcPr>
          <w:p>
            <w:pPr>
              <w:rPr>
                <w:rFonts w:ascii="仿宋" w:hAnsi="仿宋" w:eastAsia="仿宋" w:cs="宋体"/>
                <w:b/>
                <w:bCs/>
                <w:color w:val="FF0000"/>
                <w:szCs w:val="21"/>
              </w:rPr>
            </w:pPr>
            <w:r>
              <w:rPr>
                <w:rFonts w:hint="eastAsia" w:ascii="仿宋" w:hAnsi="仿宋" w:eastAsia="仿宋" w:cs="宋体"/>
                <w:b/>
                <w:color w:val="FF0000"/>
                <w:szCs w:val="21"/>
              </w:rPr>
              <w:t>投标人在参与政府采购活动中存在诚信相关问题且在主管部门相关处理措施实施期限内的，本项不得分，否则得满分。</w:t>
            </w:r>
            <w:r>
              <w:rPr>
                <w:rFonts w:hint="eastAsia" w:ascii="仿宋" w:hAnsi="仿宋" w:eastAsia="仿宋"/>
                <w:b/>
                <w:color w:val="FF0000"/>
                <w:szCs w:val="21"/>
              </w:rPr>
              <w:t>投标人无需提供任何证明材料，由评标工作人员向评委会提供相关信息。</w:t>
            </w:r>
          </w:p>
        </w:tc>
      </w:tr>
    </w:tbl>
    <w:p>
      <w:pPr>
        <w:pStyle w:val="10"/>
      </w:pPr>
    </w:p>
    <w:p>
      <w:pPr>
        <w:pStyle w:val="7"/>
        <w:numPr>
          <w:ilvl w:val="0"/>
          <w:numId w:val="1"/>
        </w:numPr>
        <w:rPr>
          <w:rFonts w:ascii="黑体" w:hAnsi="黑体" w:eastAsia="黑体"/>
          <w:b w:val="0"/>
          <w:kern w:val="28"/>
          <w:sz w:val="44"/>
          <w:szCs w:val="44"/>
        </w:rPr>
      </w:pPr>
      <w:bookmarkStart w:id="0" w:name="_Toc138601800"/>
      <w:r>
        <w:rPr>
          <w:rFonts w:ascii="黑体" w:hAnsi="黑体" w:eastAsia="黑体"/>
          <w:b w:val="0"/>
          <w:kern w:val="28"/>
          <w:sz w:val="44"/>
          <w:szCs w:val="44"/>
        </w:rPr>
        <w:t xml:space="preserve"> </w:t>
      </w:r>
      <w:r>
        <w:rPr>
          <w:rFonts w:hint="eastAsia" w:ascii="黑体" w:hAnsi="黑体" w:eastAsia="黑体"/>
          <w:b w:val="0"/>
          <w:kern w:val="28"/>
          <w:sz w:val="44"/>
          <w:szCs w:val="44"/>
        </w:rPr>
        <w:t>项目需求</w:t>
      </w:r>
      <w:bookmarkEnd w:id="0"/>
      <w:bookmarkStart w:id="1" w:name="_Toc138601803"/>
    </w:p>
    <w:p>
      <w:pPr>
        <w:pStyle w:val="7"/>
        <w:ind w:firstLine="3654" w:firstLineChars="1300"/>
        <w:jc w:val="both"/>
      </w:pPr>
      <w:r>
        <w:rPr>
          <w:rFonts w:hint="eastAsia"/>
        </w:rPr>
        <w:t>一、项目概况</w:t>
      </w:r>
      <w:bookmarkEnd w:id="1"/>
    </w:p>
    <w:p>
      <w:pPr>
        <w:ind w:left="208" w:leftChars="99" w:firstLine="527" w:firstLineChars="251"/>
        <w:jc w:val="left"/>
      </w:pPr>
      <w:r>
        <w:rPr>
          <w:rFonts w:hint="eastAsia"/>
        </w:rPr>
        <w:t>综合高中楼5楼厕所因排污管落差不足，容易出现管道堵塞、污水倒灌等问题。为解决综合高中师生“如厕难”问题，故改造综合高中楼5楼厕所解决排水不通，水压不够等问题。</w:t>
      </w:r>
    </w:p>
    <w:p>
      <w:pPr>
        <w:pStyle w:val="2"/>
        <w:ind w:firstLine="211"/>
      </w:pPr>
    </w:p>
    <w:p>
      <w:pPr>
        <w:numPr>
          <w:ilvl w:val="0"/>
          <w:numId w:val="2"/>
        </w:numPr>
      </w:pPr>
      <w:r>
        <w:rPr>
          <w:rFonts w:hint="eastAsia"/>
        </w:rPr>
        <w:t>编制依据：</w:t>
      </w:r>
    </w:p>
    <w:p>
      <w:pPr>
        <w:numPr>
          <w:ilvl w:val="1"/>
          <w:numId w:val="2"/>
        </w:numPr>
      </w:pPr>
      <w:r>
        <w:rPr>
          <w:rFonts w:hint="eastAsia"/>
        </w:rPr>
        <w:t>综合高中楼五楼厕所改造图纸；</w:t>
      </w:r>
    </w:p>
    <w:p>
      <w:pPr>
        <w:numPr>
          <w:ilvl w:val="1"/>
          <w:numId w:val="2"/>
        </w:numPr>
      </w:pPr>
      <w:r>
        <w:rPr>
          <w:rFonts w:hint="eastAsia"/>
        </w:rPr>
        <w:t>《建设工程工程量清单计价规范》（GB50500-2013）及各专业《工程量计算规范》（GB50854～862－2013）的相关规定；</w:t>
      </w:r>
    </w:p>
    <w:p>
      <w:pPr>
        <w:numPr>
          <w:ilvl w:val="1"/>
          <w:numId w:val="2"/>
        </w:numPr>
      </w:pPr>
      <w:r>
        <w:rPr>
          <w:rFonts w:hint="eastAsia"/>
        </w:rPr>
        <w:t>《深圳市装饰工程消耗量定额（2020）》、《深圳市安装工程消耗量定额（2020）》、《深圳市房屋修缮工程消耗量定额(2011)(2014机械)》等及相关配套文件；</w:t>
      </w:r>
    </w:p>
    <w:p>
      <w:pPr>
        <w:numPr>
          <w:ilvl w:val="1"/>
          <w:numId w:val="2"/>
        </w:numPr>
      </w:pPr>
      <w:r>
        <w:rPr>
          <w:rFonts w:hint="eastAsia"/>
        </w:rPr>
        <w:t>执行“深圳市建设工程造价管理站关于发布《深圳市建设工程计价费率标准（2018）》的通知”（深建价[2018]25号、深建市场[2021]20号）；</w:t>
      </w:r>
    </w:p>
    <w:p>
      <w:pPr>
        <w:numPr>
          <w:ilvl w:val="1"/>
          <w:numId w:val="2"/>
        </w:numPr>
      </w:pPr>
      <w:r>
        <w:rPr>
          <w:rFonts w:hint="eastAsia"/>
        </w:rPr>
        <w:t>人工、材料、设备价格参考2023年第 4 月《深圳建设工程价格信息》，《深圳建设工程价格信息》缺项的参考市场询价；</w:t>
      </w:r>
    </w:p>
    <w:p>
      <w:pPr>
        <w:numPr>
          <w:ilvl w:val="1"/>
          <w:numId w:val="2"/>
        </w:numPr>
      </w:pPr>
      <w:r>
        <w:rPr>
          <w:rFonts w:hint="eastAsia"/>
        </w:rPr>
        <w:t>与建设项目相关的标准、规范、技术资料。</w:t>
      </w:r>
    </w:p>
    <w:p/>
    <w:p>
      <w:pPr>
        <w:numPr>
          <w:ilvl w:val="0"/>
          <w:numId w:val="2"/>
        </w:numPr>
        <w:rPr>
          <w:b/>
          <w:color w:val="FF0000"/>
        </w:rPr>
      </w:pPr>
      <w:r>
        <w:rPr>
          <w:rFonts w:hint="eastAsia"/>
          <w:b/>
          <w:color w:val="FF0000"/>
        </w:rPr>
        <w:t>★项目工期要求：合同签订之日起25个日历日内完工并验收合格。</w:t>
      </w:r>
    </w:p>
    <w:p/>
    <w:p>
      <w:pPr>
        <w:pStyle w:val="5"/>
        <w:jc w:val="center"/>
      </w:pPr>
      <w:bookmarkStart w:id="2" w:name="_Toc138601804"/>
      <w:r>
        <w:rPr>
          <w:rFonts w:hint="eastAsia"/>
        </w:rPr>
        <w:t>二、项目技术要求</w:t>
      </w:r>
      <w:bookmarkEnd w:id="2"/>
    </w:p>
    <w:p>
      <w:pPr>
        <w:numPr>
          <w:ilvl w:val="0"/>
          <w:numId w:val="3"/>
        </w:numPr>
      </w:pPr>
      <w:r>
        <w:rPr>
          <w:rFonts w:hint="eastAsia"/>
        </w:rPr>
        <w:t>除非合同文件中另有特别注明，本工程适用中华人民共和国现行有效的国家规范、规程和标准。谈判文件和其他设计文件中的有关文字说明是本工程技术规范的组成部分。对于涉及新技术、新工艺和新材料的工作，相应厂家使用说明或操作说明等内容也是本工程技术规范的组成部分。在符合本工程技术要求外，更应符合国家与地方的法律、法规、规范、规程的要求。</w:t>
      </w:r>
    </w:p>
    <w:p>
      <w:pPr>
        <w:numPr>
          <w:ilvl w:val="0"/>
          <w:numId w:val="3"/>
        </w:numPr>
      </w:pPr>
      <w:r>
        <w:rPr>
          <w:rFonts w:hint="eastAsia"/>
        </w:rPr>
        <w:t>工程验收标准：合格。（工程质量标准必须符合现行国家有关工程施工质量验收规范和标准的要求。有关工程质量的特殊标准或要求由合同当事人另行书面约定。）</w:t>
      </w:r>
    </w:p>
    <w:p>
      <w:pPr>
        <w:numPr>
          <w:ilvl w:val="0"/>
          <w:numId w:val="3"/>
        </w:numPr>
      </w:pPr>
      <w:r>
        <w:rPr>
          <w:rFonts w:hint="eastAsia"/>
        </w:rPr>
        <w:t>所用材料的品种、规格和质量须符合设计要求和国家现行标准的规定。严禁使用国家明令淘汰的建筑材料、建筑设备、耗能高的产品及民用建筑挥发性有害物质含量释放量超过国家规定的产品。</w:t>
      </w:r>
    </w:p>
    <w:p>
      <w:pPr>
        <w:numPr>
          <w:ilvl w:val="0"/>
          <w:numId w:val="3"/>
        </w:numPr>
      </w:pPr>
      <w:r>
        <w:rPr>
          <w:rFonts w:hint="eastAsia"/>
        </w:rPr>
        <w:t>投标人应认真了解现场场地的地址特点，充分考虑由于现场因素对现场施工、住宿、材料二次搬运等带来的影响和费用，并提出合理的有效措施，确保工期和质量，相关费用列入施工措施费计入投标报价，结算时不作调整。</w:t>
      </w:r>
    </w:p>
    <w:p>
      <w:pPr>
        <w:numPr>
          <w:ilvl w:val="0"/>
          <w:numId w:val="3"/>
        </w:numPr>
      </w:pPr>
      <w:r>
        <w:rPr>
          <w:rFonts w:hint="eastAsia"/>
        </w:rPr>
        <w:t>当工程量清单与招标文件的“技术要求”不一致时，投标人在投标报价、中标人在采购时以最高的技术要求为准。</w:t>
      </w:r>
    </w:p>
    <w:p>
      <w:pPr>
        <w:numPr>
          <w:ilvl w:val="0"/>
          <w:numId w:val="3"/>
        </w:numPr>
      </w:pPr>
      <w:r>
        <w:rPr>
          <w:rFonts w:hint="eastAsia"/>
        </w:rPr>
        <w:t>中标人应编制《安全文明施工组织设计》专项方案，该方案应满足国家、地方现行法律法规及合同有关条款的规定并经监理工程师批准后实施。</w:t>
      </w:r>
    </w:p>
    <w:p>
      <w:pPr>
        <w:numPr>
          <w:ilvl w:val="0"/>
          <w:numId w:val="3"/>
        </w:numPr>
      </w:pPr>
      <w:r>
        <w:rPr>
          <w:rFonts w:hint="eastAsia"/>
        </w:rPr>
        <w:t>施工中涉及需要拆改原建筑物结构或设备管线的，中标人应当向采购人提出意见。若须办理相关审批手续，中标人应向采购人提出所需材料的完整清单。若因中标人所列出的送审资料不完整，所造成的工期延误及其他损失概由中标人负责。未办理相关审批手续或未经采购人同意，中标人不得拆改原建筑物结构或设备管线，否则，由此造成的事故或发生的损失（包括罚款），由中标人负责并承担。</w:t>
      </w:r>
    </w:p>
    <w:p>
      <w:pPr>
        <w:numPr>
          <w:ilvl w:val="0"/>
          <w:numId w:val="3"/>
        </w:numPr>
      </w:pPr>
      <w:r>
        <w:rPr>
          <w:rFonts w:hint="eastAsia"/>
        </w:rPr>
        <w:t>所需用的脚手架、支架搭设应符合有关规定要求。</w:t>
      </w:r>
    </w:p>
    <w:p>
      <w:pPr>
        <w:numPr>
          <w:ilvl w:val="0"/>
          <w:numId w:val="3"/>
        </w:numPr>
      </w:pPr>
      <w:r>
        <w:rPr>
          <w:rFonts w:hint="eastAsia"/>
        </w:rPr>
        <w:t>本工程要求竣工验收一次性通过，若因承包人原因造成工程竣工验收没有一次性通过，承包人必须负责修复工程质量缺陷，直至达到合同约定的质量标准，所发生的费用由承包人承担。</w:t>
      </w:r>
    </w:p>
    <w:p>
      <w:pPr>
        <w:numPr>
          <w:ilvl w:val="0"/>
          <w:numId w:val="3"/>
        </w:numPr>
      </w:pPr>
      <w:r>
        <w:rPr>
          <w:rFonts w:hint="eastAsia"/>
        </w:rPr>
        <w:t>中标人必须服从采购人或采购人指定的监理机构的监督管理。</w:t>
      </w:r>
    </w:p>
    <w:p>
      <w:pPr>
        <w:numPr>
          <w:ilvl w:val="0"/>
          <w:numId w:val="3"/>
        </w:numPr>
      </w:pPr>
      <w:r>
        <w:rPr>
          <w:rFonts w:hint="eastAsia"/>
        </w:rPr>
        <w:t>材料进场时，中标人应负责提前一天提供所供应的材料设备合格证明及材料样板。若材料设备不符合质量要求或规格出现差异，中标人应承担责任及由此发生的费用。</w:t>
      </w:r>
    </w:p>
    <w:p/>
    <w:p>
      <w:pPr>
        <w:pStyle w:val="5"/>
        <w:jc w:val="center"/>
      </w:pPr>
      <w:bookmarkStart w:id="3" w:name="_Toc138601805"/>
      <w:r>
        <w:rPr>
          <w:rFonts w:hint="eastAsia"/>
        </w:rPr>
        <w:t>三、管理要求</w:t>
      </w:r>
      <w:bookmarkEnd w:id="3"/>
    </w:p>
    <w:p>
      <w:pPr>
        <w:numPr>
          <w:ilvl w:val="0"/>
          <w:numId w:val="4"/>
        </w:numPr>
      </w:pPr>
      <w:r>
        <w:rPr>
          <w:rFonts w:hint="eastAsia"/>
        </w:rPr>
        <w:t>中标单位必须作好施工记录、隐蔽工程记录、施工资料的整理、竣工资料的编制等工作。</w:t>
      </w:r>
    </w:p>
    <w:p>
      <w:pPr>
        <w:numPr>
          <w:ilvl w:val="0"/>
          <w:numId w:val="4"/>
        </w:numPr>
      </w:pPr>
      <w:r>
        <w:rPr>
          <w:rFonts w:hint="eastAsia"/>
        </w:rPr>
        <w:t>中标单位必须在施工现场显眼位置设置正规施工警示牌、工程概况牌，标注</w:t>
      </w:r>
      <w:r>
        <w:t>“</w:t>
      </w:r>
      <w:r>
        <w:rPr>
          <w:rFonts w:hint="eastAsia"/>
        </w:rPr>
        <w:t>温馨提示</w:t>
      </w:r>
      <w:r>
        <w:t>”</w:t>
      </w:r>
      <w:r>
        <w:rPr>
          <w:rFonts w:hint="eastAsia"/>
        </w:rPr>
        <w:t>语言。靠近人行通道边（或建设方以为有必要的其他周边）必须用整齐美观的板材围护密封施工。</w:t>
      </w:r>
    </w:p>
    <w:p>
      <w:pPr>
        <w:numPr>
          <w:ilvl w:val="0"/>
          <w:numId w:val="4"/>
        </w:numPr>
      </w:pPr>
      <w:r>
        <w:rPr>
          <w:rFonts w:hint="eastAsia"/>
        </w:rPr>
        <w:t>中标单位施工必须达到有关部门规定的安全文明施工标准，服从采购人的管理，避免干扰采购人的正常工作秩序，认真做好施工现场防护、防火、噪音、用电等安全文明施工各项管理工作，承担相应一切责任，确保施工场地区域道路通畅，保持施工现场整洁，做到工完场清，达到国家卫生城市标准。</w:t>
      </w:r>
    </w:p>
    <w:p>
      <w:pPr>
        <w:numPr>
          <w:ilvl w:val="0"/>
          <w:numId w:val="4"/>
        </w:numPr>
      </w:pPr>
      <w:r>
        <w:rPr>
          <w:rFonts w:hint="eastAsia"/>
        </w:rPr>
        <w:t>中标单位必须在施工过程中注意自身及周边安全，做好现场及周边安全设施搭设，遵守有关安全保护规程，负责施工过程中的所有事故处理和费用。</w:t>
      </w:r>
    </w:p>
    <w:p>
      <w:pPr>
        <w:numPr>
          <w:ilvl w:val="0"/>
          <w:numId w:val="4"/>
        </w:numPr>
      </w:pPr>
      <w:r>
        <w:rPr>
          <w:rFonts w:hint="eastAsia"/>
        </w:rPr>
        <w:t>中标单位必须服从采购单位，监理公司的监督、指导并积极主动配合上述管理机构的工作。</w:t>
      </w:r>
    </w:p>
    <w:p>
      <w:pPr>
        <w:numPr>
          <w:ilvl w:val="0"/>
          <w:numId w:val="4"/>
        </w:numPr>
      </w:pPr>
      <w:r>
        <w:rPr>
          <w:rFonts w:hint="eastAsia"/>
        </w:rPr>
        <w:t>中标单位施工时须提供材料样板，经采购人最终确认后，方可进场使用，供应商所提供的样板或厂家应符合甲方要求，如供应商不能提供的可由采购人根据市场考察情况确认并实施。</w:t>
      </w:r>
    </w:p>
    <w:p>
      <w:pPr>
        <w:numPr>
          <w:ilvl w:val="0"/>
          <w:numId w:val="4"/>
        </w:numPr>
      </w:pPr>
      <w:r>
        <w:rPr>
          <w:rFonts w:hint="eastAsia"/>
        </w:rPr>
        <w:t>用在本工程的任何材料在使用前必须得到采购人的批准，样品须在大批订货前送审。获准的样品存放在工地，作为以后验收材料的标准。样品和其包装，由中标人无偿提供。</w:t>
      </w:r>
    </w:p>
    <w:p>
      <w:pPr>
        <w:numPr>
          <w:ilvl w:val="0"/>
          <w:numId w:val="4"/>
        </w:numPr>
      </w:pPr>
      <w:r>
        <w:rPr>
          <w:rFonts w:hint="eastAsia"/>
        </w:rPr>
        <w:t>承包人在工程施工前，须全面检查工地情况，若发现错误须立刻通知工程师。若未能遵从此规定，使本工程的任何项目因此等错误或缺陷而错误地建造，则中标人须自费予以拆除及重建。</w:t>
      </w:r>
    </w:p>
    <w:p>
      <w:pPr>
        <w:numPr>
          <w:ilvl w:val="0"/>
          <w:numId w:val="4"/>
        </w:numPr>
      </w:pPr>
      <w:r>
        <w:rPr>
          <w:rFonts w:hint="eastAsia"/>
        </w:rPr>
        <w:t>施工时，电气安装人员应与土建施工人员密切配合，严格按照相关施工规范及专业图集进行施工，并做好管线及洞口的预埋、预留工作。</w:t>
      </w:r>
    </w:p>
    <w:p>
      <w:pPr>
        <w:numPr>
          <w:ilvl w:val="0"/>
          <w:numId w:val="4"/>
        </w:numPr>
      </w:pPr>
      <w:r>
        <w:rPr>
          <w:rFonts w:hint="eastAsia"/>
        </w:rPr>
        <w:t>施工单位须设计后施工，具体误差以现场尺寸为准。</w:t>
      </w:r>
    </w:p>
    <w:p>
      <w:pPr>
        <w:numPr>
          <w:ilvl w:val="0"/>
          <w:numId w:val="4"/>
        </w:numPr>
      </w:pPr>
      <w:r>
        <w:rPr>
          <w:rFonts w:hint="eastAsia"/>
        </w:rPr>
        <w:t>其他未尽事宜，按照有关规程、规范进行或协商解决。</w:t>
      </w:r>
    </w:p>
    <w:p>
      <w:pPr>
        <w:numPr>
          <w:ilvl w:val="0"/>
          <w:numId w:val="4"/>
        </w:numPr>
      </w:pPr>
      <w:r>
        <w:rPr>
          <w:rFonts w:hint="eastAsia"/>
        </w:rPr>
        <w:t>本项目采购人已聘请监理服务，中标单位施工过程中需配合监理工作。</w:t>
      </w:r>
    </w:p>
    <w:p>
      <w:pPr>
        <w:rPr>
          <w:color w:val="FF0000"/>
        </w:rPr>
      </w:pPr>
    </w:p>
    <w:p>
      <w:pPr>
        <w:pStyle w:val="5"/>
        <w:jc w:val="center"/>
        <w:rPr>
          <w:rFonts w:ascii="Calibri" w:hAnsi="Calibri"/>
          <w:szCs w:val="21"/>
        </w:rPr>
      </w:pPr>
      <w:bookmarkStart w:id="4" w:name="_Toc138601806"/>
      <w:r>
        <w:rPr>
          <w:rFonts w:hint="eastAsia"/>
        </w:rPr>
        <w:t>四、商务</w:t>
      </w:r>
      <w:bookmarkEnd w:id="4"/>
      <w:r>
        <w:rPr>
          <w:rFonts w:hint="eastAsia"/>
        </w:rPr>
        <w:t>需求</w:t>
      </w:r>
    </w:p>
    <w:p>
      <w:pPr>
        <w:numPr>
          <w:ilvl w:val="0"/>
          <w:numId w:val="5"/>
        </w:numPr>
        <w:rPr>
          <w:b/>
          <w:color w:val="FF0000"/>
        </w:rPr>
      </w:pPr>
      <w:r>
        <w:rPr>
          <w:rFonts w:hint="eastAsia"/>
          <w:b/>
          <w:color w:val="FF0000"/>
        </w:rPr>
        <w:t>★项目工期：合同签订之日起</w:t>
      </w:r>
      <w:r>
        <w:rPr>
          <w:rFonts w:hint="eastAsia"/>
          <w:b/>
          <w:color w:val="FF0000"/>
          <w:lang w:val="en-US" w:eastAsia="zh-CN"/>
        </w:rPr>
        <w:t>25</w:t>
      </w:r>
      <w:r>
        <w:rPr>
          <w:rFonts w:hint="eastAsia"/>
          <w:b/>
          <w:color w:val="FF0000"/>
        </w:rPr>
        <w:t>个日历日内完工并验收合格。</w:t>
      </w:r>
    </w:p>
    <w:p>
      <w:pPr>
        <w:numPr>
          <w:ilvl w:val="0"/>
          <w:numId w:val="5"/>
        </w:numPr>
      </w:pPr>
      <w:r>
        <w:rPr>
          <w:rFonts w:hint="eastAsia"/>
        </w:rPr>
        <w:t>承包方式：包工包料。</w:t>
      </w:r>
    </w:p>
    <w:p>
      <w:pPr>
        <w:numPr>
          <w:ilvl w:val="0"/>
          <w:numId w:val="5"/>
        </w:numPr>
      </w:pPr>
      <w:r>
        <w:rPr>
          <w:rFonts w:hint="eastAsia"/>
        </w:rPr>
        <w:t>合同方式：总价合同，工程结算时，工程变更在合同总价10%之内，结算不做调整。</w:t>
      </w:r>
    </w:p>
    <w:p>
      <w:pPr>
        <w:numPr>
          <w:ilvl w:val="0"/>
          <w:numId w:val="5"/>
        </w:numPr>
      </w:pPr>
      <w:r>
        <w:rPr>
          <w:rFonts w:hint="eastAsia"/>
        </w:rPr>
        <w:t>工程验收质量标准：</w:t>
      </w:r>
    </w:p>
    <w:p>
      <w:pPr>
        <w:numPr>
          <w:ilvl w:val="1"/>
          <w:numId w:val="5"/>
        </w:numPr>
      </w:pPr>
      <w:r>
        <w:rPr>
          <w:rFonts w:hint="eastAsia"/>
        </w:rPr>
        <w:t xml:space="preserve">本工程使用的材料、设备以及施工必须符合国家、部委、行业及工程所在省、市颁布的有关标准、规范、规程 和验收标准等的要求，当国家、行业及工程所在地地方标 准、规范存在不一致时，以要求更严格者为准，如设计另有 规定，按设计规定执行，但不得低于现行更严格的标准、规 范、规程和验收标准。 </w:t>
      </w:r>
    </w:p>
    <w:p>
      <w:pPr>
        <w:numPr>
          <w:ilvl w:val="1"/>
          <w:numId w:val="5"/>
        </w:numPr>
      </w:pPr>
      <w:r>
        <w:rPr>
          <w:rFonts w:hint="eastAsia"/>
        </w:rPr>
        <w:t xml:space="preserve">所有装修材料及家具的甲醛及挥发性有机化合物含量必须符合国家规范环保要求，所有施工前需提供所有材料的证明材料，方可使用，施工完成对室内进行空气检测，家具完成安装后再次进行空气检测。所有检测报告符合国家规范，方可做项目验收。 </w:t>
      </w:r>
    </w:p>
    <w:p>
      <w:pPr>
        <w:numPr>
          <w:ilvl w:val="1"/>
          <w:numId w:val="5"/>
        </w:numPr>
      </w:pPr>
      <w:r>
        <w:rPr>
          <w:rFonts w:hint="eastAsia"/>
        </w:rPr>
        <w:t xml:space="preserve">投标人施工项目经过双方验收认可后，签署验收报告，保修期自验收合格之日起算。 </w:t>
      </w:r>
    </w:p>
    <w:p>
      <w:pPr>
        <w:numPr>
          <w:ilvl w:val="1"/>
          <w:numId w:val="5"/>
        </w:numPr>
      </w:pPr>
      <w:r>
        <w:rPr>
          <w:rFonts w:hint="eastAsia"/>
        </w:rPr>
        <w:t>当满足以下条件时，采购人才向成交供应商签发验收报告：</w:t>
      </w:r>
    </w:p>
    <w:p>
      <w:pPr>
        <w:numPr>
          <w:ilvl w:val="2"/>
          <w:numId w:val="5"/>
        </w:numPr>
        <w:tabs>
          <w:tab w:val="left" w:pos="737"/>
        </w:tabs>
      </w:pPr>
      <w:r>
        <w:rPr>
          <w:rFonts w:hint="eastAsia"/>
        </w:rPr>
        <w:t>成交供应商已按照合同规定完成了全部内容。</w:t>
      </w:r>
    </w:p>
    <w:p>
      <w:pPr>
        <w:numPr>
          <w:ilvl w:val="2"/>
          <w:numId w:val="5"/>
        </w:numPr>
        <w:tabs>
          <w:tab w:val="left" w:pos="737"/>
        </w:tabs>
      </w:pPr>
      <w:r>
        <w:rPr>
          <w:rFonts w:hint="eastAsia"/>
        </w:rPr>
        <w:t>工程符合谈判文件要求，工程质量满足要求。</w:t>
      </w:r>
    </w:p>
    <w:p>
      <w:pPr>
        <w:numPr>
          <w:ilvl w:val="2"/>
          <w:numId w:val="5"/>
        </w:numPr>
        <w:tabs>
          <w:tab w:val="left" w:pos="737"/>
        </w:tabs>
      </w:pPr>
      <w:r>
        <w:rPr>
          <w:rFonts w:hint="eastAsia"/>
        </w:rPr>
        <w:t>项目运行顺利。</w:t>
      </w:r>
    </w:p>
    <w:p>
      <w:pPr>
        <w:numPr>
          <w:ilvl w:val="0"/>
          <w:numId w:val="5"/>
        </w:numPr>
        <w:rPr>
          <w:b/>
        </w:rPr>
      </w:pPr>
      <w:bookmarkStart w:id="5" w:name="_Toc22433"/>
      <w:bookmarkStart w:id="6" w:name="_Toc19707"/>
      <w:r>
        <w:rPr>
          <w:rFonts w:hint="eastAsia"/>
          <w:b/>
        </w:rPr>
        <w:t>★保修或售后服务要求</w:t>
      </w:r>
      <w:bookmarkEnd w:id="5"/>
      <w:bookmarkEnd w:id="6"/>
    </w:p>
    <w:p>
      <w:pPr>
        <w:numPr>
          <w:ilvl w:val="1"/>
          <w:numId w:val="5"/>
        </w:numPr>
      </w:pPr>
      <w:r>
        <w:rPr>
          <w:rFonts w:hint="eastAsia"/>
        </w:rPr>
        <w:t>质量保修责任：自工程竣工验收完毕之日的第二天计算，</w:t>
      </w:r>
      <w:r>
        <w:rPr>
          <w:rFonts w:hint="eastAsia"/>
          <w:color w:val="C00000"/>
        </w:rPr>
        <w:t>整体免费保修期为</w:t>
      </w:r>
      <w:r>
        <w:rPr>
          <w:rFonts w:hint="eastAsia"/>
          <w:color w:val="C00000"/>
          <w:lang w:val="en-US" w:eastAsia="zh-CN"/>
        </w:rPr>
        <w:t>2</w:t>
      </w:r>
      <w:r>
        <w:rPr>
          <w:rFonts w:hint="eastAsia"/>
          <w:color w:val="C00000"/>
        </w:rPr>
        <w:t>年，</w:t>
      </w:r>
      <w:r>
        <w:rPr>
          <w:rFonts w:hint="eastAsia"/>
        </w:rPr>
        <w:t>防水工程为</w:t>
      </w:r>
      <w:r>
        <w:rPr>
          <w:rFonts w:hint="eastAsia"/>
          <w:color w:val="C00000"/>
        </w:rPr>
        <w:t>5年</w:t>
      </w:r>
      <w:r>
        <w:rPr>
          <w:rFonts w:hint="eastAsia"/>
        </w:rPr>
        <w:t>；施工质量问题和中标供应商提供材料原因造成的损坏，由中标供应商保修；在保修期内，中标供应商工程质量原因造成的其它财产损失，由中标供应商按当时市场价格全额赔偿。</w:t>
      </w:r>
    </w:p>
    <w:p>
      <w:pPr>
        <w:numPr>
          <w:ilvl w:val="1"/>
          <w:numId w:val="5"/>
        </w:numPr>
      </w:pPr>
      <w:r>
        <w:rPr>
          <w:rFonts w:hint="eastAsia"/>
        </w:rPr>
        <w:t>售后服务要求：属于保修范围、内容的项目，中标人应当在接到保修通知之日24小时内派人保修。</w:t>
      </w:r>
    </w:p>
    <w:p>
      <w:pPr>
        <w:numPr>
          <w:ilvl w:val="0"/>
          <w:numId w:val="5"/>
        </w:numPr>
      </w:pPr>
      <w:r>
        <w:rPr>
          <w:rFonts w:hint="eastAsia"/>
        </w:rPr>
        <w:t>付款方式：</w:t>
      </w:r>
    </w:p>
    <w:p>
      <w:pPr>
        <w:numPr>
          <w:ilvl w:val="1"/>
          <w:numId w:val="5"/>
        </w:numPr>
        <w:rPr>
          <w:color w:val="C00000"/>
        </w:rPr>
      </w:pPr>
      <w:r>
        <w:rPr>
          <w:rFonts w:hint="eastAsia"/>
          <w:highlight w:val="none"/>
        </w:rPr>
        <w:t>中标供应商完成项目整体进度的100%，并经过采购人项目负责人、监理的</w:t>
      </w:r>
      <w:r>
        <w:rPr>
          <w:rFonts w:hint="eastAsia"/>
          <w:highlight w:val="none"/>
          <w:lang w:eastAsia="zh-CN"/>
        </w:rPr>
        <w:t>验收</w:t>
      </w:r>
      <w:r>
        <w:rPr>
          <w:rFonts w:hint="eastAsia"/>
          <w:highlight w:val="none"/>
        </w:rPr>
        <w:t>确认后由中标供应商提出付款申请，采购人在收到中标供应商付款申请及付款所需要的材料后10个工作日内，向中标供应商支付工程合同</w:t>
      </w:r>
      <w:r>
        <w:rPr>
          <w:rFonts w:hint="eastAsia"/>
          <w:highlight w:val="none"/>
          <w:lang w:val="en-US" w:eastAsia="zh-CN"/>
        </w:rPr>
        <w:t>全款</w:t>
      </w:r>
      <w:r>
        <w:rPr>
          <w:rFonts w:hint="eastAsia"/>
          <w:highlight w:val="none"/>
        </w:rPr>
        <w:t>。</w:t>
      </w:r>
    </w:p>
    <w:p>
      <w:pPr>
        <w:numPr>
          <w:ilvl w:val="1"/>
          <w:numId w:val="5"/>
        </w:numPr>
      </w:pPr>
      <w:r>
        <w:rPr>
          <w:rFonts w:hint="eastAsia"/>
        </w:rPr>
        <w:t>中标供应商完成所有工程的施工、所有设备的安装及调试，并经采购人组织的竣工验收合格后，并经过采购人项目负责人、监理的确认后由中标供应商提出付款申请，采购人在收到中标供应商付款申请、缴纳的质保金及付款所需要的材料后10个工作日内，向中标供应商付清工程合同款。</w:t>
      </w:r>
    </w:p>
    <w:p>
      <w:pPr>
        <w:numPr>
          <w:ilvl w:val="0"/>
          <w:numId w:val="5"/>
        </w:numPr>
      </w:pPr>
      <w:r>
        <w:rPr>
          <w:rFonts w:hint="eastAsia"/>
        </w:rPr>
        <w:t>质保金：</w:t>
      </w:r>
    </w:p>
    <w:p>
      <w:pPr>
        <w:ind w:left="638" w:leftChars="304" w:firstLine="409" w:firstLineChars="195"/>
      </w:pPr>
      <w:r>
        <w:rPr>
          <w:rFonts w:hint="eastAsia"/>
        </w:rPr>
        <w:t>合同金额的3%。在竣工验收合格后，以银行转账方式向采购人财务支付合同金额的3%作为质保金，如中标供应商未出现应由中标供应商承担的责任，从竣工验收之日起 1年期满后10个工作日内甲方不计利息将质保金退回给中标供应商；中标供应商如有违约或出现应由中标供应商承担的责任，中标供应商同意采购人可以直接从保证金中扣除，不足部分仍应由乙方承担。</w:t>
      </w:r>
    </w:p>
    <w:p>
      <w:pPr>
        <w:numPr>
          <w:ilvl w:val="0"/>
          <w:numId w:val="5"/>
        </w:numPr>
      </w:pPr>
      <w:r>
        <w:rPr>
          <w:rFonts w:hint="eastAsia"/>
        </w:rPr>
        <w:t>违约责任</w:t>
      </w:r>
    </w:p>
    <w:p>
      <w:pPr>
        <w:ind w:left="737"/>
      </w:pPr>
      <w:r>
        <w:rPr>
          <w:rFonts w:hint="eastAsia"/>
        </w:rPr>
        <w:t>在合同履行期间，中标供应商履行采购合同规定的基本责任、招标文件的要求以及其投标文件中承诺</w:t>
      </w:r>
      <w:bookmarkStart w:id="10" w:name="_GoBack"/>
      <w:bookmarkEnd w:id="10"/>
      <w:r>
        <w:rPr>
          <w:rFonts w:hint="eastAsia"/>
        </w:rPr>
        <w:t>的服务责任情况将作为判断中标供应商是否违约的主要依据。如果中标供应商存在违约情况，给采购单位造成经济损失的，采购单位有权追究该中标供应商的违约责任，并有权直接解除合同，但并不因此免除属于保险责任范围内的赔偿。</w:t>
      </w:r>
    </w:p>
    <w:p>
      <w:pPr>
        <w:numPr>
          <w:ilvl w:val="0"/>
          <w:numId w:val="5"/>
        </w:numPr>
      </w:pPr>
      <w:r>
        <w:rPr>
          <w:rFonts w:hint="eastAsia"/>
        </w:rPr>
        <w:t>特别说明</w:t>
      </w:r>
    </w:p>
    <w:p>
      <w:pPr>
        <w:ind w:left="737"/>
      </w:pPr>
      <w:r>
        <w:rPr>
          <w:rFonts w:hint="eastAsia"/>
          <w:b/>
        </w:rPr>
        <w:t>★</w:t>
      </w:r>
      <w:r>
        <w:rPr>
          <w:rFonts w:hint="eastAsia"/>
        </w:rPr>
        <w:t>采购人单位系疫情防控重点场所，中标人需严格遵守采购人各项防控要求，</w:t>
      </w:r>
      <w:r>
        <w:t>如因疫情防控等不可抗拒原因而导致合同期内无法开展活动，采购人不负任何责任。</w:t>
      </w:r>
    </w:p>
    <w:p>
      <w:pPr>
        <w:pStyle w:val="5"/>
        <w:jc w:val="center"/>
      </w:pPr>
      <w:bookmarkStart w:id="7" w:name="_Toc138601807"/>
      <w:r>
        <w:rPr>
          <w:rFonts w:hint="eastAsia"/>
        </w:rPr>
        <w:t>五、其他要求</w:t>
      </w:r>
      <w:bookmarkEnd w:id="7"/>
    </w:p>
    <w:p>
      <w:pPr>
        <w:numPr>
          <w:ilvl w:val="0"/>
          <w:numId w:val="6"/>
        </w:numPr>
        <w:rPr>
          <w:bCs/>
        </w:rPr>
      </w:pPr>
      <w:r>
        <w:rPr>
          <w:rFonts w:hint="eastAsia"/>
          <w:bCs/>
        </w:rPr>
        <w:t>中标人不得将项目非法分包或转包给任何单位和个人。否则，采购单位有权即刻终止合同，并要求中标人赔偿相应损失。</w:t>
      </w:r>
    </w:p>
    <w:p>
      <w:pPr>
        <w:numPr>
          <w:ilvl w:val="0"/>
          <w:numId w:val="6"/>
        </w:numPr>
        <w:rPr>
          <w:bCs/>
        </w:rPr>
      </w:pPr>
      <w:r>
        <w:rPr>
          <w:rFonts w:hint="eastAsia"/>
          <w:bCs/>
        </w:rPr>
        <w:t>投标人应踏勘现场充分了解施工范围内及周边的具体情况，并根据踏勘结果准确报价。</w:t>
      </w:r>
    </w:p>
    <w:p>
      <w:pPr>
        <w:numPr>
          <w:ilvl w:val="0"/>
          <w:numId w:val="6"/>
        </w:numPr>
        <w:rPr>
          <w:bCs/>
        </w:rPr>
      </w:pPr>
      <w:r>
        <w:rPr>
          <w:rFonts w:hint="eastAsia"/>
          <w:bCs/>
        </w:rPr>
        <w:t>中标单位如不能保质保量准时完成本工程，采购单位有权进行应急处理并根据情况对中标人给予处罚。</w:t>
      </w:r>
    </w:p>
    <w:p>
      <w:pPr>
        <w:numPr>
          <w:ilvl w:val="0"/>
          <w:numId w:val="6"/>
        </w:numPr>
        <w:rPr>
          <w:bCs/>
        </w:rPr>
      </w:pPr>
      <w:r>
        <w:rPr>
          <w:rFonts w:hint="eastAsia"/>
          <w:bCs/>
        </w:rPr>
        <w:t>中标单位须自行解决与施工相关的一切事宜（包括施工车辆在该区域内通行、淤泥渣土受纳、施工材料存放、用水用电、施工人员基地及施工占道等问题），不得在施工场地堆放材料及驻扎生活基地，严格按照施工安全规范的规定采取预防事故的措施，并按照国家及地方的相关规定做好安全文明施工措施，确保施工自身及周边安全。</w:t>
      </w:r>
    </w:p>
    <w:p>
      <w:pPr>
        <w:numPr>
          <w:ilvl w:val="0"/>
          <w:numId w:val="6"/>
        </w:numPr>
        <w:rPr>
          <w:bCs/>
        </w:rPr>
      </w:pPr>
      <w:r>
        <w:rPr>
          <w:rFonts w:hint="eastAsia"/>
          <w:bCs/>
        </w:rPr>
        <w:t>本工程的工程量清单的投标单价按综合单价方式进行报价；</w:t>
      </w:r>
    </w:p>
    <w:p>
      <w:pPr>
        <w:numPr>
          <w:ilvl w:val="0"/>
          <w:numId w:val="6"/>
        </w:numPr>
        <w:rPr>
          <w:bCs/>
        </w:rPr>
      </w:pPr>
      <w:r>
        <w:rPr>
          <w:rFonts w:hint="eastAsia"/>
          <w:bCs/>
        </w:rPr>
        <w:t>投标人应根据本企业的成本自行决定报价，但不得以低于其企业成本的报价竞标；</w:t>
      </w:r>
    </w:p>
    <w:p>
      <w:pPr>
        <w:numPr>
          <w:ilvl w:val="0"/>
          <w:numId w:val="6"/>
        </w:numPr>
        <w:rPr>
          <w:bCs/>
        </w:rPr>
      </w:pPr>
      <w:r>
        <w:rPr>
          <w:rFonts w:hint="eastAsia"/>
          <w:bCs/>
        </w:rPr>
        <w:t>投标人的投标报价，应是本项目招标范围和招标文件及合同条款上所列的各项内容中所述的全部，不得以任何理由予以重复，并以投标人在工程量清单中提出的综合单价或总价为依据；</w:t>
      </w:r>
    </w:p>
    <w:p>
      <w:pPr>
        <w:numPr>
          <w:ilvl w:val="0"/>
          <w:numId w:val="6"/>
        </w:numPr>
        <w:rPr>
          <w:bCs/>
        </w:rPr>
      </w:pPr>
      <w:r>
        <w:rPr>
          <w:rFonts w:hint="eastAsia"/>
          <w:bCs/>
        </w:rPr>
        <w:t>除非采购代理机构通过修改招标文件予以更正，否则，投标人应毫无例外地按工程量清单中列出的工程项目和数量填报综合单价和合价。投标人未填综合单价或合价的项目，在实施后，将不得以支付，并视作该项费用已包括在其它有价款的综合单价或合价内；</w:t>
      </w:r>
    </w:p>
    <w:p>
      <w:pPr>
        <w:numPr>
          <w:ilvl w:val="0"/>
          <w:numId w:val="6"/>
        </w:numPr>
        <w:rPr>
          <w:bCs/>
        </w:rPr>
      </w:pPr>
      <w:r>
        <w:rPr>
          <w:rFonts w:hint="eastAsia"/>
          <w:bCs/>
        </w:rPr>
        <w:t>投标人应先到工地踏勘以充分了解工地的位置、情况、道路、储存空间、装卸限制及任何其它足以影响投标报价的情况，任何因忽视或误解工地情况而导致的索赔或工期延长申请将不获批准；</w:t>
      </w:r>
    </w:p>
    <w:p>
      <w:pPr>
        <w:numPr>
          <w:ilvl w:val="0"/>
          <w:numId w:val="6"/>
        </w:numPr>
        <w:rPr>
          <w:bCs/>
        </w:rPr>
      </w:pPr>
      <w:r>
        <w:rPr>
          <w:rFonts w:hint="eastAsia"/>
          <w:bCs/>
        </w:rPr>
        <w:t>投标人不得期望通过索赔、签证等方式获取补偿，否则，除可能遭到拒绝外，还可能将被作为不良行为记录在案，并可能影响其以后参加政府采购的项目投标。各投标人在投标报价时，应充分考虑投标报价的风险。</w:t>
      </w:r>
    </w:p>
    <w:p>
      <w:pPr>
        <w:numPr>
          <w:ilvl w:val="0"/>
          <w:numId w:val="6"/>
        </w:numPr>
        <w:rPr>
          <w:bCs/>
        </w:rPr>
      </w:pPr>
      <w:r>
        <w:rPr>
          <w:rFonts w:hint="eastAsia"/>
          <w:bCs/>
        </w:rPr>
        <w:t>中标人投标总价即为中标人与采购人签订该项目合同的总价。</w:t>
      </w:r>
    </w:p>
    <w:p>
      <w:pPr>
        <w:numPr>
          <w:ilvl w:val="1"/>
          <w:numId w:val="6"/>
        </w:numPr>
        <w:rPr>
          <w:bCs/>
        </w:rPr>
      </w:pPr>
      <w:r>
        <w:rPr>
          <w:rFonts w:hint="eastAsia"/>
          <w:bCs/>
        </w:rPr>
        <w:t>本项目采用总价包干。对没有填写综合单价与合价的项目费用，应视为已包括在工程量清单的其他综合单价与合价之中。如有工程量清单未包含特征描述内容的漏项，视同已包含在其他项目中，综合单价不予调整。</w:t>
      </w:r>
    </w:p>
    <w:p>
      <w:pPr>
        <w:numPr>
          <w:ilvl w:val="1"/>
          <w:numId w:val="6"/>
        </w:numPr>
        <w:rPr>
          <w:bCs/>
        </w:rPr>
      </w:pPr>
      <w:r>
        <w:rPr>
          <w:rFonts w:hint="eastAsia"/>
          <w:bCs/>
        </w:rPr>
        <w:t>投标人的投标报价必须充分考虑到在施工中实施的施工组织设计对工程造价的影响，并在投标报价中反映出来。</w:t>
      </w:r>
    </w:p>
    <w:p>
      <w:pPr>
        <w:numPr>
          <w:ilvl w:val="0"/>
          <w:numId w:val="6"/>
        </w:numPr>
        <w:rPr>
          <w:bCs/>
        </w:rPr>
      </w:pPr>
      <w:r>
        <w:rPr>
          <w:rFonts w:hint="eastAsia"/>
          <w:bCs/>
        </w:rPr>
        <w:t>本项目不接受总价优惠折扣形式的报价，投标人应将对项目的优惠直接在清单报价中体现出来。</w:t>
      </w:r>
    </w:p>
    <w:p>
      <w:pPr>
        <w:numPr>
          <w:ilvl w:val="0"/>
          <w:numId w:val="6"/>
        </w:numPr>
        <w:rPr>
          <w:bCs/>
        </w:rPr>
      </w:pPr>
      <w:r>
        <w:rPr>
          <w:rFonts w:hint="eastAsia"/>
          <w:bCs/>
        </w:rPr>
        <w:t>采购人委托中标人办理的保险事项：建设工程一切险和第三者责任险，所需的保险费应包含在投标价中，施工中若发生安全事故，一切责任及费用由中标人负责。</w:t>
      </w:r>
    </w:p>
    <w:p>
      <w:pPr>
        <w:numPr>
          <w:ilvl w:val="0"/>
          <w:numId w:val="6"/>
        </w:numPr>
        <w:rPr>
          <w:bCs/>
        </w:rPr>
      </w:pPr>
      <w:r>
        <w:rPr>
          <w:rFonts w:hint="eastAsia"/>
          <w:bCs/>
        </w:rPr>
        <w:t>工程完工后，中标人应恢复修建前的原有状态（工程量按实计算），并使监理工程师和采购人满意，满足政府管理部门的规定和要求。</w:t>
      </w:r>
    </w:p>
    <w:p>
      <w:pPr>
        <w:numPr>
          <w:ilvl w:val="0"/>
          <w:numId w:val="6"/>
        </w:numPr>
        <w:rPr>
          <w:bCs/>
        </w:rPr>
      </w:pPr>
      <w:r>
        <w:rPr>
          <w:rFonts w:hint="eastAsia"/>
          <w:bCs/>
        </w:rPr>
        <w:t>如本工程涉及取土和弃土项目，地点、时间、路线中标人应取得国土、城管部门的同意，不得由此带给采购人任何费用的增加。凡是因中标人措施不当而引起的罚款、索赔和指控等由中标人自行承担。投标价不因取土或弃土实际运距与分部分项工程量清单不同而作调整。土方回填料必须满足国家技术规范之要求，绿化填土面层必须选用适宜种植的填土。</w:t>
      </w:r>
    </w:p>
    <w:p>
      <w:pPr>
        <w:numPr>
          <w:ilvl w:val="0"/>
          <w:numId w:val="6"/>
        </w:numPr>
        <w:rPr>
          <w:bCs/>
        </w:rPr>
      </w:pPr>
      <w:r>
        <w:rPr>
          <w:rFonts w:hint="eastAsia"/>
          <w:bCs/>
        </w:rPr>
        <w:t>一切与施工相关的检验实验费（政府有关部门规定由采购人支付的检验实验费除外）已含在投标价中。</w:t>
      </w:r>
    </w:p>
    <w:p>
      <w:pPr>
        <w:numPr>
          <w:ilvl w:val="0"/>
          <w:numId w:val="6"/>
        </w:numPr>
        <w:rPr>
          <w:bCs/>
        </w:rPr>
      </w:pPr>
      <w:r>
        <w:rPr>
          <w:rFonts w:hint="eastAsia"/>
          <w:bCs/>
        </w:rPr>
        <w:t>中标人的交通维护方案必须保证施工期间的交通组织符合深圳市公安交通管理的有关规定，保证车辆运行通畅和施工安全，其费用已含在投标价中。</w:t>
      </w:r>
    </w:p>
    <w:p>
      <w:pPr>
        <w:jc w:val="center"/>
      </w:pPr>
    </w:p>
    <w:p>
      <w:pPr>
        <w:pStyle w:val="5"/>
        <w:jc w:val="center"/>
      </w:pPr>
      <w:bookmarkStart w:id="8" w:name="_Toc138601809"/>
      <w:r>
        <w:rPr>
          <w:rFonts w:hint="eastAsia"/>
        </w:rPr>
        <w:t>六、工程量清单</w:t>
      </w:r>
      <w:bookmarkEnd w:id="8"/>
    </w:p>
    <w:p>
      <w:pPr>
        <w:ind w:left="737"/>
        <w:rPr>
          <w:b/>
          <w:bCs/>
        </w:rPr>
      </w:pPr>
      <w:r>
        <w:rPr>
          <w:rFonts w:hint="eastAsia"/>
          <w:b/>
          <w:bCs/>
        </w:rPr>
        <w:t>工程量清单见采购文件附件。</w:t>
      </w:r>
    </w:p>
    <w:p>
      <w:pPr>
        <w:numPr>
          <w:ilvl w:val="0"/>
          <w:numId w:val="7"/>
        </w:numPr>
        <w:rPr>
          <w:bCs/>
        </w:rPr>
      </w:pPr>
      <w:r>
        <w:rPr>
          <w:rFonts w:hint="eastAsia"/>
          <w:bCs/>
        </w:rPr>
        <w:t>工程计价办法：综合单价法。</w:t>
      </w:r>
    </w:p>
    <w:p>
      <w:pPr>
        <w:numPr>
          <w:ilvl w:val="0"/>
          <w:numId w:val="7"/>
        </w:numPr>
        <w:rPr>
          <w:bCs/>
        </w:rPr>
      </w:pPr>
      <w:r>
        <w:rPr>
          <w:rFonts w:hint="eastAsia"/>
          <w:bCs/>
        </w:rPr>
        <w:t>工程量清单应与投标须知、合同条件、工程建设标准及技术要求等文件结合起来理解或解释。</w:t>
      </w:r>
    </w:p>
    <w:p>
      <w:pPr>
        <w:numPr>
          <w:ilvl w:val="0"/>
          <w:numId w:val="7"/>
        </w:numPr>
        <w:rPr>
          <w:bCs/>
        </w:rPr>
      </w:pPr>
      <w:r>
        <w:rPr>
          <w:rFonts w:hint="eastAsia"/>
          <w:bCs/>
        </w:rPr>
        <w:t>本工程量清单是采购人委托相关单位根据本招标文件中所提供的设计文件编制的。</w:t>
      </w:r>
    </w:p>
    <w:p>
      <w:pPr>
        <w:numPr>
          <w:ilvl w:val="0"/>
          <w:numId w:val="7"/>
        </w:numPr>
        <w:rPr>
          <w:bCs/>
        </w:rPr>
      </w:pPr>
      <w:r>
        <w:rPr>
          <w:rFonts w:hint="eastAsia"/>
          <w:bCs/>
        </w:rPr>
        <w:t>按照《建设工程工程量清单计价规范》的规定，“工程量清单格式”主要包括以下几个部分，但不局限于以下部分：</w:t>
      </w:r>
    </w:p>
    <w:p>
      <w:pPr>
        <w:numPr>
          <w:ilvl w:val="1"/>
          <w:numId w:val="7"/>
        </w:numPr>
        <w:rPr>
          <w:bCs/>
        </w:rPr>
      </w:pPr>
      <w:r>
        <w:rPr>
          <w:rFonts w:hint="eastAsia"/>
          <w:bCs/>
        </w:rPr>
        <w:t>清单封面；</w:t>
      </w:r>
    </w:p>
    <w:p>
      <w:pPr>
        <w:numPr>
          <w:ilvl w:val="1"/>
          <w:numId w:val="7"/>
        </w:numPr>
        <w:rPr>
          <w:bCs/>
        </w:rPr>
      </w:pPr>
      <w:r>
        <w:rPr>
          <w:rFonts w:hint="eastAsia"/>
          <w:bCs/>
        </w:rPr>
        <w:t>总说明；</w:t>
      </w:r>
    </w:p>
    <w:p>
      <w:pPr>
        <w:tabs>
          <w:tab w:val="left" w:pos="737"/>
        </w:tabs>
        <w:ind w:left="737"/>
        <w:rPr>
          <w:bCs/>
        </w:rPr>
      </w:pPr>
      <w:r>
        <w:rPr>
          <w:rFonts w:hint="eastAsia"/>
          <w:bCs/>
        </w:rPr>
        <w:t>包括：工程概况、工程招标范围、工程量清单编制依据、工程质量、材料、施工的特殊要求、预留金及暂定金额的情况等。</w:t>
      </w:r>
    </w:p>
    <w:p>
      <w:pPr>
        <w:numPr>
          <w:ilvl w:val="1"/>
          <w:numId w:val="7"/>
        </w:numPr>
        <w:rPr>
          <w:bCs/>
        </w:rPr>
      </w:pPr>
      <w:r>
        <w:rPr>
          <w:rFonts w:hint="eastAsia"/>
          <w:bCs/>
        </w:rPr>
        <w:t>工程项目清单；</w:t>
      </w:r>
    </w:p>
    <w:p>
      <w:pPr>
        <w:tabs>
          <w:tab w:val="left" w:pos="737"/>
        </w:tabs>
        <w:ind w:left="737"/>
        <w:rPr>
          <w:bCs/>
        </w:rPr>
      </w:pPr>
      <w:r>
        <w:rPr>
          <w:rFonts w:hint="eastAsia"/>
          <w:bCs/>
        </w:rPr>
        <w:t>指本次招标的工程项目所包含的单项工程及每个单项工程所包含的单位工程，只有一个单位工程时可不填此表。</w:t>
      </w:r>
    </w:p>
    <w:p>
      <w:pPr>
        <w:numPr>
          <w:ilvl w:val="1"/>
          <w:numId w:val="7"/>
        </w:numPr>
        <w:rPr>
          <w:bCs/>
        </w:rPr>
      </w:pPr>
      <w:r>
        <w:rPr>
          <w:rFonts w:hint="eastAsia"/>
          <w:bCs/>
        </w:rPr>
        <w:t>分部分项工程量清单；</w:t>
      </w:r>
    </w:p>
    <w:p>
      <w:pPr>
        <w:numPr>
          <w:ilvl w:val="1"/>
          <w:numId w:val="7"/>
        </w:numPr>
        <w:rPr>
          <w:bCs/>
        </w:rPr>
      </w:pPr>
      <w:r>
        <w:rPr>
          <w:rFonts w:hint="eastAsia"/>
          <w:bCs/>
        </w:rPr>
        <w:t>措施项目清单；</w:t>
      </w:r>
    </w:p>
    <w:p>
      <w:pPr>
        <w:numPr>
          <w:ilvl w:val="1"/>
          <w:numId w:val="7"/>
        </w:numPr>
        <w:rPr>
          <w:bCs/>
        </w:rPr>
      </w:pPr>
      <w:r>
        <w:rPr>
          <w:rFonts w:hint="eastAsia"/>
          <w:bCs/>
        </w:rPr>
        <w:t>其他项目清单；</w:t>
      </w:r>
    </w:p>
    <w:p>
      <w:pPr>
        <w:tabs>
          <w:tab w:val="left" w:pos="737"/>
        </w:tabs>
        <w:ind w:left="737"/>
        <w:rPr>
          <w:bCs/>
        </w:rPr>
      </w:pPr>
      <w:r>
        <w:rPr>
          <w:rFonts w:hint="eastAsia"/>
          <w:bCs/>
        </w:rPr>
        <w:t>该表分为采购人部分和投标人部分，采购人部分可采购人另行招标采购材料设备费用等，由采购人填写；投标人部分可包括总承包服务费、零星工作项目费等，由投标人根据工程情况，投标报价时填写。</w:t>
      </w:r>
    </w:p>
    <w:p>
      <w:pPr>
        <w:numPr>
          <w:ilvl w:val="1"/>
          <w:numId w:val="7"/>
        </w:numPr>
        <w:rPr>
          <w:bCs/>
        </w:rPr>
      </w:pPr>
      <w:r>
        <w:rPr>
          <w:rFonts w:hint="eastAsia"/>
          <w:bCs/>
        </w:rPr>
        <w:t>零星工作项目表；</w:t>
      </w:r>
    </w:p>
    <w:p>
      <w:pPr>
        <w:tabs>
          <w:tab w:val="left" w:pos="737"/>
        </w:tabs>
        <w:ind w:left="737"/>
        <w:rPr>
          <w:bCs/>
        </w:rPr>
      </w:pPr>
      <w:r>
        <w:rPr>
          <w:rFonts w:hint="eastAsia"/>
          <w:bCs/>
        </w:rPr>
        <w:t>指采购人提出的工程量暂估的零星工作项目，该表费用由投标人计算后汇入其他项目清单的投标人部分。</w:t>
      </w:r>
    </w:p>
    <w:p>
      <w:pPr>
        <w:numPr>
          <w:ilvl w:val="1"/>
          <w:numId w:val="7"/>
        </w:numPr>
        <w:rPr>
          <w:bCs/>
        </w:rPr>
      </w:pPr>
      <w:r>
        <w:rPr>
          <w:rFonts w:hint="eastAsia"/>
          <w:bCs/>
        </w:rPr>
        <w:t>采购人供应设备材料表；</w:t>
      </w:r>
    </w:p>
    <w:p>
      <w:pPr>
        <w:tabs>
          <w:tab w:val="left" w:pos="737"/>
        </w:tabs>
        <w:ind w:left="737"/>
        <w:rPr>
          <w:bCs/>
        </w:rPr>
      </w:pPr>
      <w:r>
        <w:rPr>
          <w:rFonts w:hint="eastAsia"/>
          <w:bCs/>
        </w:rPr>
        <w:t>指采购人计划自行采购的设备材料价格等情况的表格，该表费用汇总后计入其他项目清单的采购人部分。</w:t>
      </w:r>
    </w:p>
    <w:p>
      <w:pPr>
        <w:numPr>
          <w:ilvl w:val="0"/>
          <w:numId w:val="7"/>
        </w:numPr>
        <w:rPr>
          <w:bCs/>
        </w:rPr>
      </w:pPr>
      <w:r>
        <w:rPr>
          <w:rFonts w:hint="eastAsia"/>
          <w:bCs/>
        </w:rPr>
        <w:t>本工程要求采用的工程量计算规则，应作为本工程招投标双方进行工程招投标和结算计量、计价的共同依据。</w:t>
      </w:r>
    </w:p>
    <w:p>
      <w:pPr>
        <w:numPr>
          <w:ilvl w:val="0"/>
          <w:numId w:val="7"/>
        </w:numPr>
        <w:rPr>
          <w:bCs/>
        </w:rPr>
      </w:pPr>
      <w:r>
        <w:rPr>
          <w:rFonts w:hint="eastAsia"/>
          <w:bCs/>
        </w:rPr>
        <w:t>本工程要求采用的工程量计算规则是《建设工程工程量清单计价规范》（</w:t>
      </w:r>
      <w:r>
        <w:rPr>
          <w:bCs/>
        </w:rPr>
        <w:t>GB 50500-2013</w:t>
      </w:r>
      <w:r>
        <w:rPr>
          <w:rFonts w:hint="eastAsia"/>
          <w:bCs/>
        </w:rPr>
        <w:t>）及深圳市补充规范；</w:t>
      </w:r>
    </w:p>
    <w:p>
      <w:pPr>
        <w:numPr>
          <w:ilvl w:val="0"/>
          <w:numId w:val="7"/>
        </w:numPr>
        <w:rPr>
          <w:bCs/>
        </w:rPr>
      </w:pPr>
      <w:r>
        <w:rPr>
          <w:rFonts w:hint="eastAsia"/>
          <w:bCs/>
        </w:rPr>
        <w:t>对“分部分项工程量清单”的说明和报价要求</w:t>
      </w:r>
    </w:p>
    <w:p>
      <w:pPr>
        <w:numPr>
          <w:ilvl w:val="1"/>
          <w:numId w:val="7"/>
        </w:numPr>
        <w:rPr>
          <w:bCs/>
        </w:rPr>
      </w:pPr>
      <w:r>
        <w:rPr>
          <w:rFonts w:hint="eastAsia"/>
          <w:bCs/>
        </w:rPr>
        <w:t>该清单所列的工程量系采购人的估算，是临时的，作为投标报价的共同基础。不应被理解为是对采购人要求工作内容的全部定义，也不能作为投标人应完成的实际工程量。领取招标文件后，投标人应自行计算工程量，自行计算工程量仅作为自己报价的参考，不能对招标文件的工程量进行修改。</w:t>
      </w:r>
    </w:p>
    <w:p>
      <w:pPr>
        <w:numPr>
          <w:ilvl w:val="1"/>
          <w:numId w:val="7"/>
        </w:numPr>
        <w:rPr>
          <w:bCs/>
        </w:rPr>
      </w:pPr>
      <w:r>
        <w:rPr>
          <w:rFonts w:hint="eastAsia"/>
          <w:bCs/>
        </w:rPr>
        <w:t>该清单中所填入的综合单价和合价应包括直接成本（即人工、材料、机械）和费用（管理费、利润）、风险金等全部费用。但涉及到采购人自行采购的设备材料的项目不得计入材料设备的价格。</w:t>
      </w:r>
    </w:p>
    <w:p>
      <w:pPr>
        <w:numPr>
          <w:ilvl w:val="1"/>
          <w:numId w:val="7"/>
        </w:numPr>
        <w:rPr>
          <w:bCs/>
        </w:rPr>
      </w:pPr>
      <w:r>
        <w:rPr>
          <w:rFonts w:hint="eastAsia"/>
          <w:bCs/>
        </w:rPr>
        <w:t>该清单中不再重复或概括工程及材料的一般说明，在编制和填写工程量清单的每一项的综合单价和合价时应参考投标须知和合同条件的有关条款。</w:t>
      </w:r>
    </w:p>
    <w:p>
      <w:pPr>
        <w:numPr>
          <w:ilvl w:val="1"/>
          <w:numId w:val="7"/>
        </w:numPr>
        <w:rPr>
          <w:bCs/>
        </w:rPr>
      </w:pPr>
      <w:r>
        <w:rPr>
          <w:rFonts w:hint="eastAsia"/>
          <w:bCs/>
        </w:rPr>
        <w:t>该清单的各项目说明中含有“暂定材料设备单价”的，应明确说明此单价是否包括运输费、采保费等费用。投标时投标人不得修改。结算时，应按本招标文件的合同条件中约定的方法调整。</w:t>
      </w:r>
    </w:p>
    <w:p>
      <w:pPr>
        <w:numPr>
          <w:ilvl w:val="0"/>
          <w:numId w:val="7"/>
        </w:numPr>
        <w:rPr>
          <w:bCs/>
        </w:rPr>
      </w:pPr>
      <w:r>
        <w:rPr>
          <w:rFonts w:hint="eastAsia"/>
          <w:bCs/>
        </w:rPr>
        <w:t>对</w:t>
      </w:r>
      <w:r>
        <w:rPr>
          <w:bCs/>
        </w:rPr>
        <w:t>“</w:t>
      </w:r>
      <w:r>
        <w:rPr>
          <w:rFonts w:hint="eastAsia"/>
          <w:bCs/>
        </w:rPr>
        <w:t>措施项目清单</w:t>
      </w:r>
      <w:r>
        <w:rPr>
          <w:bCs/>
        </w:rPr>
        <w:t>”</w:t>
      </w:r>
      <w:r>
        <w:rPr>
          <w:rFonts w:hint="eastAsia"/>
          <w:bCs/>
        </w:rPr>
        <w:t>的说明和报价要求：</w:t>
      </w:r>
    </w:p>
    <w:p>
      <w:pPr>
        <w:numPr>
          <w:ilvl w:val="1"/>
          <w:numId w:val="7"/>
        </w:numPr>
        <w:rPr>
          <w:bCs/>
        </w:rPr>
      </w:pPr>
      <w:r>
        <w:rPr>
          <w:rFonts w:hint="eastAsia"/>
          <w:bCs/>
        </w:rPr>
        <w:t>该清单所列项目均以</w:t>
      </w:r>
      <w:r>
        <w:rPr>
          <w:bCs/>
        </w:rPr>
        <w:t>“</w:t>
      </w:r>
      <w:r>
        <w:rPr>
          <w:rFonts w:hint="eastAsia"/>
          <w:bCs/>
        </w:rPr>
        <w:t>一项</w:t>
      </w:r>
      <w:r>
        <w:rPr>
          <w:bCs/>
        </w:rPr>
        <w:t>”</w:t>
      </w:r>
      <w:r>
        <w:rPr>
          <w:rFonts w:hint="eastAsia"/>
          <w:bCs/>
        </w:rPr>
        <w:t>提出，是采购人根据一般情况估计的项目，投标人实际措施项目不同的，可以对具体列项内容进行调整。</w:t>
      </w:r>
    </w:p>
    <w:p>
      <w:pPr>
        <w:numPr>
          <w:ilvl w:val="1"/>
          <w:numId w:val="7"/>
        </w:numPr>
        <w:rPr>
          <w:bCs/>
        </w:rPr>
      </w:pPr>
      <w:r>
        <w:rPr>
          <w:rFonts w:hint="eastAsia"/>
          <w:bCs/>
        </w:rPr>
        <w:t>该清单的报价为包干费用，除非合同条件中有明确的约定，该费用不得调整。</w:t>
      </w:r>
    </w:p>
    <w:p>
      <w:pPr>
        <w:numPr>
          <w:ilvl w:val="1"/>
          <w:numId w:val="7"/>
        </w:numPr>
        <w:rPr>
          <w:bCs/>
        </w:rPr>
      </w:pPr>
      <w:r>
        <w:rPr>
          <w:rFonts w:hint="eastAsia"/>
          <w:bCs/>
        </w:rPr>
        <w:t>如该清单中列入了</w:t>
      </w:r>
      <w:r>
        <w:rPr>
          <w:bCs/>
        </w:rPr>
        <w:t>“</w:t>
      </w:r>
      <w:r>
        <w:rPr>
          <w:rFonts w:hint="eastAsia"/>
          <w:bCs/>
        </w:rPr>
        <w:t>施工单位现场安全文明施工措施费</w:t>
      </w:r>
      <w:r>
        <w:rPr>
          <w:bCs/>
        </w:rPr>
        <w:t>”</w:t>
      </w:r>
      <w:r>
        <w:rPr>
          <w:rFonts w:hint="eastAsia"/>
          <w:bCs/>
        </w:rPr>
        <w:t>，该费用包括临时设施费、安全施工费、文明施工费，作为非竞争性费用。如该清单未列入此项费用，投标人应以</w:t>
      </w:r>
      <w:r>
        <w:rPr>
          <w:bCs/>
        </w:rPr>
        <w:t>“</w:t>
      </w:r>
      <w:r>
        <w:rPr>
          <w:rFonts w:hint="eastAsia"/>
          <w:bCs/>
        </w:rPr>
        <w:t>分部分项清单计价表</w:t>
      </w:r>
      <w:r>
        <w:rPr>
          <w:bCs/>
        </w:rPr>
        <w:t>”</w:t>
      </w:r>
      <w:r>
        <w:rPr>
          <w:rFonts w:hint="eastAsia"/>
          <w:bCs/>
        </w:rPr>
        <w:t>、</w:t>
      </w:r>
      <w:r>
        <w:rPr>
          <w:bCs/>
        </w:rPr>
        <w:t>“</w:t>
      </w:r>
      <w:r>
        <w:rPr>
          <w:rFonts w:hint="eastAsia"/>
          <w:bCs/>
        </w:rPr>
        <w:t>其他项目清单计价表</w:t>
      </w:r>
      <w:r>
        <w:rPr>
          <w:bCs/>
        </w:rPr>
        <w:t>”</w:t>
      </w:r>
      <w:r>
        <w:rPr>
          <w:rFonts w:hint="eastAsia"/>
          <w:bCs/>
        </w:rPr>
        <w:t>以及</w:t>
      </w:r>
      <w:r>
        <w:rPr>
          <w:bCs/>
        </w:rPr>
        <w:t>“</w:t>
      </w:r>
      <w:r>
        <w:rPr>
          <w:rFonts w:hint="eastAsia"/>
          <w:bCs/>
        </w:rPr>
        <w:t>措施项目清单计价表</w:t>
      </w:r>
      <w:r>
        <w:rPr>
          <w:bCs/>
        </w:rPr>
        <w:t>”</w:t>
      </w:r>
      <w:r>
        <w:rPr>
          <w:rFonts w:hint="eastAsia"/>
          <w:bCs/>
        </w:rPr>
        <w:t>中的</w:t>
      </w:r>
      <w:r>
        <w:rPr>
          <w:bCs/>
        </w:rPr>
        <w:t>“</w:t>
      </w:r>
      <w:r>
        <w:rPr>
          <w:rFonts w:hint="eastAsia"/>
          <w:bCs/>
        </w:rPr>
        <w:t>混凝土、钢筋混凝土模板及支架</w:t>
      </w:r>
      <w:r>
        <w:rPr>
          <w:bCs/>
        </w:rPr>
        <w:t>”</w:t>
      </w:r>
      <w:r>
        <w:rPr>
          <w:rFonts w:hint="eastAsia"/>
          <w:bCs/>
        </w:rPr>
        <w:t>、</w:t>
      </w:r>
      <w:r>
        <w:rPr>
          <w:bCs/>
        </w:rPr>
        <w:t>“</w:t>
      </w:r>
      <w:r>
        <w:rPr>
          <w:rFonts w:hint="eastAsia"/>
          <w:bCs/>
        </w:rPr>
        <w:t>脚手架</w:t>
      </w:r>
      <w:r>
        <w:rPr>
          <w:bCs/>
        </w:rPr>
        <w:t>”</w:t>
      </w:r>
      <w:r>
        <w:rPr>
          <w:rFonts w:hint="eastAsia"/>
          <w:bCs/>
        </w:rPr>
        <w:t>、</w:t>
      </w:r>
      <w:r>
        <w:rPr>
          <w:bCs/>
        </w:rPr>
        <w:t>“</w:t>
      </w:r>
      <w:r>
        <w:rPr>
          <w:rFonts w:hint="eastAsia"/>
          <w:bCs/>
        </w:rPr>
        <w:t>垂直运输机械费</w:t>
      </w:r>
      <w:r>
        <w:rPr>
          <w:bCs/>
        </w:rPr>
        <w:t>”</w:t>
      </w:r>
      <w:r>
        <w:rPr>
          <w:rFonts w:hint="eastAsia"/>
          <w:bCs/>
        </w:rPr>
        <w:t>、</w:t>
      </w:r>
      <w:r>
        <w:rPr>
          <w:bCs/>
        </w:rPr>
        <w:t>“</w:t>
      </w:r>
      <w:r>
        <w:rPr>
          <w:rFonts w:hint="eastAsia"/>
          <w:bCs/>
        </w:rPr>
        <w:t>大型机械设备进出场及安拆</w:t>
      </w:r>
      <w:r>
        <w:rPr>
          <w:bCs/>
        </w:rPr>
        <w:t>”</w:t>
      </w:r>
      <w:r>
        <w:rPr>
          <w:rFonts w:hint="eastAsia"/>
          <w:bCs/>
        </w:rPr>
        <w:t>的费用合计为计算基础，并根据本企业的成本，参照相关规定进行计算。</w:t>
      </w:r>
    </w:p>
    <w:p>
      <w:pPr>
        <w:numPr>
          <w:ilvl w:val="0"/>
          <w:numId w:val="7"/>
        </w:numPr>
        <w:rPr>
          <w:bCs/>
        </w:rPr>
      </w:pPr>
      <w:r>
        <w:rPr>
          <w:rFonts w:hint="eastAsia"/>
          <w:bCs/>
        </w:rPr>
        <w:t>如发现采购人提供的工程量清单的项目及工程量不符时，除招标文件另有要求外，投标人应在答疑期间提出，采购人应进行复核并在网上发出修正。如没有做出修正，投标人仍应按采购人提供的工程量清单的项目及工程量报价，并将项差与量差体现在报价中，并在备注中注明，但不得对工程量清单进行修改。</w:t>
      </w:r>
    </w:p>
    <w:p/>
    <w:p>
      <w:pPr>
        <w:pStyle w:val="5"/>
        <w:jc w:val="center"/>
      </w:pPr>
      <w:bookmarkStart w:id="9" w:name="_Toc138601810"/>
      <w:r>
        <w:rPr>
          <w:rFonts w:hint="eastAsia"/>
        </w:rPr>
        <w:t>七、注意事项</w:t>
      </w:r>
      <w:bookmarkEnd w:id="9"/>
    </w:p>
    <w:p>
      <w:pPr>
        <w:numPr>
          <w:ilvl w:val="0"/>
          <w:numId w:val="8"/>
        </w:numPr>
        <w:rPr>
          <w:bCs/>
        </w:rPr>
      </w:pPr>
      <w:r>
        <w:rPr>
          <w:rFonts w:hint="eastAsia"/>
          <w:bCs/>
        </w:rPr>
        <w:t>中标人不得将项目非法分包或转包给任何单位和个人。否则，采购单位有权即刻终止合同，并要求中标人赔偿相应损失。</w:t>
      </w:r>
    </w:p>
    <w:p>
      <w:pPr>
        <w:numPr>
          <w:ilvl w:val="0"/>
          <w:numId w:val="8"/>
        </w:numPr>
        <w:rPr>
          <w:bCs/>
        </w:rPr>
      </w:pPr>
      <w:r>
        <w:rPr>
          <w:rFonts w:hint="eastAsia"/>
          <w:bCs/>
        </w:rPr>
        <w:t>投标人若认为采购文件的技术要求或其他要求有倾向性或不公正性，可在招标答疑阶段提出，以维护招标行为的公平、公正。</w:t>
      </w:r>
    </w:p>
    <w:p>
      <w:pPr>
        <w:numPr>
          <w:ilvl w:val="0"/>
          <w:numId w:val="8"/>
        </w:numPr>
        <w:rPr>
          <w:bCs/>
        </w:rPr>
      </w:pPr>
      <w:r>
        <w:rPr>
          <w:rFonts w:hint="eastAsia"/>
          <w:bCs/>
        </w:rPr>
        <w:t>投标人使用的标准必须是国际公认或国家、或地方政府颁布的同等或更高的标准，如投标人使用的标准低于上述标准</w:t>
      </w:r>
      <w:r>
        <w:rPr>
          <w:bCs/>
        </w:rPr>
        <w:t>,</w:t>
      </w:r>
      <w:r>
        <w:rPr>
          <w:rFonts w:hint="eastAsia"/>
          <w:bCs/>
        </w:rPr>
        <w:t>评标委员会将有权不予接受，投标人必须列表将明显的差异详细说明。</w:t>
      </w:r>
    </w:p>
    <w:p>
      <w:pPr>
        <w:numPr>
          <w:ilvl w:val="0"/>
          <w:numId w:val="8"/>
        </w:numPr>
        <w:rPr>
          <w:bCs/>
        </w:rPr>
      </w:pPr>
      <w:r>
        <w:rPr>
          <w:rFonts w:hint="eastAsia"/>
          <w:bCs/>
        </w:rPr>
        <w:t>投标人所提交的投标文件对技术参数和各项要求的响应应是列出具体内容。如果投标人只注明“符合”或“满足”，将被视为“不符合”，并可能严重影响评标结果。</w:t>
      </w:r>
    </w:p>
    <w:p>
      <w:pPr>
        <w:numPr>
          <w:ilvl w:val="0"/>
          <w:numId w:val="8"/>
        </w:numPr>
        <w:rPr>
          <w:bCs/>
        </w:rPr>
      </w:pPr>
      <w:r>
        <w:rPr>
          <w:rFonts w:hint="eastAsia"/>
          <w:bCs/>
        </w:rPr>
        <w:t>重要提醒：《深圳经济特区政府采购条例》规定，供应商在政府采购中，未按本条例规定签订、履行采购合同，造成严重后果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另外，将组织第三方专业机构实施项目履约验收，并采取没收投标保证金、在深圳市政府采购网曝光等措施对失信供应商进行处理。供应商必须诚信投标，对项目需求进行实质性响应。</w:t>
      </w:r>
    </w:p>
    <w:p>
      <w:pPr>
        <w:pStyle w:val="4"/>
      </w:pPr>
      <w:r>
        <w:br w:type="page"/>
      </w:r>
      <w:r>
        <w:rPr>
          <w:rFonts w:hint="eastAsia"/>
        </w:rPr>
        <w:t>第三章  投标文件格式</w:t>
      </w:r>
    </w:p>
    <w:p>
      <w:pPr>
        <w:rPr>
          <w:rStyle w:val="19"/>
          <w:rFonts w:ascii="宋体" w:hAnsi="宋体" w:eastAsia="宋体" w:cs="宋体"/>
          <w:sz w:val="28"/>
          <w:szCs w:val="28"/>
        </w:rPr>
      </w:pPr>
      <w:r>
        <w:rPr>
          <w:rStyle w:val="19"/>
          <w:rFonts w:hint="eastAsia" w:ascii="宋体" w:hAnsi="宋体" w:eastAsia="宋体" w:cs="宋体"/>
          <w:b/>
          <w:bCs w:val="0"/>
          <w:sz w:val="28"/>
          <w:szCs w:val="28"/>
        </w:rPr>
        <w:t>投标文件组成：</w:t>
      </w:r>
    </w:p>
    <w:p>
      <w:pPr>
        <w:rPr>
          <w:rFonts w:ascii="宋体" w:hAnsi="宋体" w:cs="宋体"/>
          <w:sz w:val="24"/>
        </w:rPr>
      </w:pPr>
    </w:p>
    <w:p>
      <w:pPr>
        <w:rPr>
          <w:rFonts w:ascii="宋体" w:hAnsi="宋体" w:cs="宋体"/>
          <w:sz w:val="24"/>
        </w:rPr>
      </w:pPr>
      <w:r>
        <w:rPr>
          <w:rFonts w:hint="eastAsia" w:ascii="宋体" w:hAnsi="宋体" w:cs="宋体"/>
          <w:sz w:val="24"/>
        </w:rPr>
        <w:t>目录</w:t>
      </w:r>
    </w:p>
    <w:p>
      <w:pPr>
        <w:rPr>
          <w:rFonts w:ascii="宋体" w:hAnsi="宋体" w:cs="宋体"/>
          <w:sz w:val="24"/>
          <w:highlight w:val="yellow"/>
        </w:rPr>
      </w:pPr>
    </w:p>
    <w:p>
      <w:pPr>
        <w:rPr>
          <w:rFonts w:ascii="宋体" w:hAnsi="宋体" w:cs="宋体"/>
          <w:sz w:val="24"/>
        </w:rPr>
      </w:pPr>
      <w:r>
        <w:rPr>
          <w:rFonts w:hint="eastAsia" w:ascii="宋体" w:hAnsi="宋体" w:cs="宋体"/>
          <w:szCs w:val="21"/>
        </w:rPr>
        <w:t>开标一览表</w:t>
      </w:r>
    </w:p>
    <w:p>
      <w:pPr>
        <w:rPr>
          <w:rFonts w:ascii="宋体" w:hAnsi="宋体" w:cs="宋体"/>
          <w:sz w:val="24"/>
        </w:rPr>
      </w:pPr>
      <w:r>
        <w:rPr>
          <w:rFonts w:hint="eastAsia" w:ascii="宋体" w:hAnsi="宋体" w:cs="宋体"/>
          <w:sz w:val="24"/>
        </w:rPr>
        <w:t>1、法定代表人证明书</w:t>
      </w:r>
    </w:p>
    <w:p>
      <w:pPr>
        <w:rPr>
          <w:rFonts w:ascii="宋体" w:hAnsi="宋体" w:cs="宋体"/>
          <w:sz w:val="24"/>
        </w:rPr>
      </w:pPr>
      <w:r>
        <w:rPr>
          <w:rFonts w:hint="eastAsia" w:ascii="宋体" w:hAnsi="宋体" w:cs="宋体"/>
          <w:sz w:val="24"/>
        </w:rPr>
        <w:t>2、投标文件签署授权委托书</w:t>
      </w:r>
    </w:p>
    <w:p>
      <w:pPr>
        <w:rPr>
          <w:rFonts w:ascii="宋体" w:hAnsi="宋体" w:cs="宋体"/>
          <w:sz w:val="24"/>
        </w:rPr>
      </w:pPr>
      <w:r>
        <w:rPr>
          <w:rFonts w:hint="eastAsia" w:ascii="宋体" w:hAnsi="宋体" w:cs="宋体"/>
          <w:sz w:val="24"/>
        </w:rPr>
        <w:t>3、投标承诺函</w:t>
      </w:r>
    </w:p>
    <w:p>
      <w:pPr>
        <w:rPr>
          <w:rFonts w:ascii="宋体" w:hAnsi="宋体" w:cs="宋体"/>
          <w:sz w:val="24"/>
        </w:rPr>
      </w:pPr>
      <w:r>
        <w:rPr>
          <w:rFonts w:hint="eastAsia" w:ascii="宋体" w:hAnsi="宋体" w:cs="宋体"/>
          <w:sz w:val="24"/>
        </w:rPr>
        <w:t>4、投标人情况介绍</w:t>
      </w:r>
    </w:p>
    <w:p>
      <w:pPr>
        <w:rPr>
          <w:rFonts w:ascii="宋体" w:hAnsi="宋体" w:cs="宋体"/>
          <w:sz w:val="24"/>
        </w:rPr>
      </w:pPr>
      <w:r>
        <w:rPr>
          <w:rFonts w:hint="eastAsia" w:ascii="宋体" w:hAnsi="宋体" w:cs="宋体"/>
          <w:sz w:val="24"/>
        </w:rPr>
        <w:t>5、分项报价清单表</w:t>
      </w:r>
    </w:p>
    <w:p>
      <w:pPr>
        <w:rPr>
          <w:rFonts w:ascii="宋体" w:hAnsi="宋体" w:cs="宋体"/>
          <w:sz w:val="24"/>
        </w:rPr>
      </w:pPr>
      <w:r>
        <w:rPr>
          <w:rFonts w:hint="eastAsia" w:ascii="宋体" w:hAnsi="宋体" w:cs="宋体"/>
          <w:sz w:val="24"/>
        </w:rPr>
        <w:t>6、商务需求偏离表</w:t>
      </w:r>
    </w:p>
    <w:p>
      <w:pPr>
        <w:rPr>
          <w:rFonts w:hint="eastAsia" w:ascii="宋体" w:hAnsi="宋体" w:cs="宋体"/>
          <w:sz w:val="24"/>
        </w:rPr>
      </w:pPr>
      <w:r>
        <w:rPr>
          <w:rFonts w:hint="eastAsia" w:ascii="宋体" w:hAnsi="宋体" w:cs="宋体"/>
          <w:sz w:val="24"/>
        </w:rPr>
        <w:t>7、项目总体概述及理解</w:t>
      </w:r>
    </w:p>
    <w:p>
      <w:pPr>
        <w:rPr>
          <w:rFonts w:hint="eastAsia" w:ascii="宋体" w:hAnsi="宋体" w:cs="宋体"/>
          <w:sz w:val="24"/>
        </w:rPr>
      </w:pPr>
      <w:r>
        <w:rPr>
          <w:rFonts w:hint="eastAsia" w:ascii="宋体" w:hAnsi="宋体" w:cs="宋体"/>
          <w:sz w:val="24"/>
        </w:rPr>
        <w:t>8、施工组织计划、施工技术、施工工艺及相关的合理化建议</w:t>
      </w:r>
    </w:p>
    <w:p>
      <w:pPr>
        <w:rPr>
          <w:rFonts w:hint="eastAsia" w:ascii="宋体" w:hAnsi="宋体" w:cs="宋体"/>
          <w:sz w:val="24"/>
        </w:rPr>
      </w:pPr>
      <w:r>
        <w:rPr>
          <w:rFonts w:hint="eastAsia" w:ascii="宋体" w:hAnsi="宋体" w:cs="宋体"/>
          <w:sz w:val="24"/>
        </w:rPr>
        <w:t>9、项目实施关键施工技术（重点难点）分析及解决方案</w:t>
      </w:r>
    </w:p>
    <w:p>
      <w:pPr>
        <w:rPr>
          <w:rFonts w:hint="eastAsia" w:ascii="宋体" w:hAnsi="宋体" w:cs="宋体"/>
          <w:sz w:val="24"/>
        </w:rPr>
      </w:pPr>
      <w:r>
        <w:rPr>
          <w:rFonts w:hint="eastAsia" w:ascii="宋体" w:hAnsi="宋体" w:cs="宋体"/>
          <w:sz w:val="24"/>
        </w:rPr>
        <w:t>10、施工质量（安全、环保、工期、售后服务）保障措施及相关的违约承诺</w:t>
      </w:r>
    </w:p>
    <w:p>
      <w:pPr>
        <w:rPr>
          <w:rFonts w:hint="eastAsia" w:ascii="宋体" w:hAnsi="宋体" w:cs="宋体"/>
          <w:sz w:val="24"/>
        </w:rPr>
      </w:pPr>
      <w:r>
        <w:rPr>
          <w:rFonts w:hint="eastAsia" w:ascii="宋体" w:hAnsi="宋体" w:cs="宋体"/>
          <w:sz w:val="24"/>
        </w:rPr>
        <w:t>11、项目使用的材料性能、劳动力、机械设备、材料投入计划及其保证措施</w:t>
      </w:r>
    </w:p>
    <w:p>
      <w:pPr>
        <w:rPr>
          <w:rFonts w:hint="eastAsia" w:ascii="宋体" w:hAnsi="宋体" w:cs="宋体"/>
          <w:sz w:val="24"/>
        </w:rPr>
      </w:pPr>
      <w:r>
        <w:rPr>
          <w:rFonts w:hint="eastAsia" w:ascii="宋体" w:hAnsi="宋体" w:cs="宋体"/>
          <w:sz w:val="24"/>
        </w:rPr>
        <w:t>12、拟投入劳动力（项目经理、技术人员、管理班子）情况</w:t>
      </w:r>
    </w:p>
    <w:p>
      <w:pPr>
        <w:rPr>
          <w:rFonts w:hint="eastAsia" w:ascii="宋体" w:hAnsi="宋体" w:cs="宋体"/>
          <w:sz w:val="24"/>
        </w:rPr>
      </w:pPr>
      <w:r>
        <w:rPr>
          <w:rFonts w:hint="eastAsia" w:ascii="宋体" w:hAnsi="宋体" w:cs="宋体"/>
          <w:sz w:val="24"/>
        </w:rPr>
        <w:t>13、获奖情况</w:t>
      </w:r>
    </w:p>
    <w:p>
      <w:pPr>
        <w:rPr>
          <w:rFonts w:hint="eastAsia" w:ascii="宋体" w:hAnsi="宋体" w:cs="宋体"/>
          <w:sz w:val="24"/>
        </w:rPr>
      </w:pPr>
      <w:r>
        <w:rPr>
          <w:rFonts w:hint="eastAsia" w:ascii="宋体" w:hAnsi="宋体" w:cs="宋体"/>
          <w:sz w:val="24"/>
        </w:rPr>
        <w:t>14、服务网点</w:t>
      </w:r>
    </w:p>
    <w:p>
      <w:pPr>
        <w:rPr>
          <w:rFonts w:hint="eastAsia" w:ascii="宋体" w:hAnsi="宋体" w:cs="宋体"/>
          <w:sz w:val="24"/>
        </w:rPr>
      </w:pPr>
      <w:r>
        <w:rPr>
          <w:rFonts w:hint="eastAsia" w:ascii="宋体" w:hAnsi="宋体" w:cs="宋体"/>
          <w:sz w:val="24"/>
        </w:rPr>
        <w:t>15、同类业绩</w:t>
      </w:r>
    </w:p>
    <w:p>
      <w:pPr>
        <w:rPr>
          <w:rFonts w:ascii="宋体" w:hAnsi="宋体" w:cs="宋体"/>
          <w:sz w:val="24"/>
        </w:rPr>
      </w:pPr>
    </w:p>
    <w:p>
      <w:pPr>
        <w:outlineLvl w:val="1"/>
        <w:rPr>
          <w:rFonts w:ascii="宋体" w:hAnsi="宋体" w:cs="宋体"/>
          <w:b/>
          <w:sz w:val="28"/>
          <w:szCs w:val="28"/>
        </w:rPr>
      </w:pPr>
      <w:r>
        <w:rPr>
          <w:rFonts w:hint="eastAsia" w:ascii="宋体" w:hAnsi="宋体" w:cs="宋体"/>
          <w:b/>
          <w:sz w:val="28"/>
          <w:szCs w:val="28"/>
        </w:rPr>
        <w:t>投标文件格式：</w:t>
      </w:r>
    </w:p>
    <w:p>
      <w:pPr>
        <w:keepNext/>
        <w:keepLines/>
        <w:spacing w:before="120" w:after="120" w:line="416" w:lineRule="auto"/>
        <w:jc w:val="center"/>
        <w:outlineLvl w:val="2"/>
        <w:rPr>
          <w:rFonts w:ascii="宋体" w:hAnsi="宋体" w:cs="宋体"/>
          <w:bCs/>
          <w:color w:val="000000"/>
          <w:sz w:val="44"/>
          <w:szCs w:val="32"/>
        </w:rPr>
      </w:pPr>
      <w:r>
        <w:rPr>
          <w:rFonts w:hint="eastAsia" w:ascii="宋体" w:hAnsi="宋体" w:cs="宋体"/>
          <w:b/>
          <w:bCs/>
          <w:color w:val="000000"/>
          <w:sz w:val="32"/>
          <w:szCs w:val="32"/>
        </w:rPr>
        <w:t>开标一览表</w:t>
      </w:r>
    </w:p>
    <w:p>
      <w:pPr>
        <w:jc w:val="right"/>
        <w:rPr>
          <w:rFonts w:ascii="宋体" w:hAnsi="宋体" w:cs="宋体"/>
          <w:bCs/>
          <w:snapToGrid w:val="0"/>
          <w:color w:val="000000"/>
          <w:kern w:val="0"/>
          <w:szCs w:val="22"/>
        </w:rPr>
      </w:pPr>
      <w:r>
        <w:rPr>
          <w:rFonts w:hint="eastAsia" w:ascii="宋体" w:hAnsi="宋体" w:cs="宋体"/>
          <w:bCs/>
          <w:snapToGrid w:val="0"/>
          <w:color w:val="000000"/>
          <w:kern w:val="0"/>
          <w:szCs w:val="22"/>
        </w:rPr>
        <w:t xml:space="preserve">                  单位： 人民币 元</w:t>
      </w: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项目名称</w:t>
            </w:r>
          </w:p>
        </w:tc>
        <w:tc>
          <w:tcPr>
            <w:tcW w:w="260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投标报价</w:t>
            </w:r>
          </w:p>
        </w:tc>
        <w:tc>
          <w:tcPr>
            <w:tcW w:w="2217"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工期</w:t>
            </w:r>
          </w:p>
        </w:tc>
        <w:tc>
          <w:tcPr>
            <w:tcW w:w="201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pPr>
              <w:rPr>
                <w:rFonts w:ascii="宋体" w:hAnsi="宋体" w:cs="宋体"/>
                <w:snapToGrid w:val="0"/>
                <w:color w:val="000000"/>
                <w:kern w:val="0"/>
                <w:szCs w:val="22"/>
                <w:u w:val="single"/>
              </w:rPr>
            </w:pPr>
          </w:p>
        </w:tc>
        <w:tc>
          <w:tcPr>
            <w:tcW w:w="2603" w:type="dxa"/>
            <w:tcBorders>
              <w:top w:val="single" w:color="auto" w:sz="4" w:space="0"/>
            </w:tcBorders>
            <w:vAlign w:val="center"/>
          </w:tcPr>
          <w:p>
            <w:pPr>
              <w:rPr>
                <w:rFonts w:ascii="宋体" w:hAnsi="宋体" w:cs="宋体"/>
                <w:szCs w:val="21"/>
              </w:rPr>
            </w:pPr>
            <w:r>
              <w:rPr>
                <w:rFonts w:hint="eastAsia" w:ascii="宋体" w:hAnsi="宋体" w:cs="宋体"/>
                <w:szCs w:val="21"/>
              </w:rPr>
              <w:t>大写：</w:t>
            </w:r>
          </w:p>
          <w:p>
            <w:pPr>
              <w:rPr>
                <w:rFonts w:ascii="宋体" w:hAnsi="宋体" w:cs="宋体"/>
                <w:color w:val="FF0000"/>
                <w:szCs w:val="21"/>
              </w:rPr>
            </w:pPr>
            <w:r>
              <w:rPr>
                <w:rFonts w:hint="eastAsia" w:ascii="宋体" w:hAnsi="宋体" w:cs="宋体"/>
                <w:szCs w:val="21"/>
              </w:rPr>
              <w:t>小写：</w:t>
            </w:r>
          </w:p>
        </w:tc>
        <w:tc>
          <w:tcPr>
            <w:tcW w:w="2217" w:type="dxa"/>
            <w:tcBorders>
              <w:top w:val="single" w:color="auto" w:sz="4" w:space="0"/>
            </w:tcBorders>
            <w:vAlign w:val="center"/>
          </w:tcPr>
          <w:p>
            <w:pPr>
              <w:ind w:firstLine="281" w:firstLineChars="100"/>
              <w:rPr>
                <w:rFonts w:ascii="宋体" w:hAnsi="宋体" w:cs="宋体"/>
                <w:color w:val="000000"/>
                <w:kern w:val="0"/>
                <w:szCs w:val="21"/>
                <w:lang w:val="zh-CN"/>
              </w:rPr>
            </w:pPr>
            <w:r>
              <w:rPr>
                <w:rFonts w:hint="eastAsia" w:ascii="宋体" w:hAnsi="宋体" w:cs="宋体"/>
                <w:b/>
                <w:bCs/>
                <w:kern w:val="0"/>
                <w:sz w:val="28"/>
                <w:szCs w:val="28"/>
                <w:u w:val="single"/>
              </w:rPr>
              <w:t xml:space="preserve">    </w:t>
            </w:r>
            <w:r>
              <w:rPr>
                <w:rFonts w:hint="eastAsia" w:ascii="宋体" w:hAnsi="宋体" w:cs="宋体"/>
                <w:snapToGrid w:val="0"/>
                <w:color w:val="000000"/>
                <w:kern w:val="0"/>
                <w:szCs w:val="22"/>
              </w:rPr>
              <w:t>日历日</w:t>
            </w:r>
          </w:p>
        </w:tc>
        <w:tc>
          <w:tcPr>
            <w:tcW w:w="2013" w:type="dxa"/>
            <w:tcBorders>
              <w:top w:val="single" w:color="auto" w:sz="4" w:space="0"/>
            </w:tcBorders>
            <w:vAlign w:val="center"/>
          </w:tcPr>
          <w:p>
            <w:pPr>
              <w:rPr>
                <w:rFonts w:ascii="宋体" w:hAnsi="宋体" w:cs="宋体"/>
                <w:snapToGrid w:val="0"/>
                <w:color w:val="000000"/>
                <w:kern w:val="0"/>
                <w:szCs w:val="22"/>
              </w:rPr>
            </w:pPr>
          </w:p>
        </w:tc>
      </w:tr>
    </w:tbl>
    <w:p>
      <w:pPr>
        <w:rPr>
          <w:rFonts w:ascii="宋体" w:hAnsi="宋体" w:cs="宋体"/>
          <w:snapToGrid w:val="0"/>
          <w:color w:val="000000"/>
          <w:kern w:val="0"/>
          <w:szCs w:val="22"/>
        </w:rPr>
      </w:pPr>
    </w:p>
    <w:p>
      <w:pPr>
        <w:rPr>
          <w:rFonts w:ascii="宋体" w:hAnsi="宋体" w:cs="宋体"/>
          <w:snapToGrid w:val="0"/>
          <w:kern w:val="0"/>
          <w:szCs w:val="22"/>
        </w:rPr>
      </w:pPr>
      <w:r>
        <w:rPr>
          <w:rFonts w:hint="eastAsia" w:ascii="宋体" w:hAnsi="宋体" w:cs="宋体"/>
          <w:snapToGrid w:val="0"/>
          <w:kern w:val="0"/>
          <w:szCs w:val="22"/>
        </w:rPr>
        <w:t>注：1、价格应按“招标文件”中规定的货币单位填写。</w:t>
      </w:r>
    </w:p>
    <w:p>
      <w:pPr>
        <w:ind w:firstLine="420"/>
        <w:rPr>
          <w:rFonts w:ascii="宋体" w:hAnsi="宋体" w:cs="宋体"/>
          <w:szCs w:val="22"/>
        </w:rPr>
      </w:pPr>
      <w:r>
        <w:rPr>
          <w:rFonts w:hint="eastAsia" w:ascii="宋体" w:hAnsi="宋体" w:cs="宋体"/>
          <w:snapToGrid w:val="0"/>
          <w:kern w:val="0"/>
          <w:szCs w:val="22"/>
        </w:rPr>
        <w:t>2、投标人如果需要对报价或其它内容加以说明，可在备注栏填写。</w:t>
      </w:r>
    </w:p>
    <w:p>
      <w:pPr>
        <w:ind w:firstLine="420"/>
        <w:rPr>
          <w:rFonts w:ascii="宋体" w:hAnsi="宋体" w:cs="宋体"/>
          <w:b/>
          <w:szCs w:val="22"/>
        </w:rPr>
      </w:pPr>
      <w:r>
        <w:rPr>
          <w:rFonts w:hint="eastAsia" w:ascii="宋体" w:hAnsi="宋体" w:cs="宋体"/>
          <w:b/>
          <w:szCs w:val="22"/>
        </w:rPr>
        <w:t>3、开标一览表和投标文件（含正本和副本）应分开独立密封包装。开标一览表未按规定密封、签字、盖章将导致废标。</w:t>
      </w:r>
    </w:p>
    <w:p>
      <w:pPr>
        <w:snapToGrid w:val="0"/>
        <w:ind w:firstLine="411" w:firstLineChars="196"/>
        <w:rPr>
          <w:rFonts w:ascii="宋体" w:hAnsi="宋体" w:cs="宋体"/>
          <w:szCs w:val="21"/>
        </w:rPr>
      </w:pPr>
      <w:r>
        <w:rPr>
          <w:rFonts w:hint="eastAsia" w:ascii="宋体" w:hAnsi="宋体" w:cs="宋体"/>
          <w:szCs w:val="22"/>
        </w:rPr>
        <w:t>4、</w:t>
      </w:r>
      <w:r>
        <w:rPr>
          <w:rFonts w:hint="eastAsia" w:ascii="宋体" w:hAnsi="宋体" w:cs="宋体"/>
          <w:szCs w:val="21"/>
        </w:rPr>
        <w:t>若开标一览表中大写金额和小写金额不一致的，以大写金额为准。</w:t>
      </w:r>
    </w:p>
    <w:p>
      <w:pPr>
        <w:snapToGrid w:val="0"/>
        <w:ind w:firstLine="411" w:firstLineChars="196"/>
        <w:rPr>
          <w:rFonts w:ascii="宋体" w:hAnsi="宋体" w:cs="宋体"/>
          <w:szCs w:val="21"/>
        </w:rPr>
      </w:pPr>
    </w:p>
    <w:p>
      <w:pPr>
        <w:ind w:firstLine="420"/>
        <w:rPr>
          <w:rFonts w:ascii="宋体" w:hAnsi="宋体" w:cs="宋体"/>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法定代表人或被授权人签名：</w:t>
      </w:r>
    </w:p>
    <w:p>
      <w:pPr>
        <w:ind w:right="2100" w:rightChars="1000"/>
        <w:jc w:val="right"/>
        <w:rPr>
          <w:rFonts w:ascii="宋体" w:hAnsi="宋体" w:cs="宋体"/>
          <w:snapToGrid w:val="0"/>
          <w:kern w:val="0"/>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 xml:space="preserve">                         投标单位公章：</w:t>
      </w:r>
    </w:p>
    <w:p>
      <w:pPr>
        <w:pStyle w:val="10"/>
      </w:pPr>
    </w:p>
    <w:p>
      <w:pPr>
        <w:pStyle w:val="5"/>
        <w:jc w:val="center"/>
        <w:rPr>
          <w:rFonts w:cs="宋体"/>
          <w:bCs w:val="0"/>
          <w:kern w:val="0"/>
          <w:szCs w:val="28"/>
        </w:rPr>
      </w:pPr>
      <w:r>
        <w:rPr>
          <w:rFonts w:hint="eastAsia" w:cs="宋体"/>
          <w:bCs w:val="0"/>
          <w:kern w:val="0"/>
          <w:szCs w:val="28"/>
        </w:rPr>
        <w:t>一、法定代表人证明书</w:t>
      </w: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rPr>
          <w:rFonts w:ascii="宋体" w:hAnsi="宋体" w:cs="宋体"/>
          <w:szCs w:val="21"/>
        </w:rPr>
      </w:pPr>
      <w:r>
        <w:rPr>
          <w:rFonts w:hint="eastAsia" w:ascii="宋体" w:hAnsi="宋体" w:cs="宋体"/>
          <w:szCs w:val="21"/>
        </w:rPr>
        <w:t xml:space="preserve">有效日期：         签发日期：         单位：              </w:t>
      </w:r>
    </w:p>
    <w:p>
      <w:pPr>
        <w:spacing w:line="360" w:lineRule="auto"/>
        <w:rPr>
          <w:rFonts w:ascii="宋体" w:hAnsi="宋体" w:cs="宋体"/>
          <w:szCs w:val="21"/>
        </w:rPr>
      </w:pPr>
      <w:r>
        <w:rPr>
          <w:rFonts w:hint="eastAsia" w:ascii="宋体" w:hAnsi="宋体" w:cs="宋体"/>
          <w:szCs w:val="21"/>
        </w:rPr>
        <w:t>附：代表人性别：   年龄：      身份证号码：</w:t>
      </w:r>
    </w:p>
    <w:p>
      <w:pPr>
        <w:spacing w:line="360" w:lineRule="auto"/>
        <w:rPr>
          <w:rFonts w:ascii="宋体" w:hAnsi="宋体" w:cs="宋体"/>
          <w:szCs w:val="21"/>
        </w:rPr>
      </w:pPr>
      <w:r>
        <w:rPr>
          <w:rFonts w:hint="eastAsia" w:ascii="宋体" w:hAnsi="宋体" w:cs="宋体"/>
          <w:szCs w:val="21"/>
        </w:rPr>
        <w:t>营业执照号码：                 经济性质：</w:t>
      </w:r>
    </w:p>
    <w:p>
      <w:pPr>
        <w:spacing w:line="360" w:lineRule="auto"/>
        <w:rPr>
          <w:rFonts w:ascii="宋体" w:hAnsi="宋体" w:cs="宋体"/>
          <w:szCs w:val="21"/>
        </w:rPr>
      </w:pPr>
      <w:r>
        <w:rPr>
          <w:rFonts w:hint="eastAsia" w:ascii="宋体" w:hAnsi="宋体" w:cs="宋体"/>
          <w:szCs w:val="21"/>
        </w:rPr>
        <w:t>主营（产）：</w:t>
      </w:r>
    </w:p>
    <w:p>
      <w:pPr>
        <w:spacing w:line="360" w:lineRule="auto"/>
        <w:rPr>
          <w:rFonts w:ascii="宋体" w:hAnsi="宋体" w:cs="宋体"/>
          <w:szCs w:val="21"/>
        </w:rPr>
      </w:pPr>
      <w:r>
        <w:rPr>
          <w:rFonts w:hint="eastAsia" w:ascii="宋体" w:hAnsi="宋体" w:cs="宋体"/>
          <w:szCs w:val="21"/>
        </w:rPr>
        <w:t>兼营（产）：</w:t>
      </w:r>
    </w:p>
    <w:p>
      <w:pPr>
        <w:spacing w:line="360" w:lineRule="auto"/>
        <w:rPr>
          <w:rFonts w:ascii="宋体" w:hAnsi="宋体" w:cs="宋体"/>
          <w:szCs w:val="21"/>
        </w:rPr>
      </w:pPr>
      <w:r>
        <w:rPr>
          <w:rFonts w:hint="eastAsia" w:ascii="宋体" w:hAnsi="宋体" w:cs="宋体"/>
          <w:szCs w:val="21"/>
        </w:rPr>
        <w:t>进口物品经营许可证号码：</w:t>
      </w:r>
    </w:p>
    <w:p>
      <w:pPr>
        <w:spacing w:line="360" w:lineRule="auto"/>
        <w:rPr>
          <w:rFonts w:ascii="宋体" w:hAnsi="宋体" w:cs="宋体"/>
          <w:szCs w:val="21"/>
        </w:rPr>
      </w:pPr>
      <w:r>
        <w:rPr>
          <w:rFonts w:hint="eastAsia" w:ascii="宋体" w:hAnsi="宋体" w:cs="宋体"/>
          <w:szCs w:val="21"/>
        </w:rPr>
        <w:t>主营：</w:t>
      </w:r>
    </w:p>
    <w:p>
      <w:pPr>
        <w:spacing w:line="360" w:lineRule="auto"/>
        <w:rPr>
          <w:rFonts w:ascii="宋体" w:hAnsi="宋体" w:cs="宋体"/>
          <w:szCs w:val="21"/>
        </w:rPr>
      </w:pPr>
      <w:r>
        <w:rPr>
          <w:rFonts w:hint="eastAsia" w:ascii="宋体" w:hAnsi="宋体" w:cs="宋体"/>
          <w:szCs w:val="21"/>
        </w:rPr>
        <w:t>兼营：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pPr>
        <w:rPr>
          <w:rFonts w:ascii="宋体" w:hAnsi="宋体" w:cs="宋体"/>
          <w:szCs w:val="21"/>
        </w:rPr>
      </w:pPr>
      <w:r>
        <w:rPr>
          <w:rFonts w:hint="eastAsia" w:ascii="宋体" w:hAnsi="宋体" w:cs="宋体"/>
          <w:szCs w:val="21"/>
        </w:rPr>
        <w:t xml:space="preserve">      2、内容必须填写真实、清楚，涂改无效，不得转让、买卖。</w:t>
      </w:r>
    </w:p>
    <w:p>
      <w:pPr>
        <w:ind w:firstLine="630" w:firstLineChars="300"/>
        <w:rPr>
          <w:rFonts w:ascii="宋体" w:hAnsi="宋体" w:cs="宋体"/>
          <w:szCs w:val="21"/>
        </w:rPr>
      </w:pPr>
      <w:r>
        <w:rPr>
          <w:rFonts w:hint="eastAsia" w:ascii="宋体" w:hAnsi="宋体" w:cs="宋体"/>
          <w:szCs w:val="21"/>
        </w:rPr>
        <w:t>3. 本证明书要求投标人提供加盖公章后的原件方为有效。</w:t>
      </w:r>
    </w:p>
    <w:p>
      <w:pPr>
        <w:ind w:firstLine="630" w:firstLineChars="300"/>
        <w:rPr>
          <w:rFonts w:ascii="宋体" w:hAnsi="宋体" w:cs="宋体"/>
          <w:szCs w:val="21"/>
        </w:rPr>
      </w:pPr>
      <w:r>
        <w:rPr>
          <w:rFonts w:hint="eastAsia" w:ascii="宋体" w:hAnsi="宋体" w:cs="宋体"/>
          <w:szCs w:val="21"/>
        </w:rPr>
        <w:t>4. 须提供法定代表人的身份证复印件（附后）。</w:t>
      </w:r>
    </w:p>
    <w:p>
      <w:pPr>
        <w:rPr>
          <w:rFonts w:ascii="宋体" w:hAnsi="宋体" w:cs="宋体"/>
          <w:sz w:val="24"/>
        </w:rPr>
      </w:pPr>
    </w:p>
    <w:p>
      <w:pPr>
        <w:rPr>
          <w:rFonts w:ascii="宋体" w:hAnsi="宋体" w:cs="宋体"/>
          <w:sz w:val="24"/>
        </w:rPr>
      </w:pPr>
    </w:p>
    <w:p>
      <w:pPr>
        <w:rPr>
          <w:rFonts w:ascii="宋体" w:hAnsi="宋体" w:cs="宋体"/>
          <w:sz w:val="24"/>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二、投标文件签署授权委托书</w:t>
      </w:r>
    </w:p>
    <w:p>
      <w:pPr>
        <w:spacing w:line="360" w:lineRule="auto"/>
        <w:ind w:firstLine="420" w:firstLineChars="200"/>
        <w:rPr>
          <w:rFonts w:ascii="宋体" w:hAnsi="宋体" w:cs="宋体"/>
          <w:szCs w:val="21"/>
        </w:rPr>
      </w:pPr>
      <w:r>
        <w:rPr>
          <w:rFonts w:hint="eastAsia" w:ascii="宋体" w:hAnsi="宋体" w:cs="宋体"/>
          <w:szCs w:val="21"/>
        </w:rPr>
        <w:t>本授权委托书声明：我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（投标人名称）的法定代表人，现授权委托</w:t>
      </w:r>
      <w:r>
        <w:rPr>
          <w:rFonts w:hint="eastAsia" w:ascii="宋体" w:hAnsi="宋体" w:cs="宋体"/>
          <w:szCs w:val="21"/>
          <w:u w:val="single"/>
        </w:rPr>
        <w:t xml:space="preserve">                     </w:t>
      </w:r>
      <w:r>
        <w:rPr>
          <w:rFonts w:hint="eastAsia" w:ascii="宋体" w:hAnsi="宋体" w:cs="宋体"/>
          <w:szCs w:val="21"/>
        </w:rPr>
        <w:t>（单位名称）的</w:t>
      </w:r>
      <w:r>
        <w:rPr>
          <w:rFonts w:hint="eastAsia" w:ascii="宋体" w:hAnsi="宋体" w:cs="宋体"/>
          <w:szCs w:val="21"/>
          <w:u w:val="single"/>
        </w:rPr>
        <w:t xml:space="preserve">            </w:t>
      </w:r>
      <w:r>
        <w:rPr>
          <w:rFonts w:hint="eastAsia" w:ascii="宋体" w:hAnsi="宋体" w:cs="宋体"/>
          <w:szCs w:val="21"/>
        </w:rPr>
        <w:t>（姓名）为我公司签署本项目已递交的投标文件的法定代表人的授权委托代理人，代理人全权代表我所签署的本项目已递交的投标文件内容我均承认。</w:t>
      </w:r>
    </w:p>
    <w:p>
      <w:pPr>
        <w:spacing w:line="360" w:lineRule="auto"/>
        <w:ind w:firstLine="420"/>
        <w:rPr>
          <w:rFonts w:ascii="宋体" w:hAnsi="宋体" w:cs="宋体"/>
          <w:szCs w:val="21"/>
        </w:rPr>
      </w:pPr>
      <w:r>
        <w:rPr>
          <w:rFonts w:hint="eastAsia" w:ascii="宋体" w:hAnsi="宋体" w:cs="宋体"/>
          <w:szCs w:val="21"/>
        </w:rPr>
        <w:t>代理人无转委托权，特此委托。</w:t>
      </w:r>
    </w:p>
    <w:p>
      <w:pPr>
        <w:spacing w:line="360" w:lineRule="auto"/>
        <w:ind w:firstLine="420"/>
        <w:rPr>
          <w:rFonts w:ascii="宋体" w:hAnsi="宋体" w:cs="宋体"/>
          <w:szCs w:val="21"/>
        </w:rPr>
      </w:pPr>
    </w:p>
    <w:p>
      <w:pPr>
        <w:spacing w:line="360" w:lineRule="auto"/>
        <w:ind w:left="540" w:leftChars="257"/>
        <w:rPr>
          <w:rFonts w:ascii="宋体" w:hAnsi="宋体" w:cs="宋体"/>
          <w:szCs w:val="21"/>
          <w:u w:val="single"/>
        </w:rPr>
      </w:pPr>
      <w:r>
        <w:rPr>
          <w:rFonts w:hint="eastAsia" w:ascii="宋体" w:hAnsi="宋体" w:cs="宋体"/>
          <w:szCs w:val="21"/>
        </w:rPr>
        <w:t>代理人（签名）：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 xml:space="preserve">  手机：</w:t>
      </w:r>
      <w:r>
        <w:rPr>
          <w:rFonts w:hint="eastAsia" w:ascii="宋体" w:hAnsi="宋体" w:cs="宋体"/>
          <w:szCs w:val="21"/>
          <w:u w:val="single"/>
        </w:rPr>
        <w:t xml:space="preserve">                   </w:t>
      </w:r>
    </w:p>
    <w:p>
      <w:pPr>
        <w:spacing w:line="360" w:lineRule="auto"/>
        <w:ind w:left="540" w:leftChars="257"/>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法定代表人（签名）：</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授权委托日期：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w:t>
      </w:r>
      <w:r>
        <w:rPr>
          <w:rFonts w:hint="eastAsia" w:ascii="宋体" w:hAnsi="宋体" w:cs="宋体"/>
          <w:color w:val="FF0000"/>
          <w:szCs w:val="21"/>
        </w:rPr>
        <w:t>签字</w:t>
      </w:r>
      <w:r>
        <w:rPr>
          <w:rFonts w:hint="eastAsia" w:ascii="宋体" w:hAnsi="宋体" w:cs="宋体"/>
          <w:szCs w:val="21"/>
        </w:rPr>
        <w:t>、法定代表人的</w:t>
      </w:r>
      <w:r>
        <w:rPr>
          <w:rFonts w:hint="eastAsia" w:ascii="宋体" w:hAnsi="宋体" w:cs="宋体"/>
          <w:color w:val="FF0000"/>
          <w:szCs w:val="21"/>
        </w:rPr>
        <w:t>签字（或盖私章）</w:t>
      </w:r>
      <w:r>
        <w:rPr>
          <w:rFonts w:hint="eastAsia" w:ascii="宋体" w:hAnsi="宋体" w:cs="宋体"/>
          <w:szCs w:val="21"/>
        </w:rPr>
        <w:t>和加盖公章后的原件方为有效；</w:t>
      </w:r>
    </w:p>
    <w:p>
      <w:pPr>
        <w:spacing w:line="360" w:lineRule="auto"/>
        <w:ind w:firstLine="630" w:firstLineChars="300"/>
        <w:rPr>
          <w:rFonts w:ascii="宋体" w:hAnsi="宋体" w:cs="宋体"/>
          <w:szCs w:val="21"/>
        </w:rPr>
      </w:pPr>
      <w:r>
        <w:rPr>
          <w:rFonts w:hint="eastAsia" w:ascii="宋体" w:hAnsi="宋体" w:cs="宋体"/>
          <w:szCs w:val="21"/>
        </w:rPr>
        <w:t>2.提供代理人的身份证复印件及</w:t>
      </w:r>
      <w:r>
        <w:rPr>
          <w:rFonts w:hint="eastAsia" w:ascii="宋体" w:hAnsi="宋体" w:cs="宋体"/>
          <w:color w:val="FF0000"/>
          <w:szCs w:val="21"/>
        </w:rPr>
        <w:t>投标人为代理人缴交的最近3个月社保证明（网页截图或窗口打印资料或社保部门出具的证明均可）</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三、投标承诺函</w:t>
      </w:r>
    </w:p>
    <w:p>
      <w:pPr>
        <w:pStyle w:val="5"/>
        <w:ind w:firstLine="3373" w:firstLineChars="1200"/>
        <w:rPr>
          <w:rFonts w:cs="宋体"/>
          <w:bCs w:val="0"/>
          <w:szCs w:val="28"/>
        </w:rPr>
      </w:pPr>
      <w:r>
        <w:rPr>
          <w:rFonts w:hint="eastAsia" w:cs="宋体"/>
          <w:bCs w:val="0"/>
          <w:szCs w:val="28"/>
        </w:rPr>
        <w:t>（一）投标函</w:t>
      </w:r>
    </w:p>
    <w:p>
      <w:pPr>
        <w:spacing w:line="360" w:lineRule="auto"/>
        <w:rPr>
          <w:rFonts w:ascii="宋体" w:hAnsi="宋体" w:cs="宋体"/>
          <w:sz w:val="22"/>
          <w:szCs w:val="22"/>
        </w:rPr>
      </w:pPr>
      <w:r>
        <w:rPr>
          <w:rFonts w:hint="eastAsia" w:ascii="宋体" w:hAnsi="宋体" w:cs="宋体"/>
          <w:sz w:val="22"/>
          <w:szCs w:val="22"/>
        </w:rPr>
        <w:t>致：</w:t>
      </w:r>
      <w:r>
        <w:rPr>
          <w:rFonts w:hint="eastAsia" w:ascii="宋体" w:hAnsi="宋体" w:cs="宋体"/>
          <w:sz w:val="22"/>
          <w:szCs w:val="22"/>
          <w:u w:val="single"/>
        </w:rPr>
        <w:t xml:space="preserve">深圳市第一职业技术学校 </w:t>
      </w:r>
    </w:p>
    <w:p>
      <w:pPr>
        <w:numPr>
          <w:ilvl w:val="0"/>
          <w:numId w:val="9"/>
        </w:numPr>
        <w:spacing w:after="156" w:afterLines="50"/>
        <w:ind w:firstLine="440" w:firstLineChars="200"/>
        <w:rPr>
          <w:rFonts w:ascii="宋体" w:hAnsi="宋体" w:cs="宋体"/>
          <w:sz w:val="22"/>
          <w:szCs w:val="22"/>
        </w:rPr>
      </w:pPr>
      <w:r>
        <w:rPr>
          <w:rFonts w:hint="eastAsia" w:ascii="宋体" w:hAnsi="宋体" w:cs="宋体"/>
          <w:sz w:val="22"/>
          <w:szCs w:val="22"/>
        </w:rPr>
        <w:t>根据已收到贵方的</w:t>
      </w:r>
      <w:r>
        <w:rPr>
          <w:rFonts w:hint="eastAsia" w:ascii="宋体" w:hAnsi="宋体" w:cs="宋体"/>
          <w:sz w:val="22"/>
          <w:szCs w:val="22"/>
          <w:u w:val="single"/>
        </w:rPr>
        <w:t xml:space="preserve">                </w:t>
      </w:r>
      <w:r>
        <w:rPr>
          <w:rFonts w:hint="eastAsia" w:ascii="宋体" w:hAnsi="宋体" w:cs="宋体"/>
          <w:sz w:val="22"/>
          <w:szCs w:val="22"/>
        </w:rPr>
        <w:t>的项目的招标文件，遵照《深圳经济特区政府采购条例》和《深圳网上政府采购管理暂行办法》等有关规定，我单位经研究上述招标文件的专用条款及通用条款后，</w:t>
      </w:r>
      <w:r>
        <w:rPr>
          <w:rFonts w:hint="eastAsia" w:ascii="宋体" w:hAnsi="宋体" w:cs="宋体"/>
          <w:szCs w:val="21"/>
        </w:rPr>
        <w:t>我方愿以《开标一览表》中填写的投标报价并</w:t>
      </w:r>
      <w:r>
        <w:rPr>
          <w:rFonts w:hint="eastAsia" w:ascii="宋体" w:hAnsi="宋体" w:cs="宋体"/>
          <w:color w:val="FF0000"/>
          <w:szCs w:val="21"/>
        </w:rPr>
        <w:t>按招标文件要求</w:t>
      </w:r>
      <w:r>
        <w:rPr>
          <w:rFonts w:hint="eastAsia" w:ascii="宋体" w:hAnsi="宋体" w:cs="宋体"/>
          <w:szCs w:val="21"/>
        </w:rPr>
        <w:t>承包上述项目并修补其任何缺陷</w:t>
      </w:r>
      <w:r>
        <w:rPr>
          <w:rFonts w:hint="eastAsia" w:ascii="宋体" w:hAnsi="宋体" w:cs="宋体"/>
          <w:sz w:val="22"/>
          <w:szCs w:val="22"/>
        </w:rPr>
        <w:t>。</w:t>
      </w:r>
    </w:p>
    <w:p>
      <w:pPr>
        <w:spacing w:after="156" w:afterLines="50"/>
        <w:ind w:firstLine="440" w:firstLineChars="200"/>
        <w:rPr>
          <w:rFonts w:ascii="宋体" w:hAnsi="宋体" w:cs="宋体"/>
          <w:sz w:val="22"/>
          <w:szCs w:val="22"/>
        </w:rPr>
      </w:pPr>
      <w:r>
        <w:rPr>
          <w:rFonts w:hint="eastAsia" w:ascii="宋体" w:hAnsi="宋体" w:cs="宋体"/>
          <w:sz w:val="22"/>
          <w:szCs w:val="22"/>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3、在本项目投标过程中不弄虚作假，不隐瞒真实情况，不围标串标，不恶意质疑投诉。我公司已清楚违反上述要求的后果。</w:t>
      </w:r>
    </w:p>
    <w:p>
      <w:pPr>
        <w:spacing w:after="156" w:afterLines="50"/>
        <w:ind w:firstLine="440" w:firstLineChars="200"/>
        <w:rPr>
          <w:rFonts w:ascii="宋体" w:hAnsi="宋体" w:cs="宋体"/>
          <w:sz w:val="22"/>
          <w:szCs w:val="22"/>
        </w:rPr>
      </w:pPr>
      <w:r>
        <w:rPr>
          <w:rFonts w:hint="eastAsia" w:ascii="宋体" w:hAnsi="宋体" w:cs="宋体"/>
          <w:sz w:val="22"/>
          <w:szCs w:val="22"/>
        </w:rPr>
        <w:t>4、在本项目招标过程中，评标委员会若对投标人进行现场勘察或实地考察或检验有关证明材料的原件，我公司将随时做好接受检查的准备。</w:t>
      </w:r>
    </w:p>
    <w:p>
      <w:pPr>
        <w:spacing w:after="156" w:afterLines="50"/>
        <w:ind w:firstLine="440" w:firstLineChars="200"/>
        <w:rPr>
          <w:rFonts w:ascii="宋体" w:hAnsi="宋体" w:cs="宋体"/>
          <w:sz w:val="22"/>
          <w:szCs w:val="22"/>
        </w:rPr>
      </w:pPr>
      <w:r>
        <w:rPr>
          <w:rFonts w:hint="eastAsia" w:ascii="宋体" w:hAnsi="宋体" w:cs="宋体"/>
          <w:sz w:val="22"/>
          <w:szCs w:val="22"/>
        </w:rPr>
        <w:t>5、我方承诺所投标（响应）的货物、工程或服务，不存在侵犯知识产权的情况；已知悉并同意中标（成交）结果信息公示（公开）的内容。</w:t>
      </w:r>
    </w:p>
    <w:p>
      <w:pPr>
        <w:spacing w:after="156" w:afterLines="50"/>
        <w:ind w:firstLine="411" w:firstLineChars="196"/>
        <w:rPr>
          <w:rFonts w:ascii="宋体" w:hAnsi="宋体" w:cs="宋体"/>
          <w:szCs w:val="21"/>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投标人：                       单位地址：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法定代表人或其委托代理人：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邮政编码：            电话：            传真：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日期：       年     月    日                                </w:t>
      </w: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sz w:val="28"/>
          <w:szCs w:val="28"/>
        </w:rPr>
      </w:pPr>
      <w:r>
        <w:rPr>
          <w:rFonts w:hint="eastAsia" w:ascii="宋体" w:hAnsi="宋体" w:cs="宋体"/>
          <w:b/>
          <w:bCs/>
          <w:sz w:val="28"/>
          <w:szCs w:val="28"/>
        </w:rPr>
        <w:t>（二）政府采购投标及履约承诺函</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致：深圳市第一职业技术学校</w:t>
      </w:r>
    </w:p>
    <w:p>
      <w:pPr>
        <w:spacing w:after="156" w:afterLines="50"/>
        <w:ind w:firstLine="440" w:firstLineChars="200"/>
        <w:rPr>
          <w:rFonts w:ascii="宋体" w:hAnsi="宋体" w:cs="宋体"/>
          <w:sz w:val="22"/>
          <w:szCs w:val="22"/>
        </w:rPr>
      </w:pPr>
      <w:r>
        <w:rPr>
          <w:rFonts w:hint="eastAsia" w:ascii="宋体" w:hAnsi="宋体" w:cs="宋体"/>
          <w:sz w:val="22"/>
          <w:szCs w:val="22"/>
        </w:rPr>
        <w:t>我单位承诺：</w:t>
      </w:r>
    </w:p>
    <w:p>
      <w:pPr>
        <w:spacing w:after="156" w:afterLines="50"/>
        <w:ind w:firstLine="440" w:firstLineChars="200"/>
        <w:rPr>
          <w:rFonts w:ascii="宋体" w:hAnsi="宋体" w:cs="宋体"/>
          <w:sz w:val="22"/>
          <w:szCs w:val="22"/>
        </w:rPr>
      </w:pPr>
      <w:r>
        <w:rPr>
          <w:rFonts w:hint="eastAsia" w:ascii="宋体" w:hAnsi="宋体" w:cs="宋体"/>
          <w:sz w:val="22"/>
          <w:szCs w:val="22"/>
        </w:rPr>
        <w:t>1.我单位参与本项目所投标（响应）的货物、工程或服务，不存在侵犯知识产权的情况；已知悉并同意中标（成交）结果信息公示（公开）的内容。</w:t>
      </w:r>
    </w:p>
    <w:p>
      <w:pPr>
        <w:spacing w:after="156" w:afterLines="50"/>
        <w:ind w:firstLine="440" w:firstLineChars="200"/>
        <w:rPr>
          <w:rFonts w:ascii="宋体" w:hAnsi="宋体" w:cs="宋体"/>
          <w:sz w:val="22"/>
          <w:szCs w:val="22"/>
        </w:rPr>
      </w:pPr>
      <w:r>
        <w:rPr>
          <w:rFonts w:hint="eastAsia" w:ascii="宋体" w:hAnsi="宋体" w:cs="宋体"/>
          <w:sz w:val="22"/>
          <w:szCs w:val="22"/>
        </w:rPr>
        <w:t>2.我单位参与本项目投标前三年内，在经营活动中没有重大违法记录。</w:t>
      </w:r>
    </w:p>
    <w:p>
      <w:pPr>
        <w:spacing w:after="156" w:afterLines="50"/>
        <w:ind w:firstLine="440" w:firstLineChars="200"/>
        <w:rPr>
          <w:rFonts w:ascii="宋体" w:hAnsi="宋体" w:cs="宋体"/>
          <w:sz w:val="22"/>
          <w:szCs w:val="22"/>
        </w:rPr>
      </w:pPr>
      <w:r>
        <w:rPr>
          <w:rFonts w:hint="eastAsia" w:ascii="宋体" w:hAnsi="宋体" w:cs="宋体"/>
          <w:sz w:val="22"/>
          <w:szCs w:val="22"/>
        </w:rPr>
        <w:t>3.我单位参与本项目政府采购活动时不存在被有关部门禁止参与政府采购活动且在有效期内的情况。</w:t>
      </w:r>
    </w:p>
    <w:p>
      <w:pPr>
        <w:spacing w:after="156" w:afterLines="50"/>
        <w:ind w:firstLine="440" w:firstLineChars="200"/>
        <w:rPr>
          <w:rFonts w:ascii="宋体" w:hAnsi="宋体" w:cs="宋体"/>
          <w:sz w:val="22"/>
          <w:szCs w:val="22"/>
        </w:rPr>
      </w:pPr>
      <w:r>
        <w:rPr>
          <w:rFonts w:hint="eastAsia" w:ascii="宋体" w:hAnsi="宋体" w:cs="宋体"/>
          <w:sz w:val="22"/>
          <w:szCs w:val="22"/>
        </w:rPr>
        <w:t>4.我单位具备《中华人民共和国政府采购法》第二十二条第一款规定的六项条件。</w:t>
      </w:r>
    </w:p>
    <w:p>
      <w:pPr>
        <w:spacing w:after="156" w:afterLines="50"/>
        <w:ind w:firstLine="440" w:firstLineChars="200"/>
        <w:rPr>
          <w:rFonts w:ascii="宋体" w:hAnsi="宋体" w:cs="宋体"/>
          <w:sz w:val="22"/>
          <w:szCs w:val="22"/>
        </w:rPr>
      </w:pPr>
      <w:r>
        <w:rPr>
          <w:rFonts w:hint="eastAsia" w:ascii="宋体" w:hAnsi="宋体" w:cs="宋体"/>
          <w:sz w:val="22"/>
          <w:szCs w:val="22"/>
        </w:rPr>
        <w:t>5.我单位未被列入失信被执行人、重大税收违法案件当事人名单、政府采购严重违法失信行为记录名单。</w:t>
      </w:r>
    </w:p>
    <w:p>
      <w:pPr>
        <w:spacing w:after="156" w:afterLines="50"/>
        <w:ind w:firstLine="440" w:firstLineChars="200"/>
        <w:rPr>
          <w:rFonts w:ascii="宋体" w:hAnsi="宋体" w:cs="宋体"/>
          <w:sz w:val="22"/>
          <w:szCs w:val="22"/>
        </w:rPr>
      </w:pPr>
      <w:r>
        <w:rPr>
          <w:rFonts w:hint="eastAsia" w:ascii="宋体" w:hAnsi="宋体" w:cs="宋体"/>
          <w:sz w:val="22"/>
          <w:szCs w:val="22"/>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after="156" w:afterLines="50"/>
        <w:ind w:firstLine="440" w:firstLineChars="200"/>
        <w:rPr>
          <w:rFonts w:ascii="宋体" w:hAnsi="宋体" w:cs="宋体"/>
          <w:sz w:val="22"/>
          <w:szCs w:val="22"/>
        </w:rPr>
      </w:pPr>
      <w:r>
        <w:rPr>
          <w:rFonts w:hint="eastAsia" w:ascii="宋体" w:hAnsi="宋体" w:cs="宋体"/>
          <w:sz w:val="22"/>
          <w:szCs w:val="22"/>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after="156" w:afterLines="50"/>
        <w:ind w:firstLine="440" w:firstLineChars="200"/>
        <w:rPr>
          <w:rFonts w:ascii="宋体" w:hAnsi="宋体" w:cs="宋体"/>
          <w:sz w:val="22"/>
          <w:szCs w:val="22"/>
        </w:rPr>
      </w:pPr>
      <w:r>
        <w:rPr>
          <w:rFonts w:hint="eastAsia" w:ascii="宋体" w:hAnsi="宋体" w:cs="宋体"/>
          <w:sz w:val="22"/>
          <w:szCs w:val="22"/>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after="156" w:afterLines="50"/>
        <w:ind w:firstLine="440" w:firstLineChars="200"/>
        <w:rPr>
          <w:rFonts w:ascii="宋体" w:hAnsi="宋体" w:cs="宋体"/>
          <w:sz w:val="22"/>
          <w:szCs w:val="22"/>
        </w:rPr>
      </w:pPr>
      <w:r>
        <w:rPr>
          <w:rFonts w:hint="eastAsia" w:ascii="宋体" w:hAnsi="宋体" w:cs="宋体"/>
          <w:sz w:val="22"/>
          <w:szCs w:val="22"/>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9.我单位承诺中标后项目不转包，未经采购人同意不进行分包。</w:t>
      </w:r>
    </w:p>
    <w:p>
      <w:pPr>
        <w:spacing w:after="156" w:afterLines="50"/>
        <w:ind w:firstLine="440" w:firstLineChars="200"/>
        <w:rPr>
          <w:rFonts w:ascii="宋体" w:hAnsi="宋体" w:cs="宋体"/>
          <w:sz w:val="22"/>
          <w:szCs w:val="22"/>
        </w:rPr>
      </w:pPr>
      <w:r>
        <w:rPr>
          <w:rFonts w:hint="eastAsia" w:ascii="宋体" w:hAnsi="宋体" w:cs="宋体"/>
          <w:sz w:val="22"/>
          <w:szCs w:val="22"/>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after="156" w:afterLines="50"/>
        <w:ind w:firstLine="440" w:firstLineChars="200"/>
        <w:rPr>
          <w:rFonts w:ascii="宋体" w:hAnsi="宋体" w:cs="宋体"/>
          <w:sz w:val="22"/>
          <w:szCs w:val="22"/>
        </w:rPr>
      </w:pPr>
      <w:r>
        <w:rPr>
          <w:rFonts w:hint="eastAsia" w:ascii="宋体" w:hAnsi="宋体" w:cs="宋体"/>
          <w:sz w:val="22"/>
          <w:szCs w:val="22"/>
        </w:rPr>
        <w:t>11.我单位保证，若所投货物涉及《财政部生态环境部关于印发节能产品政府采购品目清单的通知》（财库〔2019〕19号）列明的政府采购强制产品，则所投该产品符合节能产品的认证要求。</w:t>
      </w:r>
    </w:p>
    <w:p>
      <w:pPr>
        <w:spacing w:after="156" w:afterLines="50"/>
        <w:ind w:firstLine="440" w:firstLineChars="200"/>
        <w:rPr>
          <w:rFonts w:ascii="宋体" w:hAnsi="宋体" w:cs="宋体"/>
          <w:sz w:val="22"/>
          <w:szCs w:val="22"/>
        </w:rPr>
      </w:pPr>
      <w:r>
        <w:rPr>
          <w:rFonts w:hint="eastAsia" w:ascii="宋体" w:hAnsi="宋体" w:cs="宋体"/>
          <w:sz w:val="22"/>
          <w:szCs w:val="22"/>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after="156" w:afterLines="50"/>
        <w:ind w:firstLine="440" w:firstLineChars="200"/>
        <w:rPr>
          <w:rFonts w:ascii="宋体" w:hAnsi="宋体" w:cs="宋体"/>
          <w:sz w:val="22"/>
          <w:szCs w:val="22"/>
        </w:rPr>
      </w:pPr>
      <w:r>
        <w:rPr>
          <w:rFonts w:hint="eastAsia" w:ascii="宋体" w:hAnsi="宋体" w:cs="宋体"/>
          <w:sz w:val="22"/>
          <w:szCs w:val="22"/>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after="156" w:afterLines="50"/>
        <w:ind w:firstLine="440" w:firstLineChars="200"/>
        <w:rPr>
          <w:rFonts w:ascii="宋体" w:hAnsi="宋体" w:cs="宋体"/>
          <w:sz w:val="22"/>
          <w:szCs w:val="22"/>
        </w:rPr>
      </w:pPr>
      <w:r>
        <w:rPr>
          <w:rFonts w:hint="eastAsia" w:ascii="宋体" w:hAnsi="宋体" w:cs="宋体"/>
          <w:sz w:val="22"/>
          <w:szCs w:val="22"/>
        </w:rPr>
        <w:t>以上承诺，如有违反，愿依照国家相关法律法规处理，并承担由此给采购人带来的损失。</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投标人：</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日期：</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年</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月</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日</w:t>
      </w:r>
    </w:p>
    <w:p>
      <w:pPr>
        <w:spacing w:after="156" w:afterLines="50"/>
        <w:ind w:firstLine="440" w:firstLineChars="200"/>
        <w:rPr>
          <w:rFonts w:ascii="宋体" w:hAnsi="宋体" w:cs="宋体"/>
          <w:sz w:val="22"/>
          <w:szCs w:val="22"/>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四、投标人情况介绍</w:t>
      </w:r>
    </w:p>
    <w:p>
      <w:pPr>
        <w:spacing w:after="156" w:afterLines="50"/>
        <w:rPr>
          <w:rFonts w:ascii="宋体" w:hAnsi="宋体" w:cs="宋体"/>
          <w:b/>
          <w:bCs/>
          <w:sz w:val="24"/>
        </w:rPr>
      </w:pPr>
      <w:r>
        <w:rPr>
          <w:rFonts w:hint="eastAsia" w:ascii="宋体" w:hAnsi="宋体" w:cs="宋体"/>
          <w:b/>
          <w:bCs/>
          <w:sz w:val="24"/>
        </w:rPr>
        <w:t>（一）投标人资格要求的证明文件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（1）营业执照（或单位法人登记证等）复印件；</w:t>
      </w:r>
    </w:p>
    <w:p>
      <w:pPr>
        <w:spacing w:after="156" w:afterLines="50"/>
        <w:ind w:firstLine="440" w:firstLineChars="200"/>
        <w:rPr>
          <w:rFonts w:ascii="宋体" w:hAnsi="宋体" w:cs="宋体"/>
          <w:sz w:val="22"/>
          <w:szCs w:val="22"/>
        </w:rPr>
      </w:pPr>
      <w:r>
        <w:rPr>
          <w:rFonts w:hint="eastAsia" w:ascii="宋体" w:hAnsi="宋体" w:cs="宋体"/>
          <w:sz w:val="22"/>
          <w:szCs w:val="22"/>
        </w:rPr>
        <w:t>（2）具有相关经营范围并合法经营的证明文件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（提供深圳信用网https://www.szcredit.com.cn/查询原件并加盖公章，或信用中国查询证明文件并加盖公章和市场监督管理局关于经营范围的截图。）</w:t>
      </w:r>
    </w:p>
    <w:p>
      <w:pPr>
        <w:outlineLvl w:val="3"/>
        <w:rPr>
          <w:rFonts w:ascii="宋体" w:hAnsi="宋体" w:cs="宋体"/>
          <w:b/>
          <w:bCs/>
          <w:sz w:val="24"/>
        </w:rPr>
      </w:pPr>
      <w:r>
        <w:rPr>
          <w:rFonts w:hint="eastAsia" w:ascii="宋体" w:hAnsi="宋体" w:cs="宋体"/>
          <w:b/>
          <w:bCs/>
          <w:sz w:val="24"/>
        </w:rPr>
        <w:t>（二）近三年同类业绩</w:t>
      </w:r>
    </w:p>
    <w:tbl>
      <w:tblPr>
        <w:tblStyle w:val="14"/>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20"/>
        <w:gridCol w:w="1548"/>
        <w:gridCol w:w="1464"/>
        <w:gridCol w:w="1263"/>
        <w:gridCol w:w="14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6"/>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r>
              <w:rPr>
                <w:rFonts w:hint="eastAsia" w:ascii="宋体" w:hAnsi="宋体" w:cs="宋体"/>
                <w:szCs w:val="21"/>
              </w:rPr>
              <w:t>采购人</w:t>
            </w:r>
          </w:p>
        </w:tc>
        <w:tc>
          <w:tcPr>
            <w:tcW w:w="1820" w:type="dxa"/>
            <w:vAlign w:val="center"/>
          </w:tcPr>
          <w:p>
            <w:pPr>
              <w:rPr>
                <w:rFonts w:ascii="宋体" w:hAnsi="宋体" w:cs="宋体"/>
                <w:szCs w:val="21"/>
              </w:rPr>
            </w:pPr>
            <w:r>
              <w:rPr>
                <w:rFonts w:hint="eastAsia" w:ascii="宋体" w:hAnsi="宋体" w:cs="宋体"/>
                <w:szCs w:val="21"/>
              </w:rPr>
              <w:t>项目名称</w:t>
            </w:r>
          </w:p>
        </w:tc>
        <w:tc>
          <w:tcPr>
            <w:tcW w:w="1548" w:type="dxa"/>
            <w:vAlign w:val="center"/>
          </w:tcPr>
          <w:p>
            <w:pPr>
              <w:rPr>
                <w:rFonts w:ascii="宋体" w:hAnsi="宋体" w:cs="宋体"/>
                <w:szCs w:val="21"/>
              </w:rPr>
            </w:pPr>
            <w:r>
              <w:rPr>
                <w:rFonts w:hint="eastAsia" w:ascii="宋体" w:hAnsi="宋体" w:cs="宋体"/>
                <w:szCs w:val="21"/>
              </w:rPr>
              <w:t>项目规模（金额）</w:t>
            </w:r>
          </w:p>
        </w:tc>
        <w:tc>
          <w:tcPr>
            <w:tcW w:w="1464" w:type="dxa"/>
            <w:vAlign w:val="center"/>
          </w:tcPr>
          <w:p>
            <w:pPr>
              <w:rPr>
                <w:rFonts w:ascii="宋体" w:hAnsi="宋体" w:cs="宋体"/>
                <w:szCs w:val="21"/>
              </w:rPr>
            </w:pPr>
            <w:r>
              <w:rPr>
                <w:rFonts w:hint="eastAsia" w:ascii="宋体" w:hAnsi="宋体" w:cs="宋体"/>
                <w:szCs w:val="21"/>
              </w:rPr>
              <w:t>合同签订日期</w:t>
            </w:r>
          </w:p>
        </w:tc>
        <w:tc>
          <w:tcPr>
            <w:tcW w:w="1263" w:type="dxa"/>
            <w:vAlign w:val="center"/>
          </w:tcPr>
          <w:p>
            <w:pPr>
              <w:rPr>
                <w:rFonts w:ascii="宋体" w:hAnsi="宋体" w:cs="宋体"/>
                <w:szCs w:val="21"/>
              </w:rPr>
            </w:pPr>
            <w:r>
              <w:rPr>
                <w:rFonts w:hint="eastAsia" w:ascii="宋体" w:hAnsi="宋体" w:cs="宋体"/>
                <w:szCs w:val="21"/>
              </w:rPr>
              <w:t>履约验收时间</w:t>
            </w:r>
          </w:p>
        </w:tc>
        <w:tc>
          <w:tcPr>
            <w:tcW w:w="1418" w:type="dxa"/>
            <w:vAlign w:val="center"/>
          </w:tcPr>
          <w:p>
            <w:pPr>
              <w:rPr>
                <w:rFonts w:ascii="宋体" w:hAnsi="宋体" w:cs="宋体"/>
                <w:szCs w:val="21"/>
              </w:rPr>
            </w:pPr>
            <w:r>
              <w:rPr>
                <w:rFonts w:hint="eastAsia" w:ascii="宋体" w:hAnsi="宋体" w:cs="宋体"/>
                <w:szCs w:val="21"/>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bl>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注：需递交上述项目的证明材料（中标通知书或合同关键页、履约验收报告）复印件（加盖公章），原件备查。</w:t>
      </w:r>
    </w:p>
    <w:p/>
    <w:p>
      <w:pPr>
        <w:outlineLvl w:val="3"/>
        <w:rPr>
          <w:rFonts w:ascii="宋体" w:hAnsi="宋体" w:cs="宋体"/>
          <w:b/>
          <w:sz w:val="24"/>
        </w:rPr>
      </w:pPr>
      <w:r>
        <w:rPr>
          <w:rFonts w:hint="eastAsia" w:ascii="宋体" w:hAnsi="宋体" w:cs="宋体"/>
          <w:b/>
          <w:sz w:val="24"/>
        </w:rPr>
        <w:t>（三）投标人认为需提供的其他证明文件</w:t>
      </w:r>
    </w:p>
    <w:p>
      <w:pPr>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提供招标公告和评标信息中关于投标人的其他相关证明文件（如评标信息中涉及的各种证件（身份证除外）、设备发票等，未涉及的可以不提供）</w:t>
      </w:r>
    </w:p>
    <w:p>
      <w:pPr>
        <w:rPr>
          <w:rFonts w:ascii="宋体" w:hAnsi="宋体" w:cs="宋体"/>
          <w:sz w:val="24"/>
        </w:rPr>
      </w:pPr>
    </w:p>
    <w:p>
      <w:pPr>
        <w:pStyle w:val="5"/>
        <w:jc w:val="center"/>
        <w:rPr>
          <w:rFonts w:hint="eastAsia" w:cs="宋体"/>
          <w:bCs w:val="0"/>
          <w:szCs w:val="28"/>
        </w:rPr>
      </w:pPr>
      <w:r>
        <w:rPr>
          <w:rFonts w:hint="eastAsia" w:cs="宋体"/>
          <w:bCs w:val="0"/>
          <w:szCs w:val="28"/>
        </w:rPr>
        <w:t>五、分项报价清单</w:t>
      </w:r>
    </w:p>
    <w:p>
      <w:r>
        <w:rPr>
          <w:rFonts w:hint="eastAsia"/>
        </w:rPr>
        <w:t>格式详见附件招标清单</w:t>
      </w:r>
    </w:p>
    <w:p>
      <w:pPr>
        <w:pStyle w:val="5"/>
        <w:jc w:val="center"/>
        <w:rPr>
          <w:rFonts w:cs="宋体"/>
          <w:bCs w:val="0"/>
          <w:szCs w:val="28"/>
        </w:rPr>
      </w:pPr>
      <w:r>
        <w:rPr>
          <w:rFonts w:hint="eastAsia" w:cs="宋体"/>
          <w:bCs w:val="0"/>
          <w:szCs w:val="28"/>
        </w:rPr>
        <w:t>六、商务需求偏离表</w:t>
      </w:r>
    </w:p>
    <w:p>
      <w:pPr>
        <w:rPr>
          <w:rFonts w:ascii="宋体" w:hAnsi="宋体" w:cs="宋体"/>
          <w:b/>
          <w:szCs w:val="21"/>
        </w:rPr>
      </w:pPr>
    </w:p>
    <w:p>
      <w:pPr>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rPr>
          <w:rFonts w:ascii="宋体" w:hAnsi="宋体" w:cs="宋体"/>
          <w:szCs w:val="21"/>
        </w:rPr>
      </w:pPr>
    </w:p>
    <w:tbl>
      <w:tblPr>
        <w:tblStyle w:val="14"/>
        <w:tblpPr w:leftFromText="180" w:rightFromText="180" w:vertAnchor="text" w:tblpXSpec="lef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序号</w:t>
            </w:r>
          </w:p>
        </w:tc>
        <w:tc>
          <w:tcPr>
            <w:tcW w:w="10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目录</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招标商务条款</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响应商务条款</w:t>
            </w:r>
          </w:p>
        </w:tc>
        <w:tc>
          <w:tcPr>
            <w:tcW w:w="144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偏离情况</w:t>
            </w:r>
          </w:p>
        </w:tc>
        <w:tc>
          <w:tcPr>
            <w:tcW w:w="1164"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1</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2</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1.“商务需求”一栏必须填写采购文件第二章“商务需求”的内容分别对应的内容进行填写。</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2.“投标商务条款”一栏必须详细填写投标商务条款的内容。</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3.“偏离情况”栏中应如实填写“正偏离”、“负偏离”或“无偏离”。</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3.交货期条款为不可负偏离条款，投标文件响应为“负偏离”的，投标文件将按废标处理。</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4.开标一览表中填写的“交货期”必须与本表填写的“交货期”一致。如填写不一致，以开标一览表填写的“交货期”为准。</w:t>
      </w:r>
    </w:p>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 </w:t>
      </w:r>
    </w:p>
    <w:p>
      <w:pPr>
        <w:rPr>
          <w:rFonts w:ascii="宋体" w:hAnsi="宋体" w:cs="宋体"/>
        </w:rPr>
      </w:pPr>
    </w:p>
    <w:p>
      <w:pPr>
        <w:pStyle w:val="5"/>
        <w:jc w:val="center"/>
        <w:rPr>
          <w:rFonts w:hint="eastAsia" w:cs="宋体"/>
          <w:kern w:val="0"/>
          <w:szCs w:val="28"/>
        </w:rPr>
      </w:pPr>
      <w:r>
        <w:rPr>
          <w:rFonts w:hint="eastAsia" w:cs="宋体"/>
          <w:kern w:val="0"/>
          <w:szCs w:val="28"/>
        </w:rPr>
        <w:t>七、项目总体概述及理解</w:t>
      </w:r>
    </w:p>
    <w:p>
      <w:pPr>
        <w:pStyle w:val="5"/>
        <w:jc w:val="center"/>
        <w:rPr>
          <w:rFonts w:hint="eastAsia" w:cs="宋体"/>
          <w:kern w:val="0"/>
          <w:szCs w:val="28"/>
        </w:rPr>
      </w:pPr>
      <w:r>
        <w:rPr>
          <w:rFonts w:hint="eastAsia" w:cs="宋体"/>
          <w:kern w:val="0"/>
          <w:szCs w:val="28"/>
        </w:rPr>
        <w:t>八、施工组织计划、施工技术、施工工艺及相关的合理化建议</w:t>
      </w:r>
    </w:p>
    <w:p>
      <w:pPr>
        <w:pStyle w:val="5"/>
        <w:jc w:val="center"/>
        <w:rPr>
          <w:rFonts w:hint="eastAsia" w:cs="宋体"/>
          <w:kern w:val="0"/>
          <w:szCs w:val="28"/>
        </w:rPr>
      </w:pPr>
      <w:r>
        <w:rPr>
          <w:rFonts w:hint="eastAsia" w:cs="宋体"/>
          <w:kern w:val="0"/>
          <w:szCs w:val="28"/>
        </w:rPr>
        <w:t>九、项目实施关键施工技术（重点难点）分析及解决方案</w:t>
      </w:r>
    </w:p>
    <w:p>
      <w:pPr>
        <w:pStyle w:val="5"/>
        <w:jc w:val="center"/>
        <w:rPr>
          <w:rFonts w:hint="eastAsia" w:cs="宋体"/>
          <w:kern w:val="0"/>
          <w:szCs w:val="28"/>
        </w:rPr>
      </w:pPr>
      <w:r>
        <w:rPr>
          <w:rFonts w:hint="eastAsia" w:cs="宋体"/>
          <w:kern w:val="0"/>
          <w:szCs w:val="28"/>
        </w:rPr>
        <w:t>十、施工质量（安全、环保、工期、售后服务）保障措施及相关的违约承诺</w:t>
      </w:r>
    </w:p>
    <w:p>
      <w:pPr>
        <w:pStyle w:val="5"/>
        <w:jc w:val="center"/>
        <w:rPr>
          <w:rFonts w:cs="宋体"/>
          <w:kern w:val="0"/>
          <w:szCs w:val="28"/>
        </w:rPr>
      </w:pPr>
      <w:r>
        <w:rPr>
          <w:rFonts w:hint="eastAsia" w:cs="宋体"/>
          <w:kern w:val="0"/>
          <w:szCs w:val="28"/>
        </w:rPr>
        <w:t>十一、项目使用的材料性能、劳动力、机械设备、材料投入计划及其保证措施</w:t>
      </w:r>
    </w:p>
    <w:p>
      <w:pPr>
        <w:pStyle w:val="5"/>
        <w:jc w:val="center"/>
        <w:rPr>
          <w:rFonts w:hint="eastAsia" w:cs="宋体"/>
          <w:kern w:val="0"/>
          <w:szCs w:val="28"/>
        </w:rPr>
      </w:pPr>
      <w:r>
        <w:rPr>
          <w:rFonts w:hint="eastAsia" w:cs="宋体"/>
          <w:kern w:val="0"/>
          <w:szCs w:val="28"/>
        </w:rPr>
        <w:t>十二、拟投入劳动力（项目经理、技术人员、管理班子）情况</w:t>
      </w:r>
    </w:p>
    <w:p>
      <w:pPr>
        <w:pStyle w:val="5"/>
        <w:jc w:val="center"/>
        <w:rPr>
          <w:rFonts w:hint="eastAsia" w:cs="宋体"/>
          <w:kern w:val="0"/>
          <w:szCs w:val="28"/>
        </w:rPr>
      </w:pPr>
      <w:r>
        <w:rPr>
          <w:rFonts w:hint="eastAsia" w:cs="宋体"/>
          <w:kern w:val="0"/>
          <w:szCs w:val="28"/>
        </w:rPr>
        <w:t>十三、获奖情况</w:t>
      </w:r>
    </w:p>
    <w:p>
      <w:pPr>
        <w:pStyle w:val="5"/>
        <w:jc w:val="center"/>
        <w:rPr>
          <w:rFonts w:hint="eastAsia" w:cs="宋体"/>
          <w:kern w:val="0"/>
          <w:szCs w:val="28"/>
        </w:rPr>
      </w:pPr>
      <w:r>
        <w:rPr>
          <w:rFonts w:hint="eastAsia" w:cs="宋体"/>
          <w:kern w:val="0"/>
          <w:szCs w:val="28"/>
        </w:rPr>
        <w:t>十四、服务网点</w:t>
      </w:r>
    </w:p>
    <w:p>
      <w:pPr>
        <w:pStyle w:val="5"/>
        <w:jc w:val="center"/>
        <w:rPr>
          <w:rFonts w:hint="eastAsia" w:cs="宋体"/>
          <w:kern w:val="0"/>
          <w:szCs w:val="28"/>
        </w:rPr>
      </w:pPr>
      <w:r>
        <w:rPr>
          <w:rFonts w:hint="eastAsia" w:cs="宋体"/>
          <w:kern w:val="0"/>
          <w:szCs w:val="28"/>
        </w:rPr>
        <w:t>十五、同类业绩</w:t>
      </w:r>
    </w:p>
    <w:p>
      <w:pPr>
        <w:pStyle w:val="1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tabs>
          <w:tab w:val="left" w:pos="737"/>
        </w:tabs>
        <w:ind w:left="737" w:hanging="737"/>
      </w:pPr>
      <w:rPr>
        <w:rFonts w:hint="eastAsia"/>
        <w:b w:val="0"/>
      </w:rPr>
    </w:lvl>
    <w:lvl w:ilvl="1" w:tentative="0">
      <w:start w:val="1"/>
      <w:numFmt w:val="decimal"/>
      <w:lvlText w:val="%1.%2."/>
      <w:lvlJc w:val="left"/>
      <w:pPr>
        <w:tabs>
          <w:tab w:val="left" w:pos="737"/>
        </w:tabs>
        <w:ind w:left="737" w:hanging="73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00000001"/>
    <w:multiLevelType w:val="multilevel"/>
    <w:tmpl w:val="00000001"/>
    <w:lvl w:ilvl="0" w:tentative="0">
      <w:start w:val="1"/>
      <w:numFmt w:val="decimal"/>
      <w:lvlText w:val="%1."/>
      <w:lvlJc w:val="left"/>
      <w:pPr>
        <w:tabs>
          <w:tab w:val="left" w:pos="737"/>
        </w:tabs>
        <w:ind w:left="737" w:hanging="737"/>
      </w:pPr>
      <w:rPr>
        <w:rFonts w:hint="eastAsia"/>
        <w:b w:val="0"/>
      </w:rPr>
    </w:lvl>
    <w:lvl w:ilvl="1" w:tentative="0">
      <w:start w:val="1"/>
      <w:numFmt w:val="decimal"/>
      <w:lvlText w:val="%1.%2."/>
      <w:lvlJc w:val="left"/>
      <w:pPr>
        <w:tabs>
          <w:tab w:val="left" w:pos="737"/>
        </w:tabs>
        <w:ind w:left="737" w:hanging="73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00000002"/>
    <w:multiLevelType w:val="multilevel"/>
    <w:tmpl w:val="00000002"/>
    <w:lvl w:ilvl="0" w:tentative="0">
      <w:start w:val="1"/>
      <w:numFmt w:val="decimal"/>
      <w:lvlText w:val="%1."/>
      <w:lvlJc w:val="left"/>
      <w:pPr>
        <w:tabs>
          <w:tab w:val="left" w:pos="737"/>
        </w:tabs>
        <w:ind w:left="737" w:hanging="737"/>
      </w:pPr>
      <w:rPr>
        <w:rFonts w:hint="eastAsia"/>
        <w:b w:val="0"/>
      </w:rPr>
    </w:lvl>
    <w:lvl w:ilvl="1" w:tentative="0">
      <w:start w:val="1"/>
      <w:numFmt w:val="decimal"/>
      <w:lvlText w:val="%1.%2."/>
      <w:lvlJc w:val="left"/>
      <w:pPr>
        <w:tabs>
          <w:tab w:val="left" w:pos="737"/>
        </w:tabs>
        <w:ind w:left="737" w:hanging="73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00000003"/>
    <w:multiLevelType w:val="multilevel"/>
    <w:tmpl w:val="00000003"/>
    <w:lvl w:ilvl="0" w:tentative="0">
      <w:start w:val="1"/>
      <w:numFmt w:val="decimal"/>
      <w:lvlText w:val="%1."/>
      <w:lvlJc w:val="left"/>
      <w:pPr>
        <w:tabs>
          <w:tab w:val="left" w:pos="737"/>
        </w:tabs>
        <w:ind w:left="737" w:hanging="737"/>
      </w:pPr>
      <w:rPr>
        <w:rFonts w:hint="eastAsia"/>
        <w:b w:val="0"/>
      </w:rPr>
    </w:lvl>
    <w:lvl w:ilvl="1" w:tentative="0">
      <w:start w:val="1"/>
      <w:numFmt w:val="decimal"/>
      <w:lvlText w:val="%1.%2."/>
      <w:lvlJc w:val="left"/>
      <w:pPr>
        <w:tabs>
          <w:tab w:val="left" w:pos="737"/>
        </w:tabs>
        <w:ind w:left="737" w:hanging="73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00000004"/>
    <w:multiLevelType w:val="multilevel"/>
    <w:tmpl w:val="00000004"/>
    <w:lvl w:ilvl="0" w:tentative="0">
      <w:start w:val="1"/>
      <w:numFmt w:val="decimal"/>
      <w:lvlText w:val="%1."/>
      <w:lvlJc w:val="left"/>
      <w:pPr>
        <w:tabs>
          <w:tab w:val="left" w:pos="737"/>
        </w:tabs>
        <w:ind w:left="737" w:hanging="737"/>
      </w:pPr>
      <w:rPr>
        <w:rFonts w:hint="eastAsia"/>
        <w:b w:val="0"/>
      </w:rPr>
    </w:lvl>
    <w:lvl w:ilvl="1" w:tentative="0">
      <w:start w:val="1"/>
      <w:numFmt w:val="decimal"/>
      <w:lvlText w:val="%1.%2."/>
      <w:lvlJc w:val="left"/>
      <w:pPr>
        <w:tabs>
          <w:tab w:val="left" w:pos="737"/>
        </w:tabs>
        <w:ind w:left="737" w:hanging="73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00000005"/>
    <w:multiLevelType w:val="singleLevel"/>
    <w:tmpl w:val="00000005"/>
    <w:lvl w:ilvl="0" w:tentative="0">
      <w:start w:val="2"/>
      <w:numFmt w:val="chineseCounting"/>
      <w:suff w:val="space"/>
      <w:lvlText w:val="第%1章"/>
      <w:lvlJc w:val="left"/>
      <w:rPr>
        <w:rFonts w:hint="eastAsia"/>
      </w:rPr>
    </w:lvl>
  </w:abstractNum>
  <w:abstractNum w:abstractNumId="6">
    <w:nsid w:val="00000006"/>
    <w:multiLevelType w:val="singleLevel"/>
    <w:tmpl w:val="00000006"/>
    <w:lvl w:ilvl="0" w:tentative="0">
      <w:start w:val="1"/>
      <w:numFmt w:val="decimal"/>
      <w:suff w:val="nothing"/>
      <w:lvlText w:val="%1、"/>
      <w:lvlJc w:val="left"/>
    </w:lvl>
  </w:abstractNum>
  <w:abstractNum w:abstractNumId="7">
    <w:nsid w:val="00000007"/>
    <w:multiLevelType w:val="multilevel"/>
    <w:tmpl w:val="00000007"/>
    <w:lvl w:ilvl="0" w:tentative="0">
      <w:start w:val="1"/>
      <w:numFmt w:val="decimal"/>
      <w:lvlText w:val="%1."/>
      <w:lvlJc w:val="left"/>
      <w:pPr>
        <w:tabs>
          <w:tab w:val="left" w:pos="737"/>
        </w:tabs>
        <w:ind w:left="737" w:hanging="737"/>
      </w:pPr>
      <w:rPr>
        <w:rFonts w:hint="eastAsia"/>
        <w:b w:val="0"/>
      </w:rPr>
    </w:lvl>
    <w:lvl w:ilvl="1" w:tentative="0">
      <w:start w:val="1"/>
      <w:numFmt w:val="decimal"/>
      <w:lvlText w:val="%1.%2."/>
      <w:lvlJc w:val="left"/>
      <w:pPr>
        <w:tabs>
          <w:tab w:val="left" w:pos="737"/>
        </w:tabs>
        <w:ind w:left="737" w:hanging="73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00000008"/>
    <w:multiLevelType w:val="multilevel"/>
    <w:tmpl w:val="00000008"/>
    <w:lvl w:ilvl="0" w:tentative="0">
      <w:start w:val="1"/>
      <w:numFmt w:val="decimal"/>
      <w:lvlText w:val="%1."/>
      <w:lvlJc w:val="left"/>
      <w:pPr>
        <w:tabs>
          <w:tab w:val="left" w:pos="737"/>
        </w:tabs>
        <w:ind w:left="737" w:hanging="737"/>
      </w:pPr>
      <w:rPr>
        <w:rFonts w:hint="eastAsia"/>
        <w:b w:val="0"/>
      </w:rPr>
    </w:lvl>
    <w:lvl w:ilvl="1" w:tentative="0">
      <w:start w:val="1"/>
      <w:numFmt w:val="decimal"/>
      <w:lvlText w:val="%1.%2."/>
      <w:lvlJc w:val="left"/>
      <w:pPr>
        <w:tabs>
          <w:tab w:val="left" w:pos="737"/>
        </w:tabs>
        <w:ind w:left="737" w:hanging="73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5"/>
  </w:num>
  <w:num w:numId="2">
    <w:abstractNumId w:val="2"/>
  </w:num>
  <w:num w:numId="3">
    <w:abstractNumId w:val="3"/>
  </w:num>
  <w:num w:numId="4">
    <w:abstractNumId w:val="8"/>
  </w:num>
  <w:num w:numId="5">
    <w:abstractNumId w:val="1"/>
  </w:num>
  <w:num w:numId="6">
    <w:abstractNumId w:val="0"/>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DUyMDVkMjc2MTNiNTdkMDFmZjA3ODBmZTkxMDkifQ=="/>
  </w:docVars>
  <w:rsids>
    <w:rsidRoot w:val="00000000"/>
    <w:rsid w:val="1A9E5356"/>
    <w:rsid w:val="31597124"/>
    <w:rsid w:val="75276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qFormat/>
    <w:uiPriority w:val="0"/>
    <w:pPr>
      <w:spacing w:before="340" w:after="330" w:line="360" w:lineRule="auto"/>
      <w:jc w:val="center"/>
      <w:outlineLvl w:val="0"/>
    </w:pPr>
    <w:rPr>
      <w:kern w:val="44"/>
      <w:sz w:val="32"/>
      <w:szCs w:val="36"/>
    </w:rPr>
  </w:style>
  <w:style w:type="paragraph" w:styleId="7">
    <w:name w:val="heading 2"/>
    <w:basedOn w:val="5"/>
    <w:next w:val="6"/>
    <w:qFormat/>
    <w:uiPriority w:val="0"/>
    <w:pPr>
      <w:adjustRightInd w:val="0"/>
      <w:jc w:val="center"/>
      <w:textAlignment w:val="baseline"/>
      <w:outlineLvl w:val="1"/>
    </w:pPr>
    <w:rPr>
      <w:bCs w:val="0"/>
      <w:kern w:val="0"/>
      <w:szCs w:val="20"/>
    </w:rPr>
  </w:style>
  <w:style w:type="paragraph" w:styleId="5">
    <w:name w:val="heading 3"/>
    <w:basedOn w:val="6"/>
    <w:next w:val="1"/>
    <w:qFormat/>
    <w:uiPriority w:val="0"/>
    <w:pPr>
      <w:spacing w:before="260" w:after="260" w:line="240" w:lineRule="auto"/>
      <w:outlineLvl w:val="2"/>
    </w:pPr>
    <w:rPr>
      <w:rFonts w:ascii="宋体" w:hAnsi="宋体" w:eastAsia="宋体"/>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qFormat/>
    <w:uiPriority w:val="1"/>
  </w:style>
  <w:style w:type="table" w:default="1" w:styleId="14">
    <w:name w:val="Normal Table"/>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line="240" w:lineRule="auto"/>
      <w:ind w:firstLine="420" w:firstLineChars="100"/>
    </w:pPr>
    <w:rPr>
      <w:sz w:val="21"/>
    </w:rPr>
  </w:style>
  <w:style w:type="paragraph" w:styleId="3">
    <w:name w:val="Body Text"/>
    <w:basedOn w:val="1"/>
    <w:next w:val="1"/>
    <w:qFormat/>
    <w:uiPriority w:val="0"/>
    <w:pPr>
      <w:spacing w:line="360" w:lineRule="auto"/>
    </w:pPr>
    <w:rPr>
      <w:b/>
      <w:bCs/>
      <w:sz w:val="24"/>
    </w:rPr>
  </w:style>
  <w:style w:type="paragraph" w:styleId="8">
    <w:name w:val="Normal Indent"/>
    <w:basedOn w:val="1"/>
    <w:qFormat/>
    <w:uiPriority w:val="0"/>
    <w:pPr>
      <w:ind w:firstLine="420" w:firstLineChars="200"/>
    </w:pPr>
  </w:style>
  <w:style w:type="paragraph" w:styleId="9">
    <w:name w:val="Body Text Indent"/>
    <w:basedOn w:val="1"/>
    <w:next w:val="10"/>
    <w:qFormat/>
    <w:uiPriority w:val="0"/>
    <w:pPr>
      <w:spacing w:line="360" w:lineRule="auto"/>
      <w:ind w:firstLine="420" w:firstLineChars="200"/>
    </w:pPr>
  </w:style>
  <w:style w:type="paragraph" w:styleId="10">
    <w:name w:val="Body Text First Indent 2"/>
    <w:basedOn w:val="9"/>
    <w:qFormat/>
    <w:uiPriority w:val="99"/>
    <w:pPr>
      <w:spacing w:after="120"/>
      <w:ind w:left="420" w:leftChars="200"/>
    </w:pPr>
    <w:rPr>
      <w:rFonts w:ascii="Calibri" w:hAnsi="Calibri"/>
      <w:szCs w:val="22"/>
    </w:rPr>
  </w:style>
  <w:style w:type="paragraph" w:styleId="11">
    <w:name w:val="footer"/>
    <w:basedOn w:val="1"/>
    <w:link w:val="2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Normal (Web)"/>
    <w:basedOn w:val="1"/>
    <w:qFormat/>
    <w:uiPriority w:val="0"/>
    <w:rPr>
      <w:sz w:val="24"/>
    </w:rPr>
  </w:style>
  <w:style w:type="character" w:styleId="16">
    <w:name w:val="Strong"/>
    <w:basedOn w:val="15"/>
    <w:qFormat/>
    <w:uiPriority w:val="22"/>
    <w:rPr>
      <w:b/>
      <w:bCs/>
    </w:rPr>
  </w:style>
  <w:style w:type="character" w:styleId="17">
    <w:name w:val="Hyperlink"/>
    <w:qFormat/>
    <w:uiPriority w:val="99"/>
    <w:rPr>
      <w:color w:val="0000FF"/>
      <w:u w:val="single"/>
    </w:rPr>
  </w:style>
  <w:style w:type="character" w:styleId="18">
    <w:name w:val="annotation reference"/>
    <w:qFormat/>
    <w:uiPriority w:val="0"/>
    <w:rPr>
      <w:sz w:val="21"/>
      <w:szCs w:val="21"/>
    </w:rPr>
  </w:style>
  <w:style w:type="character" w:customStyle="1" w:styleId="19">
    <w:name w:val="标题 3 Char"/>
    <w:qFormat/>
    <w:uiPriority w:val="0"/>
    <w:rPr>
      <w:rFonts w:ascii="黑体" w:eastAsia="黑体"/>
      <w:bCs/>
      <w:sz w:val="30"/>
    </w:rPr>
  </w:style>
  <w:style w:type="paragraph" w:styleId="20">
    <w:name w:val="List Paragraph"/>
    <w:basedOn w:val="1"/>
    <w:qFormat/>
    <w:uiPriority w:val="0"/>
    <w:pPr>
      <w:ind w:firstLine="420" w:firstLineChars="200"/>
    </w:pPr>
  </w:style>
  <w:style w:type="character" w:customStyle="1" w:styleId="21">
    <w:name w:val="页脚 Char"/>
    <w:basedOn w:val="15"/>
    <w:link w:val="11"/>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19</Pages>
  <Words>12983</Words>
  <Characters>13168</Characters>
  <Paragraphs>565</Paragraphs>
  <TotalTime>2</TotalTime>
  <ScaleCrop>false</ScaleCrop>
  <LinksUpToDate>false</LinksUpToDate>
  <CharactersWithSpaces>13894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2023-07-26T09:58:00Z</dcterms:created>
  <dc:creator>Administrator</dc:creator>
  <cp:lastModifiedBy>卉</cp:lastModifiedBy>
  <dcterms:modified xsi:type="dcterms:W3CDTF">2023-07-27T11:18:33Z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F8790B18D25C43BCA9984481C734EA96_13</vt:lpwstr>
  </property>
</Properties>
</file>