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华文中宋" w:hAnsi="华文中宋" w:eastAsia="华文中宋"/>
          <w:b/>
          <w:bCs/>
          <w:sz w:val="50"/>
          <w:szCs w:val="44"/>
        </w:rPr>
      </w:pPr>
    </w:p>
    <w:p>
      <w:pPr>
        <w:adjustRightInd w:val="0"/>
        <w:snapToGrid w:val="0"/>
        <w:jc w:val="center"/>
        <w:rPr>
          <w:rFonts w:hint="eastAsia" w:ascii="华文中宋" w:hAnsi="华文中宋" w:eastAsia="华文中宋"/>
          <w:b/>
          <w:bCs/>
          <w:sz w:val="50"/>
          <w:szCs w:val="44"/>
        </w:rPr>
      </w:pPr>
    </w:p>
    <w:p>
      <w:pPr>
        <w:adjustRightInd w:val="0"/>
        <w:snapToGrid w:val="0"/>
        <w:jc w:val="center"/>
        <w:rPr>
          <w:rFonts w:hint="eastAsia"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综合楼1511会议室话筒及控制主机采购项目招标文件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20"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hint="eastAsia" w:ascii="黑体" w:hAnsi="华文中宋" w:eastAsia="黑体" w:cs="Arial"/>
          <w:szCs w:val="21"/>
          <w:lang w:eastAsia="zh-CN"/>
        </w:rPr>
      </w:pPr>
      <w:r>
        <w:rPr>
          <w:rFonts w:hint="eastAsia" w:ascii="黑体" w:hAnsi="华文中宋" w:eastAsia="黑体" w:cs="Arial"/>
          <w:sz w:val="32"/>
          <w:szCs w:val="32"/>
          <w:lang w:eastAsia="zh-CN"/>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eastAsia="zh-CN"/>
        </w:rPr>
        <w:t>三</w:t>
      </w:r>
      <w:r>
        <w:rPr>
          <w:rFonts w:hint="eastAsia" w:ascii="黑体" w:hAnsi="华文中宋" w:eastAsia="黑体" w:cs="Arial"/>
          <w:sz w:val="32"/>
          <w:szCs w:val="32"/>
        </w:rPr>
        <w:t>年</w:t>
      </w:r>
      <w:r>
        <w:rPr>
          <w:rFonts w:hint="eastAsia" w:ascii="黑体" w:hAnsi="华文中宋" w:eastAsia="黑体" w:cs="Arial"/>
          <w:sz w:val="32"/>
          <w:szCs w:val="32"/>
          <w:lang w:eastAsia="zh-CN"/>
        </w:rPr>
        <w:t>六</w:t>
      </w:r>
      <w:r>
        <w:rPr>
          <w:rFonts w:hint="eastAsia" w:ascii="黑体" w:hAnsi="华文中宋" w:eastAsia="黑体" w:cs="Arial"/>
          <w:sz w:val="32"/>
          <w:szCs w:val="32"/>
        </w:rPr>
        <w:t>月三</w:t>
      </w:r>
      <w:r>
        <w:rPr>
          <w:rFonts w:ascii="黑体" w:hAnsi="华文中宋" w:eastAsia="黑体" w:cs="Arial"/>
          <w:sz w:val="32"/>
          <w:szCs w:val="32"/>
        </w:rPr>
        <w:t>十</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深圳市第一职业技术学校综合楼1511会议室话筒及控制主机采购项目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货物类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86" w:afterLines="36"/>
        <w:jc w:val="center"/>
        <w:rPr>
          <w:rFonts w:ascii="宋体" w:hAnsi="宋体" w:cs="宋体"/>
          <w:b/>
        </w:rPr>
      </w:pPr>
      <w:r>
        <w:rPr>
          <w:rFonts w:hint="eastAsia" w:ascii="宋体" w:hAnsi="宋体" w:cs="宋体"/>
          <w:b/>
        </w:rPr>
        <w:t>（凡有下列情形之一的，投标文件无效，投标作废标处理）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6"/>
        <w:jc w:val="both"/>
        <w:rPr>
          <w:rFonts w:cs="宋体"/>
        </w:rPr>
      </w:pPr>
      <w:r>
        <w:rPr>
          <w:rFonts w:hint="eastAsia" w:cs="宋体"/>
        </w:rPr>
        <w:t>评标方法</w:t>
      </w:r>
    </w:p>
    <w:tbl>
      <w:tblPr>
        <w:tblStyle w:val="12"/>
        <w:tblW w:w="907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45" w:type="dxa"/>
          <w:left w:w="45" w:type="dxa"/>
          <w:bottom w:w="45" w:type="dxa"/>
          <w:right w:w="45" w:type="dxa"/>
        </w:tblCellMar>
      </w:tblPr>
      <w:tblGrid>
        <w:gridCol w:w="8685"/>
        <w:gridCol w:w="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1"/>
              <w:widowControl/>
              <w:spacing w:line="324" w:lineRule="auto"/>
              <w:ind w:left="420"/>
              <w:rPr>
                <w:rFonts w:hint="eastAsia" w:eastAsia="宋体"/>
                <w:kern w:val="2"/>
                <w:sz w:val="21"/>
                <w:szCs w:val="21"/>
                <w:lang w:eastAsia="zh-CN"/>
              </w:rPr>
            </w:pPr>
            <w:r>
              <w:rPr>
                <w:kern w:val="2"/>
                <w:sz w:val="21"/>
                <w:szCs w:val="21"/>
              </w:rPr>
              <w:t xml:space="preserve">采用低价优先法计算，即满足招标文件要求且投标价格最低的投标报价为评标基准价，其价格分为满分。其他投标人的价格分统一按照下列公式计算： </w:t>
            </w:r>
          </w:p>
          <w:p>
            <w:pPr>
              <w:pStyle w:val="11"/>
              <w:widowControl/>
              <w:spacing w:line="324" w:lineRule="auto"/>
              <w:ind w:left="420"/>
              <w:rPr>
                <w:rFonts w:hint="eastAsia" w:eastAsia="宋体"/>
                <w:kern w:val="2"/>
                <w:sz w:val="21"/>
                <w:szCs w:val="21"/>
                <w:lang w:eastAsia="zh-CN"/>
              </w:rPr>
            </w:pPr>
            <w:r>
              <w:rPr>
                <w:kern w:val="2"/>
                <w:sz w:val="21"/>
                <w:szCs w:val="21"/>
              </w:rPr>
              <w:t>投标报价得分=(评标基准价／投标报价)×100</w:t>
            </w:r>
          </w:p>
          <w:p>
            <w:pPr>
              <w:pStyle w:val="11"/>
              <w:widowControl/>
              <w:spacing w:line="324" w:lineRule="auto"/>
              <w:ind w:left="420"/>
              <w:rPr>
                <w:rFonts w:hint="eastAsia" w:eastAsia="宋体"/>
                <w:kern w:val="2"/>
                <w:sz w:val="21"/>
                <w:szCs w:val="21"/>
                <w:lang w:eastAsia="zh-CN"/>
              </w:rPr>
            </w:pPr>
            <w:r>
              <w:rPr>
                <w:kern w:val="2"/>
                <w:sz w:val="21"/>
                <w:szCs w:val="21"/>
              </w:rPr>
              <w:t xml:space="preserve">评标总得分＝F1×A1＋F2×A2＋……＋Fn×An </w:t>
            </w:r>
          </w:p>
          <w:p>
            <w:pPr>
              <w:pStyle w:val="11"/>
              <w:widowControl/>
              <w:spacing w:line="324" w:lineRule="auto"/>
              <w:ind w:left="420"/>
              <w:rPr>
                <w:rFonts w:hint="eastAsia" w:eastAsia="宋体"/>
                <w:kern w:val="2"/>
                <w:sz w:val="21"/>
                <w:szCs w:val="21"/>
                <w:lang w:eastAsia="zh-CN"/>
              </w:rPr>
            </w:pPr>
            <w:r>
              <w:rPr>
                <w:kern w:val="2"/>
                <w:sz w:val="21"/>
                <w:szCs w:val="21"/>
              </w:rPr>
              <w:t xml:space="preserve">F1、F2……Fn分别为各项评审因素的得分； </w:t>
            </w:r>
          </w:p>
          <w:p>
            <w:pPr>
              <w:pStyle w:val="11"/>
              <w:widowControl/>
              <w:spacing w:line="324" w:lineRule="auto"/>
              <w:ind w:left="420"/>
              <w:rPr>
                <w:rFonts w:hint="eastAsia" w:eastAsia="宋体"/>
                <w:kern w:val="2"/>
                <w:sz w:val="21"/>
                <w:szCs w:val="21"/>
                <w:lang w:eastAsia="zh-CN"/>
              </w:rPr>
            </w:pPr>
            <w:r>
              <w:rPr>
                <w:kern w:val="2"/>
                <w:sz w:val="21"/>
                <w:szCs w:val="21"/>
              </w:rPr>
              <w:t xml:space="preserve">A1、A2、……An 分别为各项评审因素所占的权重(A1＋A2＋……＋An＝1)。 </w:t>
            </w:r>
          </w:p>
          <w:p>
            <w:pPr>
              <w:pStyle w:val="11"/>
              <w:widowControl/>
              <w:spacing w:line="324" w:lineRule="auto"/>
              <w:ind w:left="420"/>
              <w:rPr>
                <w:rFonts w:hint="eastAsia" w:eastAsia="宋体"/>
                <w:kern w:val="2"/>
                <w:sz w:val="21"/>
                <w:szCs w:val="21"/>
                <w:lang w:eastAsia="zh-CN"/>
              </w:rPr>
            </w:pPr>
            <w:r>
              <w:rPr>
                <w:kern w:val="2"/>
                <w:sz w:val="21"/>
                <w:szCs w:val="21"/>
              </w:rPr>
              <w:t xml:space="preserve">评标过程中，不得去掉报价中的最高报价和最低报价。 </w:t>
            </w:r>
          </w:p>
          <w:p>
            <w:pPr>
              <w:pStyle w:val="11"/>
              <w:widowControl/>
              <w:spacing w:line="324" w:lineRule="auto"/>
              <w:ind w:left="420"/>
              <w:rPr>
                <w:sz w:val="21"/>
                <w:szCs w:val="21"/>
              </w:rPr>
            </w:pPr>
            <w:r>
              <w:rPr>
                <w:kern w:val="2"/>
                <w:sz w:val="21"/>
                <w:szCs w:val="21"/>
              </w:rPr>
              <w:t>此方法适用于货物类、服务类、工程类项目。</w:t>
            </w:r>
          </w:p>
        </w:tc>
      </w:tr>
    </w:tbl>
    <w:p/>
    <w:p>
      <w:pPr>
        <w:pStyle w:val="9"/>
      </w:pPr>
    </w:p>
    <w:tbl>
      <w:tblPr>
        <w:tblStyle w:val="12"/>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422"/>
        <w:gridCol w:w="11"/>
        <w:gridCol w:w="276"/>
        <w:gridCol w:w="11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noWrap w:val="0"/>
            <w:vAlign w:val="center"/>
          </w:tcPr>
          <w:p>
            <w:pPr>
              <w:spacing w:line="240" w:lineRule="exact"/>
              <w:jc w:val="center"/>
              <w:rPr>
                <w:rFonts w:hint="eastAsia" w:ascii="宋体" w:hAnsi="宋体" w:eastAsia="宋体" w:cs="宋体"/>
                <w:b/>
                <w:szCs w:val="21"/>
              </w:rPr>
            </w:pPr>
            <w:r>
              <w:rPr>
                <w:rFonts w:hint="eastAsia" w:ascii="宋体" w:hAnsi="宋体" w:eastAsia="宋体" w:cs="宋体"/>
                <w:b/>
                <w:szCs w:val="21"/>
              </w:rPr>
              <w:t>序号</w:t>
            </w:r>
          </w:p>
        </w:tc>
        <w:tc>
          <w:tcPr>
            <w:tcW w:w="3552" w:type="dxa"/>
            <w:gridSpan w:val="5"/>
            <w:noWrap w:val="0"/>
            <w:vAlign w:val="center"/>
          </w:tcPr>
          <w:p>
            <w:pPr>
              <w:spacing w:line="240" w:lineRule="exact"/>
              <w:jc w:val="center"/>
              <w:rPr>
                <w:rFonts w:hint="eastAsia" w:ascii="宋体" w:hAnsi="宋体" w:eastAsia="宋体" w:cs="宋体"/>
                <w:b/>
                <w:szCs w:val="21"/>
              </w:rPr>
            </w:pPr>
            <w:r>
              <w:rPr>
                <w:rFonts w:hint="eastAsia" w:ascii="宋体" w:hAnsi="宋体" w:eastAsia="宋体" w:cs="宋体"/>
                <w:b/>
                <w:szCs w:val="21"/>
              </w:rPr>
              <w:t>评分项</w:t>
            </w:r>
          </w:p>
        </w:tc>
        <w:tc>
          <w:tcPr>
            <w:tcW w:w="4678" w:type="dxa"/>
            <w:noWrap w:val="0"/>
            <w:vAlign w:val="center"/>
          </w:tcPr>
          <w:p>
            <w:pPr>
              <w:spacing w:line="240" w:lineRule="exact"/>
              <w:jc w:val="center"/>
              <w:rPr>
                <w:rFonts w:hint="eastAsia" w:ascii="宋体" w:hAnsi="宋体" w:eastAsia="宋体" w:cs="宋体"/>
                <w:b/>
                <w:szCs w:val="21"/>
              </w:rPr>
            </w:pPr>
            <w:r>
              <w:rPr>
                <w:rFonts w:hint="eastAsia" w:ascii="宋体" w:hAnsi="宋体" w:eastAsia="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noWrap w:val="0"/>
            <w:vAlign w:val="center"/>
          </w:tcPr>
          <w:p>
            <w:pPr>
              <w:spacing w:line="240" w:lineRule="exact"/>
              <w:jc w:val="center"/>
              <w:rPr>
                <w:rFonts w:hint="eastAsia" w:ascii="宋体" w:hAnsi="宋体" w:eastAsia="宋体" w:cs="宋体"/>
                <w:b/>
                <w:szCs w:val="21"/>
              </w:rPr>
            </w:pPr>
            <w:r>
              <w:rPr>
                <w:rFonts w:hint="eastAsia" w:ascii="宋体" w:hAnsi="宋体" w:eastAsia="宋体" w:cs="宋体"/>
                <w:b/>
                <w:szCs w:val="21"/>
              </w:rPr>
              <w:t>1</w:t>
            </w:r>
          </w:p>
        </w:tc>
        <w:tc>
          <w:tcPr>
            <w:tcW w:w="3552" w:type="dxa"/>
            <w:gridSpan w:val="5"/>
            <w:noWrap w:val="0"/>
            <w:vAlign w:val="center"/>
          </w:tcPr>
          <w:p>
            <w:pPr>
              <w:spacing w:line="240" w:lineRule="exact"/>
              <w:jc w:val="center"/>
              <w:rPr>
                <w:rFonts w:hint="eastAsia" w:ascii="宋体" w:hAnsi="宋体" w:eastAsia="宋体" w:cs="宋体"/>
                <w:b/>
                <w:szCs w:val="21"/>
              </w:rPr>
            </w:pPr>
            <w:r>
              <w:rPr>
                <w:rFonts w:hint="eastAsia" w:ascii="宋体" w:hAnsi="宋体" w:eastAsia="宋体" w:cs="宋体"/>
                <w:b/>
                <w:szCs w:val="21"/>
              </w:rPr>
              <w:t>价格部分</w:t>
            </w:r>
          </w:p>
        </w:tc>
        <w:tc>
          <w:tcPr>
            <w:tcW w:w="4678" w:type="dxa"/>
            <w:noWrap w:val="0"/>
            <w:vAlign w:val="center"/>
          </w:tcPr>
          <w:p>
            <w:pPr>
              <w:spacing w:line="240" w:lineRule="exact"/>
              <w:jc w:val="center"/>
              <w:rPr>
                <w:rFonts w:hint="eastAsia" w:ascii="宋体" w:hAnsi="宋体" w:eastAsia="宋体" w:cs="宋体"/>
                <w:b/>
                <w:color w:val="FF0000"/>
                <w:szCs w:val="21"/>
              </w:rPr>
            </w:pPr>
            <w:r>
              <w:rPr>
                <w:rFonts w:hint="eastAsia" w:ascii="宋体" w:hAnsi="宋体" w:eastAsia="宋体" w:cs="宋体"/>
                <w:b/>
                <w:color w:val="FF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noWrap w:val="0"/>
            <w:vAlign w:val="center"/>
          </w:tcPr>
          <w:p>
            <w:pPr>
              <w:spacing w:line="240" w:lineRule="exact"/>
              <w:jc w:val="center"/>
              <w:rPr>
                <w:rFonts w:hint="eastAsia" w:ascii="宋体" w:hAnsi="宋体" w:eastAsia="宋体" w:cs="宋体"/>
                <w:b/>
                <w:szCs w:val="21"/>
              </w:rPr>
            </w:pPr>
            <w:r>
              <w:rPr>
                <w:rFonts w:hint="eastAsia" w:ascii="宋体" w:hAnsi="宋体" w:eastAsia="宋体" w:cs="宋体"/>
                <w:b/>
                <w:szCs w:val="21"/>
              </w:rPr>
              <w:t>2</w:t>
            </w:r>
          </w:p>
        </w:tc>
        <w:tc>
          <w:tcPr>
            <w:tcW w:w="3552" w:type="dxa"/>
            <w:gridSpan w:val="5"/>
            <w:noWrap w:val="0"/>
            <w:vAlign w:val="center"/>
          </w:tcPr>
          <w:p>
            <w:pPr>
              <w:spacing w:line="240" w:lineRule="exact"/>
              <w:jc w:val="center"/>
              <w:rPr>
                <w:rFonts w:hint="eastAsia" w:ascii="宋体" w:hAnsi="宋体" w:eastAsia="宋体" w:cs="宋体"/>
                <w:b/>
                <w:szCs w:val="21"/>
              </w:rPr>
            </w:pPr>
            <w:r>
              <w:rPr>
                <w:rFonts w:hint="eastAsia" w:ascii="宋体" w:hAnsi="宋体" w:eastAsia="宋体" w:cs="宋体"/>
                <w:b/>
                <w:szCs w:val="21"/>
              </w:rPr>
              <w:t>技术部分</w:t>
            </w:r>
          </w:p>
        </w:tc>
        <w:tc>
          <w:tcPr>
            <w:tcW w:w="4678" w:type="dxa"/>
            <w:noWrap w:val="0"/>
            <w:vAlign w:val="center"/>
          </w:tcPr>
          <w:p>
            <w:pPr>
              <w:spacing w:line="240" w:lineRule="exact"/>
              <w:jc w:val="center"/>
              <w:rPr>
                <w:rFonts w:hint="eastAsia" w:ascii="宋体" w:hAnsi="宋体" w:eastAsia="宋体" w:cs="宋体"/>
                <w:b/>
                <w:color w:val="FF0000"/>
                <w:szCs w:val="21"/>
              </w:rPr>
            </w:pPr>
            <w:r>
              <w:rPr>
                <w:rFonts w:hint="eastAsia" w:ascii="宋体" w:hAnsi="宋体" w:eastAsia="宋体" w:cs="宋体"/>
                <w:b/>
                <w:color w:val="FF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noWrap w:val="0"/>
            <w:vAlign w:val="center"/>
          </w:tcPr>
          <w:p>
            <w:pPr>
              <w:jc w:val="center"/>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序号</w:t>
            </w:r>
          </w:p>
        </w:tc>
        <w:tc>
          <w:tcPr>
            <w:tcW w:w="1433" w:type="dxa"/>
            <w:gridSpan w:val="2"/>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评分因素</w:t>
            </w:r>
          </w:p>
        </w:tc>
        <w:tc>
          <w:tcPr>
            <w:tcW w:w="1420" w:type="dxa"/>
            <w:gridSpan w:val="2"/>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权重</w:t>
            </w:r>
          </w:p>
        </w:tc>
        <w:tc>
          <w:tcPr>
            <w:tcW w:w="4678" w:type="dxa"/>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noWrap w:val="0"/>
            <w:vAlign w:val="center"/>
          </w:tcPr>
          <w:p>
            <w:pPr>
              <w:keepNext/>
              <w:keepLines/>
              <w:spacing w:before="340" w:after="330"/>
              <w:jc w:val="center"/>
              <w:outlineLvl w:val="0"/>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433" w:type="dxa"/>
            <w:gridSpan w:val="2"/>
            <w:noWrap w:val="0"/>
            <w:vAlign w:val="center"/>
          </w:tcPr>
          <w:p>
            <w:pPr>
              <w:jc w:val="center"/>
              <w:rPr>
                <w:rFonts w:hint="eastAsia" w:ascii="宋体" w:hAnsi="宋体" w:eastAsia="宋体" w:cs="宋体"/>
                <w:szCs w:val="21"/>
              </w:rPr>
            </w:pPr>
            <w:r>
              <w:rPr>
                <w:rFonts w:hint="eastAsia" w:ascii="宋体" w:hAnsi="宋体" w:eastAsia="宋体" w:cs="宋体"/>
                <w:kern w:val="0"/>
                <w:szCs w:val="21"/>
              </w:rPr>
              <w:t>技术规格偏离情况</w:t>
            </w:r>
          </w:p>
        </w:tc>
        <w:tc>
          <w:tcPr>
            <w:tcW w:w="1420"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 xml:space="preserve">50 </w:t>
            </w:r>
          </w:p>
        </w:tc>
        <w:tc>
          <w:tcPr>
            <w:tcW w:w="4678" w:type="dxa"/>
            <w:noWrap w:val="0"/>
            <w:vAlign w:val="center"/>
          </w:tcPr>
          <w:p>
            <w:pPr>
              <w:tabs>
                <w:tab w:val="left" w:pos="2869"/>
                <w:tab w:val="left" w:pos="3010"/>
              </w:tabs>
              <w:rPr>
                <w:rFonts w:hint="eastAsia" w:ascii="宋体" w:hAnsi="宋体" w:eastAsia="宋体" w:cs="宋体"/>
                <w:b/>
                <w:szCs w:val="21"/>
              </w:rPr>
            </w:pPr>
            <w:r>
              <w:rPr>
                <w:rFonts w:hint="eastAsia" w:ascii="宋体" w:hAnsi="宋体" w:eastAsia="宋体" w:cs="宋体"/>
                <w:b/>
                <w:szCs w:val="21"/>
              </w:rPr>
              <w:t>（一）评审内容：</w:t>
            </w:r>
          </w:p>
          <w:p>
            <w:pPr>
              <w:tabs>
                <w:tab w:val="left" w:pos="2869"/>
                <w:tab w:val="left" w:pos="3010"/>
              </w:tabs>
              <w:jc w:val="left"/>
              <w:rPr>
                <w:rFonts w:hint="eastAsia" w:ascii="宋体" w:hAnsi="宋体" w:eastAsia="宋体" w:cs="宋体"/>
                <w:szCs w:val="21"/>
              </w:rPr>
            </w:pPr>
            <w:r>
              <w:rPr>
                <w:rFonts w:hint="eastAsia" w:ascii="宋体" w:hAnsi="宋体" w:eastAsia="宋体" w:cs="宋体"/>
                <w:szCs w:val="21"/>
              </w:rPr>
              <w:t>投标人应如实填写《技术规格偏离表》，评审专家根据技术需求参数响应情况进行评审。</w:t>
            </w:r>
          </w:p>
          <w:p>
            <w:pPr>
              <w:tabs>
                <w:tab w:val="left" w:pos="2869"/>
                <w:tab w:val="left" w:pos="3010"/>
              </w:tabs>
              <w:jc w:val="left"/>
              <w:rPr>
                <w:rFonts w:hint="eastAsia" w:ascii="宋体" w:hAnsi="宋体" w:eastAsia="宋体" w:cs="宋体"/>
                <w:b/>
                <w:szCs w:val="21"/>
              </w:rPr>
            </w:pPr>
            <w:r>
              <w:rPr>
                <w:rFonts w:hint="eastAsia" w:ascii="宋体" w:hAnsi="宋体" w:eastAsia="宋体" w:cs="宋体"/>
                <w:b/>
                <w:szCs w:val="21"/>
              </w:rPr>
              <w:t>（二）评分标准与依据：</w:t>
            </w:r>
            <w:r>
              <w:rPr>
                <w:rFonts w:hint="eastAsia" w:ascii="宋体" w:hAnsi="宋体" w:eastAsia="宋体" w:cs="宋体"/>
                <w:szCs w:val="21"/>
              </w:rPr>
              <w:t xml:space="preserve"> </w:t>
            </w:r>
          </w:p>
          <w:p>
            <w:pPr>
              <w:rPr>
                <w:rFonts w:hint="eastAsia" w:ascii="宋体" w:hAnsi="宋体" w:eastAsia="宋体" w:cs="宋体"/>
                <w:szCs w:val="21"/>
              </w:rPr>
            </w:pPr>
            <w:r>
              <w:rPr>
                <w:rFonts w:hint="eastAsia" w:ascii="宋体" w:hAnsi="宋体" w:eastAsia="宋体" w:cs="宋体"/>
                <w:szCs w:val="21"/>
              </w:rPr>
              <w:t>完全满足招标文件要求的得50分，标注“★”条款，每负偏离一项扣5分；未标注“★”的为一般条款，每负偏离一项扣1分。扣完为止。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09" w:type="dxa"/>
            <w:vMerge w:val="continue"/>
            <w:noWrap w:val="0"/>
            <w:vAlign w:val="center"/>
          </w:tcPr>
          <w:p>
            <w:pPr>
              <w:keepNext/>
              <w:keepLines/>
              <w:spacing w:before="340" w:after="330"/>
              <w:jc w:val="center"/>
              <w:outlineLvl w:val="0"/>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433"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技术保障措施</w:t>
            </w:r>
          </w:p>
        </w:tc>
        <w:tc>
          <w:tcPr>
            <w:tcW w:w="1420"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 xml:space="preserve">3 </w:t>
            </w:r>
          </w:p>
        </w:tc>
        <w:tc>
          <w:tcPr>
            <w:tcW w:w="4678" w:type="dxa"/>
            <w:noWrap w:val="0"/>
            <w:vAlign w:val="center"/>
          </w:tcPr>
          <w:p>
            <w:pPr>
              <w:rPr>
                <w:rFonts w:hint="eastAsia" w:ascii="宋体" w:hAnsi="宋体" w:eastAsia="宋体" w:cs="宋体"/>
                <w:szCs w:val="21"/>
              </w:rPr>
            </w:pPr>
            <w:r>
              <w:rPr>
                <w:rFonts w:hint="eastAsia" w:ascii="宋体" w:hAnsi="宋体" w:eastAsia="宋体" w:cs="宋体"/>
                <w:szCs w:val="21"/>
              </w:rPr>
              <w:t>考察内容：</w:t>
            </w:r>
          </w:p>
          <w:p>
            <w:pPr>
              <w:rPr>
                <w:rFonts w:hint="eastAsia" w:ascii="宋体" w:hAnsi="宋体" w:eastAsia="宋体" w:cs="宋体"/>
                <w:szCs w:val="21"/>
              </w:rPr>
            </w:pPr>
            <w:r>
              <w:rPr>
                <w:rFonts w:hint="eastAsia" w:ascii="宋体" w:hAnsi="宋体" w:eastAsia="宋体" w:cs="宋体"/>
                <w:szCs w:val="21"/>
              </w:rPr>
              <w:t>针对本项目的需求内容，投标人需充分说明质量保障措施，包括技术实力和机构情况等保障措施。技术保障措施中必须包含以上内容，否则不得分。</w:t>
            </w:r>
          </w:p>
          <w:p>
            <w:pPr>
              <w:rPr>
                <w:rFonts w:hint="eastAsia" w:ascii="宋体" w:hAnsi="宋体" w:eastAsia="宋体" w:cs="宋体"/>
                <w:szCs w:val="21"/>
              </w:rPr>
            </w:pPr>
            <w:r>
              <w:rPr>
                <w:rFonts w:hint="eastAsia" w:ascii="宋体" w:hAnsi="宋体" w:eastAsia="宋体" w:cs="宋体"/>
                <w:szCs w:val="21"/>
              </w:rPr>
              <w:t>1、技术保障措施详细，安排合理，得3分；</w:t>
            </w:r>
          </w:p>
          <w:p>
            <w:pPr>
              <w:rPr>
                <w:rFonts w:hint="eastAsia" w:ascii="宋体" w:hAnsi="宋体" w:eastAsia="宋体" w:cs="宋体"/>
                <w:szCs w:val="21"/>
              </w:rPr>
            </w:pPr>
            <w:r>
              <w:rPr>
                <w:rFonts w:hint="eastAsia" w:ascii="宋体" w:hAnsi="宋体" w:eastAsia="宋体" w:cs="宋体"/>
                <w:szCs w:val="21"/>
              </w:rPr>
              <w:t>2、技术保障措施一般，安排一般，得1分；</w:t>
            </w:r>
          </w:p>
          <w:p>
            <w:pPr>
              <w:rPr>
                <w:rFonts w:hint="eastAsia" w:ascii="宋体" w:hAnsi="宋体" w:eastAsia="宋体" w:cs="宋体"/>
                <w:szCs w:val="21"/>
              </w:rPr>
            </w:pPr>
            <w:r>
              <w:rPr>
                <w:rFonts w:hint="eastAsia" w:ascii="宋体" w:hAnsi="宋体" w:eastAsia="宋体" w:cs="宋体"/>
                <w:szCs w:val="21"/>
              </w:rPr>
              <w:t>3、技术保障措施不详细，安排较差或不提供安全保障措施不得分。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noWrap w:val="0"/>
            <w:vAlign w:val="center"/>
          </w:tcPr>
          <w:p>
            <w:pPr>
              <w:jc w:val="center"/>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433"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施工、安装</w:t>
            </w:r>
            <w:r>
              <w:rPr>
                <w:rFonts w:hint="eastAsia" w:ascii="宋体" w:hAnsi="宋体" w:cs="宋体"/>
                <w:szCs w:val="21"/>
                <w:lang w:eastAsia="zh-CN"/>
              </w:rPr>
              <w:t>调试</w:t>
            </w:r>
            <w:r>
              <w:rPr>
                <w:rFonts w:hint="eastAsia" w:ascii="宋体" w:hAnsi="宋体" w:eastAsia="宋体" w:cs="宋体"/>
                <w:szCs w:val="21"/>
              </w:rPr>
              <w:t>安全及质量保障措施</w:t>
            </w:r>
          </w:p>
          <w:p>
            <w:pPr>
              <w:jc w:val="center"/>
              <w:rPr>
                <w:rFonts w:hint="eastAsia" w:ascii="宋体" w:hAnsi="宋体" w:eastAsia="宋体" w:cs="宋体"/>
                <w:szCs w:val="21"/>
              </w:rPr>
            </w:pPr>
          </w:p>
        </w:tc>
        <w:tc>
          <w:tcPr>
            <w:tcW w:w="1420"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4678" w:type="dxa"/>
            <w:noWrap w:val="0"/>
            <w:vAlign w:val="center"/>
          </w:tcPr>
          <w:p>
            <w:pPr>
              <w:tabs>
                <w:tab w:val="left" w:pos="2869"/>
                <w:tab w:val="left" w:pos="3010"/>
              </w:tabs>
              <w:rPr>
                <w:rFonts w:hint="eastAsia" w:ascii="宋体" w:hAnsi="宋体" w:eastAsia="宋体" w:cs="宋体"/>
                <w:b/>
                <w:szCs w:val="21"/>
              </w:rPr>
            </w:pPr>
            <w:r>
              <w:rPr>
                <w:rFonts w:hint="eastAsia" w:ascii="宋体" w:hAnsi="宋体" w:eastAsia="宋体" w:cs="宋体"/>
                <w:b/>
                <w:szCs w:val="21"/>
              </w:rPr>
              <w:t>（一）评审内容：</w:t>
            </w:r>
          </w:p>
          <w:p>
            <w:pPr>
              <w:rPr>
                <w:rFonts w:hint="eastAsia" w:ascii="宋体" w:hAnsi="宋体" w:eastAsia="宋体" w:cs="宋体"/>
                <w:szCs w:val="21"/>
              </w:rPr>
            </w:pPr>
            <w:r>
              <w:rPr>
                <w:rFonts w:hint="eastAsia" w:ascii="宋体" w:hAnsi="宋体" w:eastAsia="宋体" w:cs="宋体"/>
                <w:szCs w:val="21"/>
              </w:rPr>
              <w:t>投标人针对本项目的施工、安装等内容，充分说明安全及质量保障措施。评审专家根据招标文件的需求和投标文件响应情况进行评审。</w:t>
            </w:r>
          </w:p>
          <w:p>
            <w:pPr>
              <w:rPr>
                <w:rFonts w:hint="eastAsia" w:ascii="宋体" w:hAnsi="宋体" w:eastAsia="宋体" w:cs="宋体"/>
                <w:b/>
                <w:szCs w:val="21"/>
              </w:rPr>
            </w:pPr>
            <w:r>
              <w:rPr>
                <w:rFonts w:hint="eastAsia" w:ascii="宋体" w:hAnsi="宋体" w:eastAsia="宋体" w:cs="宋体"/>
                <w:b/>
                <w:szCs w:val="21"/>
              </w:rPr>
              <w:t>（二）评分标准与依据：</w:t>
            </w:r>
          </w:p>
          <w:p>
            <w:pPr>
              <w:rPr>
                <w:rFonts w:hint="eastAsia" w:ascii="宋体" w:hAnsi="宋体" w:eastAsia="宋体" w:cs="宋体"/>
                <w:szCs w:val="21"/>
              </w:rPr>
            </w:pPr>
            <w:r>
              <w:rPr>
                <w:rFonts w:hint="eastAsia" w:ascii="宋体" w:hAnsi="宋体" w:eastAsia="宋体" w:cs="宋体"/>
                <w:szCs w:val="21"/>
              </w:rPr>
              <w:t>1.施工、安装安全及质量保障措施详细，安排合理，得2分；</w:t>
            </w:r>
          </w:p>
          <w:p>
            <w:pPr>
              <w:rPr>
                <w:rFonts w:hint="eastAsia" w:ascii="宋体" w:hAnsi="宋体" w:eastAsia="宋体" w:cs="宋体"/>
                <w:szCs w:val="21"/>
              </w:rPr>
            </w:pPr>
            <w:r>
              <w:rPr>
                <w:rFonts w:hint="eastAsia" w:ascii="宋体" w:hAnsi="宋体" w:eastAsia="宋体" w:cs="宋体"/>
                <w:szCs w:val="21"/>
              </w:rPr>
              <w:t>2.施工、安装安全及质量保障措施一般，安排一般，得1分；</w:t>
            </w:r>
          </w:p>
          <w:p>
            <w:pPr>
              <w:rPr>
                <w:rFonts w:hint="eastAsia" w:ascii="宋体" w:hAnsi="宋体" w:eastAsia="宋体" w:cs="宋体"/>
                <w:szCs w:val="21"/>
              </w:rPr>
            </w:pPr>
            <w:r>
              <w:rPr>
                <w:rFonts w:hint="eastAsia" w:ascii="宋体" w:hAnsi="宋体" w:eastAsia="宋体" w:cs="宋体"/>
                <w:szCs w:val="21"/>
              </w:rPr>
              <w:t>3、施工、安装安全及质量保障措施不详细，安排较差或不提供安全保障措施不得分。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3</w:t>
            </w:r>
          </w:p>
        </w:tc>
        <w:tc>
          <w:tcPr>
            <w:tcW w:w="3552" w:type="dxa"/>
            <w:gridSpan w:val="5"/>
            <w:noWrap w:val="0"/>
            <w:vAlign w:val="center"/>
          </w:tcPr>
          <w:p>
            <w:pPr>
              <w:jc w:val="center"/>
              <w:rPr>
                <w:rFonts w:hint="eastAsia" w:ascii="宋体" w:hAnsi="宋体" w:eastAsia="宋体" w:cs="宋体"/>
                <w:b/>
                <w:szCs w:val="21"/>
              </w:rPr>
            </w:pPr>
            <w:r>
              <w:rPr>
                <w:rFonts w:hint="eastAsia" w:ascii="宋体" w:hAnsi="宋体" w:eastAsia="宋体" w:cs="宋体"/>
                <w:b/>
                <w:szCs w:val="21"/>
              </w:rPr>
              <w:t>商务需求</w:t>
            </w:r>
          </w:p>
        </w:tc>
        <w:tc>
          <w:tcPr>
            <w:tcW w:w="4678" w:type="dxa"/>
            <w:noWrap w:val="0"/>
            <w:vAlign w:val="center"/>
          </w:tcPr>
          <w:p>
            <w:pPr>
              <w:jc w:val="center"/>
              <w:rPr>
                <w:rFonts w:hint="eastAsia" w:ascii="宋体" w:hAnsi="宋体" w:eastAsia="宋体" w:cs="宋体"/>
                <w:b/>
                <w:color w:val="FF0000"/>
                <w:szCs w:val="21"/>
              </w:rPr>
            </w:pPr>
            <w:r>
              <w:rPr>
                <w:rFonts w:hint="eastAsia" w:ascii="宋体" w:hAnsi="宋体" w:eastAsia="宋体" w:cs="宋体"/>
                <w:b/>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noWrap w:val="0"/>
            <w:vAlign w:val="center"/>
          </w:tcPr>
          <w:p>
            <w:pPr>
              <w:keepNext/>
              <w:keepLines/>
              <w:spacing w:before="340" w:after="330"/>
              <w:jc w:val="center"/>
              <w:outlineLvl w:val="0"/>
              <w:rPr>
                <w:rFonts w:hint="eastAsia" w:ascii="宋体" w:hAnsi="宋体" w:eastAsia="宋体" w:cs="宋体"/>
                <w:b/>
                <w:szCs w:val="21"/>
              </w:rPr>
            </w:pPr>
          </w:p>
        </w:tc>
        <w:tc>
          <w:tcPr>
            <w:tcW w:w="699"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1422"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评分因素</w:t>
            </w:r>
          </w:p>
        </w:tc>
        <w:tc>
          <w:tcPr>
            <w:tcW w:w="1431" w:type="dxa"/>
            <w:gridSpan w:val="3"/>
            <w:noWrap w:val="0"/>
            <w:vAlign w:val="center"/>
          </w:tcPr>
          <w:p>
            <w:pPr>
              <w:jc w:val="center"/>
              <w:rPr>
                <w:rFonts w:hint="eastAsia" w:ascii="宋体" w:hAnsi="宋体" w:eastAsia="宋体" w:cs="宋体"/>
                <w:b/>
                <w:szCs w:val="21"/>
              </w:rPr>
            </w:pPr>
            <w:r>
              <w:rPr>
                <w:rFonts w:hint="eastAsia" w:ascii="宋体" w:hAnsi="宋体" w:eastAsia="宋体" w:cs="宋体"/>
                <w:b/>
                <w:szCs w:val="21"/>
              </w:rPr>
              <w:t>权重</w:t>
            </w:r>
          </w:p>
        </w:tc>
        <w:tc>
          <w:tcPr>
            <w:tcW w:w="4678"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noWrap w:val="0"/>
            <w:vAlign w:val="center"/>
          </w:tcPr>
          <w:p>
            <w:pPr>
              <w:keepNext/>
              <w:keepLines/>
              <w:spacing w:before="340" w:after="330"/>
              <w:jc w:val="center"/>
              <w:outlineLvl w:val="0"/>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cr/>
            </w:r>
            <w:r>
              <w:rPr>
                <w:rFonts w:hint="eastAsia" w:ascii="宋体" w:hAnsi="宋体" w:eastAsia="宋体" w:cs="宋体"/>
                <w:szCs w:val="21"/>
              </w:rPr>
              <w:t>1</w:t>
            </w:r>
          </w:p>
        </w:tc>
        <w:tc>
          <w:tcPr>
            <w:tcW w:w="1422" w:type="dxa"/>
            <w:noWrap w:val="0"/>
            <w:vAlign w:val="center"/>
          </w:tcPr>
          <w:p>
            <w:pPr>
              <w:jc w:val="center"/>
              <w:rPr>
                <w:rFonts w:hint="eastAsia" w:ascii="宋体" w:hAnsi="宋体" w:eastAsia="宋体" w:cs="宋体"/>
                <w:szCs w:val="21"/>
              </w:rPr>
            </w:pPr>
            <w:r>
              <w:rPr>
                <w:rFonts w:hint="eastAsia" w:ascii="宋体" w:hAnsi="宋体" w:eastAsia="宋体" w:cs="宋体"/>
                <w:szCs w:val="21"/>
              </w:rPr>
              <w:t>商务条款</w:t>
            </w:r>
          </w:p>
          <w:p>
            <w:pPr>
              <w:jc w:val="center"/>
              <w:rPr>
                <w:rFonts w:hint="eastAsia" w:ascii="宋体" w:hAnsi="宋体" w:eastAsia="宋体" w:cs="宋体"/>
                <w:szCs w:val="21"/>
              </w:rPr>
            </w:pPr>
            <w:r>
              <w:rPr>
                <w:rFonts w:hint="eastAsia" w:ascii="宋体" w:hAnsi="宋体" w:eastAsia="宋体" w:cs="宋体"/>
                <w:szCs w:val="21"/>
              </w:rPr>
              <w:t>偏离情况</w:t>
            </w:r>
          </w:p>
        </w:tc>
        <w:tc>
          <w:tcPr>
            <w:tcW w:w="1431"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 xml:space="preserve">4 </w:t>
            </w:r>
          </w:p>
        </w:tc>
        <w:tc>
          <w:tcPr>
            <w:tcW w:w="4678" w:type="dxa"/>
            <w:noWrap w:val="0"/>
            <w:vAlign w:val="center"/>
          </w:tcPr>
          <w:p>
            <w:pPr>
              <w:rPr>
                <w:rFonts w:hint="eastAsia" w:ascii="宋体" w:hAnsi="宋体" w:eastAsia="宋体" w:cs="宋体"/>
                <w:szCs w:val="21"/>
              </w:rPr>
            </w:pPr>
            <w:r>
              <w:rPr>
                <w:rFonts w:hint="eastAsia" w:ascii="宋体" w:hAnsi="宋体" w:eastAsia="宋体" w:cs="宋体"/>
                <w:szCs w:val="21"/>
              </w:rPr>
              <w:t>投标人应如实填写《商务条款偏离表》，评审委员会根据响应情况进行打分，完全满足招标文件要求的得4分，标注“★”条款每负偏离一项扣1分，未标注“★”的负偏离一项扣1分，扣完为止。</w:t>
            </w:r>
          </w:p>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340" w:after="330"/>
              <w:jc w:val="center"/>
              <w:outlineLvl w:val="0"/>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422" w:type="dxa"/>
            <w:noWrap w:val="0"/>
            <w:vAlign w:val="center"/>
          </w:tcPr>
          <w:p>
            <w:pPr>
              <w:jc w:val="center"/>
              <w:rPr>
                <w:rFonts w:hint="eastAsia" w:ascii="宋体" w:hAnsi="宋体" w:eastAsia="宋体" w:cs="宋体"/>
                <w:szCs w:val="21"/>
              </w:rPr>
            </w:pPr>
            <w:r>
              <w:rPr>
                <w:rFonts w:hint="eastAsia" w:ascii="宋体" w:hAnsi="宋体" w:eastAsia="宋体" w:cs="宋体"/>
                <w:szCs w:val="21"/>
              </w:rPr>
              <w:t>投标人投标的产品厂家通过相关认证情况</w:t>
            </w:r>
          </w:p>
        </w:tc>
        <w:tc>
          <w:tcPr>
            <w:tcW w:w="1431"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4678" w:type="dxa"/>
            <w:noWrap w:val="0"/>
            <w:vAlign w:val="top"/>
          </w:tcPr>
          <w:p>
            <w:pPr>
              <w:textAlignment w:val="baseline"/>
              <w:rPr>
                <w:rFonts w:hint="eastAsia" w:ascii="宋体" w:hAnsi="宋体" w:eastAsia="宋体" w:cs="宋体"/>
                <w:b/>
                <w:bCs/>
                <w:color w:val="000000"/>
                <w:szCs w:val="21"/>
              </w:rPr>
            </w:pPr>
            <w:r>
              <w:rPr>
                <w:rFonts w:hint="eastAsia" w:ascii="宋体" w:hAnsi="宋体" w:eastAsia="宋体" w:cs="宋体"/>
                <w:b/>
                <w:bCs/>
                <w:color w:val="000000"/>
                <w:szCs w:val="21"/>
              </w:rPr>
              <w:t>（一）评分内容：</w:t>
            </w:r>
          </w:p>
          <w:p>
            <w:pPr>
              <w:pStyle w:val="7"/>
              <w:ind w:firstLine="0" w:firstLineChars="0"/>
              <w:rPr>
                <w:rFonts w:hint="eastAsia" w:ascii="宋体" w:hAnsi="宋体" w:eastAsia="宋体" w:cs="宋体"/>
                <w:color w:val="000000"/>
              </w:rPr>
            </w:pPr>
            <w:r>
              <w:rPr>
                <w:rFonts w:hint="eastAsia" w:ascii="宋体" w:hAnsi="宋体" w:eastAsia="宋体" w:cs="宋体"/>
                <w:color w:val="000000"/>
              </w:rPr>
              <w:t>1.投标人投标的产品厂家</w:t>
            </w:r>
            <w:r>
              <w:rPr>
                <w:rFonts w:hint="eastAsia" w:ascii="宋体" w:hAnsi="宋体" w:cs="宋体"/>
                <w:color w:val="000000"/>
                <w:lang w:eastAsia="zh-CN"/>
              </w:rPr>
              <w:t>具有</w:t>
            </w:r>
            <w:r>
              <w:rPr>
                <w:rFonts w:hint="eastAsia" w:ascii="宋体" w:hAnsi="宋体" w:eastAsia="宋体" w:cs="宋体"/>
                <w:color w:val="000000"/>
                <w:u w:val="single"/>
              </w:rPr>
              <w:t xml:space="preserve"> 高新技术企业  </w:t>
            </w:r>
            <w:r>
              <w:rPr>
                <w:rFonts w:hint="eastAsia" w:ascii="宋体" w:hAnsi="宋体" w:eastAsia="宋体" w:cs="宋体"/>
                <w:color w:val="000000"/>
              </w:rPr>
              <w:t>证书”，得1分。</w:t>
            </w:r>
            <w:r>
              <w:rPr>
                <w:rFonts w:hint="eastAsia" w:ascii="宋体" w:hAnsi="宋体" w:eastAsia="宋体" w:cs="宋体"/>
                <w:b/>
                <w:color w:val="000000"/>
              </w:rPr>
              <w:t>（</w:t>
            </w:r>
            <w:r>
              <w:rPr>
                <w:rFonts w:hint="eastAsia" w:ascii="宋体" w:hAnsi="宋体" w:eastAsia="宋体" w:cs="宋体"/>
                <w:b/>
                <w:color w:val="000000"/>
                <w:szCs w:val="21"/>
              </w:rPr>
              <w:t>提供相应的资格证书复印件作为评审依据</w:t>
            </w:r>
            <w:r>
              <w:rPr>
                <w:rFonts w:hint="eastAsia" w:ascii="宋体" w:hAnsi="宋体" w:eastAsia="宋体" w:cs="宋体"/>
                <w:b/>
                <w:color w:val="000000"/>
              </w:rPr>
              <w:t>）</w:t>
            </w:r>
          </w:p>
          <w:p>
            <w:pPr>
              <w:pStyle w:val="7"/>
              <w:ind w:firstLine="0" w:firstLineChars="0"/>
              <w:jc w:val="left"/>
              <w:rPr>
                <w:rFonts w:hint="eastAsia" w:ascii="宋体" w:hAnsi="宋体" w:eastAsia="宋体" w:cs="宋体"/>
                <w:color w:val="000000"/>
              </w:rPr>
            </w:pPr>
            <w:r>
              <w:rPr>
                <w:rFonts w:hint="eastAsia" w:ascii="宋体" w:hAnsi="宋体" w:eastAsia="宋体" w:cs="宋体"/>
                <w:color w:val="000000"/>
              </w:rPr>
              <w:t>2.投标人投标的产品厂家具有有效的质量管理体系认证证书的得1分。</w:t>
            </w:r>
            <w:r>
              <w:rPr>
                <w:rFonts w:hint="eastAsia" w:ascii="宋体" w:hAnsi="宋体" w:eastAsia="宋体" w:cs="宋体"/>
                <w:b/>
                <w:color w:val="000000"/>
              </w:rPr>
              <w:t>（</w:t>
            </w:r>
            <w:r>
              <w:rPr>
                <w:rFonts w:hint="eastAsia" w:ascii="宋体" w:hAnsi="宋体" w:eastAsia="宋体" w:cs="宋体"/>
                <w:b/>
                <w:color w:val="000000"/>
                <w:szCs w:val="21"/>
              </w:rPr>
              <w:t>同时提供有效证书复印件及国家市场监督管理总局-全国认证认可信息公共服务平台</w:t>
            </w:r>
            <w:r>
              <w:rPr>
                <w:rFonts w:hint="eastAsia" w:ascii="宋体" w:hAnsi="宋体" w:eastAsia="宋体" w:cs="宋体"/>
                <w:b/>
                <w:color w:val="000000"/>
                <w:szCs w:val="21"/>
                <w:u w:val="single"/>
              </w:rPr>
              <w:fldChar w:fldCharType="begin"/>
            </w:r>
            <w:r>
              <w:rPr>
                <w:rFonts w:hint="eastAsia" w:ascii="宋体" w:hAnsi="宋体" w:eastAsia="宋体" w:cs="宋体"/>
                <w:b/>
                <w:color w:val="000000"/>
                <w:szCs w:val="21"/>
                <w:u w:val="single"/>
              </w:rPr>
              <w:instrText xml:space="preserve"> HYPERLINK "http://cx.cnca.cn/CertECloud/index/index/page</w:instrText>
            </w:r>
            <w:r>
              <w:rPr>
                <w:rFonts w:hint="eastAsia" w:ascii="宋体" w:hAnsi="宋体" w:eastAsia="宋体" w:cs="宋体"/>
                <w:b/>
                <w:color w:val="000000"/>
                <w:szCs w:val="21"/>
              </w:rPr>
              <w:instrText xml:space="preserve">证书查询截图作为评审依据</w:instrText>
            </w:r>
            <w:r>
              <w:rPr>
                <w:rFonts w:hint="eastAsia" w:ascii="宋体" w:hAnsi="宋体" w:eastAsia="宋体" w:cs="宋体"/>
                <w:b/>
                <w:color w:val="000000"/>
                <w:szCs w:val="21"/>
                <w:u w:val="single"/>
              </w:rPr>
              <w:instrText xml:space="preserve">" </w:instrText>
            </w:r>
            <w:r>
              <w:rPr>
                <w:rFonts w:hint="eastAsia" w:ascii="宋体" w:hAnsi="宋体" w:eastAsia="宋体" w:cs="宋体"/>
                <w:b/>
                <w:color w:val="000000"/>
                <w:szCs w:val="21"/>
                <w:u w:val="single"/>
              </w:rPr>
              <w:fldChar w:fldCharType="separate"/>
            </w:r>
            <w:r>
              <w:rPr>
                <w:rStyle w:val="15"/>
                <w:rFonts w:hint="eastAsia" w:ascii="宋体" w:hAnsi="宋体" w:eastAsia="宋体" w:cs="宋体"/>
                <w:b/>
                <w:szCs w:val="21"/>
              </w:rPr>
              <w:t>http://cx.cnca.cn/CertECloud/index/index/page证书查询截图作为评审依据</w:t>
            </w:r>
            <w:r>
              <w:rPr>
                <w:rFonts w:hint="eastAsia" w:ascii="宋体" w:hAnsi="宋体" w:eastAsia="宋体" w:cs="宋体"/>
                <w:b/>
                <w:color w:val="000000"/>
                <w:szCs w:val="21"/>
                <w:u w:val="single"/>
              </w:rPr>
              <w:fldChar w:fldCharType="end"/>
            </w:r>
            <w:r>
              <w:rPr>
                <w:rFonts w:hint="eastAsia" w:ascii="宋体" w:hAnsi="宋体" w:eastAsia="宋体" w:cs="宋体"/>
                <w:b/>
                <w:color w:val="000000"/>
                <w:szCs w:val="21"/>
              </w:rPr>
              <w:t>。）</w:t>
            </w:r>
          </w:p>
          <w:p>
            <w:pPr>
              <w:pStyle w:val="7"/>
              <w:spacing w:after="156" w:afterLines="50"/>
              <w:ind w:firstLine="0" w:firstLineChars="0"/>
              <w:rPr>
                <w:rFonts w:hint="eastAsia" w:ascii="宋体" w:hAnsi="宋体" w:eastAsia="宋体" w:cs="宋体"/>
                <w:color w:val="000000"/>
              </w:rPr>
            </w:pPr>
            <w:r>
              <w:rPr>
                <w:rFonts w:hint="eastAsia" w:ascii="宋体" w:hAnsi="宋体" w:eastAsia="宋体" w:cs="宋体"/>
                <w:color w:val="000000"/>
              </w:rPr>
              <w:t>3.以上2项累加计分，最高得2分。</w:t>
            </w:r>
          </w:p>
          <w:p>
            <w:pPr>
              <w:textAlignment w:val="baseline"/>
              <w:rPr>
                <w:rFonts w:hint="eastAsia" w:ascii="宋体" w:hAnsi="宋体" w:eastAsia="宋体" w:cs="宋体"/>
                <w:b/>
                <w:bCs/>
                <w:color w:val="000000"/>
                <w:szCs w:val="21"/>
              </w:rPr>
            </w:pPr>
            <w:r>
              <w:rPr>
                <w:rFonts w:hint="eastAsia" w:ascii="宋体" w:hAnsi="宋体" w:eastAsia="宋体" w:cs="宋体"/>
                <w:b/>
                <w:bCs/>
                <w:color w:val="000000"/>
                <w:szCs w:val="21"/>
              </w:rPr>
              <w:t>（二）证明材料：</w:t>
            </w:r>
          </w:p>
          <w:p>
            <w:pPr>
              <w:ind w:right="31" w:rightChars="15"/>
              <w:jc w:val="left"/>
              <w:rPr>
                <w:rFonts w:hint="eastAsia" w:ascii="宋体" w:hAnsi="宋体" w:eastAsia="宋体" w:cs="宋体"/>
                <w:szCs w:val="21"/>
              </w:rPr>
            </w:pPr>
            <w:r>
              <w:rPr>
                <w:rFonts w:hint="eastAsia" w:ascii="宋体" w:hAnsi="宋体" w:eastAsia="宋体" w:cs="宋体"/>
                <w:color w:val="000000"/>
              </w:rPr>
              <w:t>按以上评分内容要求提供相应的证明文件复印件作为评审依据,未按要求提供相应评审依据的或提供的信息无法判断的不得分。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260" w:after="260"/>
              <w:jc w:val="center"/>
              <w:outlineLvl w:val="2"/>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422" w:type="dxa"/>
            <w:noWrap w:val="0"/>
            <w:vAlign w:val="center"/>
          </w:tcPr>
          <w:p>
            <w:pPr>
              <w:jc w:val="center"/>
              <w:rPr>
                <w:rFonts w:hint="eastAsia" w:ascii="宋体" w:hAnsi="宋体" w:eastAsia="宋体" w:cs="宋体"/>
                <w:szCs w:val="21"/>
              </w:rPr>
            </w:pPr>
            <w:r>
              <w:rPr>
                <w:rFonts w:hint="eastAsia" w:ascii="宋体" w:hAnsi="宋体" w:eastAsia="宋体" w:cs="宋体"/>
                <w:szCs w:val="21"/>
              </w:rPr>
              <w:t xml:space="preserve">投标人服务网点       </w:t>
            </w:r>
          </w:p>
        </w:tc>
        <w:tc>
          <w:tcPr>
            <w:tcW w:w="1431"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4678" w:type="dxa"/>
            <w:noWrap w:val="0"/>
            <w:vAlign w:val="top"/>
          </w:tcPr>
          <w:p>
            <w:pPr>
              <w:jc w:val="left"/>
              <w:rPr>
                <w:rFonts w:hint="eastAsia" w:ascii="宋体" w:hAnsi="宋体" w:eastAsia="宋体" w:cs="宋体"/>
                <w:szCs w:val="21"/>
              </w:rPr>
            </w:pPr>
            <w:r>
              <w:rPr>
                <w:rFonts w:hint="eastAsia" w:ascii="宋体" w:hAnsi="宋体" w:eastAsia="宋体" w:cs="宋体"/>
                <w:szCs w:val="21"/>
              </w:rPr>
              <w:t>1.深圳市注册的企业及非深圳市注册的企业但在深圳设有长期的售后服务机构的得2分。（需提供分支机构的注册登记证明复印件，未提供不得分。）</w:t>
            </w:r>
          </w:p>
          <w:p>
            <w:pPr>
              <w:jc w:val="left"/>
              <w:rPr>
                <w:rFonts w:hint="eastAsia" w:ascii="宋体" w:hAnsi="宋体" w:eastAsia="宋体" w:cs="宋体"/>
                <w:szCs w:val="21"/>
              </w:rPr>
            </w:pPr>
            <w:r>
              <w:rPr>
                <w:rFonts w:hint="eastAsia" w:ascii="宋体" w:hAnsi="宋体" w:eastAsia="宋体" w:cs="宋体"/>
                <w:szCs w:val="21"/>
              </w:rPr>
              <w:t>2.未在深圳设有长期售后服务机构的，承诺中标后设立本地经营（服务）网点的，提供承诺文件（格式自定）的，得1分。未提供承诺或承诺内容不满足要求均不得分。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260" w:after="260"/>
              <w:jc w:val="center"/>
              <w:outlineLvl w:val="2"/>
              <w:rPr>
                <w:rFonts w:hint="eastAsia" w:ascii="宋体" w:hAnsi="宋体" w:eastAsia="宋体" w:cs="宋体"/>
                <w:szCs w:val="21"/>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422" w:type="dxa"/>
            <w:noWrap w:val="0"/>
            <w:vAlign w:val="center"/>
          </w:tcPr>
          <w:p>
            <w:pPr>
              <w:jc w:val="center"/>
              <w:rPr>
                <w:rFonts w:hint="eastAsia" w:ascii="宋体" w:hAnsi="宋体" w:eastAsia="宋体" w:cs="宋体"/>
                <w:szCs w:val="21"/>
              </w:rPr>
            </w:pPr>
            <w:r>
              <w:rPr>
                <w:rFonts w:hint="eastAsia" w:ascii="宋体" w:hAnsi="宋体" w:eastAsia="宋体" w:cs="宋体"/>
                <w:szCs w:val="21"/>
              </w:rPr>
              <w:t>投标人同类业绩</w:t>
            </w:r>
          </w:p>
        </w:tc>
        <w:tc>
          <w:tcPr>
            <w:tcW w:w="1431" w:type="dxa"/>
            <w:gridSpan w:val="3"/>
            <w:noWrap w:val="0"/>
            <w:vAlign w:val="center"/>
          </w:tcPr>
          <w:p>
            <w:pPr>
              <w:spacing w:line="240" w:lineRule="exact"/>
              <w:jc w:val="center"/>
              <w:rPr>
                <w:rFonts w:hint="eastAsia" w:ascii="宋体" w:hAnsi="宋体" w:eastAsia="宋体" w:cs="宋体"/>
                <w:szCs w:val="21"/>
              </w:rPr>
            </w:pPr>
            <w:r>
              <w:rPr>
                <w:rFonts w:hint="eastAsia" w:ascii="宋体" w:hAnsi="宋体" w:eastAsia="宋体" w:cs="宋体"/>
                <w:szCs w:val="21"/>
              </w:rPr>
              <w:t xml:space="preserve">2 </w:t>
            </w:r>
          </w:p>
        </w:tc>
        <w:tc>
          <w:tcPr>
            <w:tcW w:w="4678" w:type="dxa"/>
            <w:noWrap w:val="0"/>
            <w:vAlign w:val="center"/>
          </w:tcPr>
          <w:p>
            <w:pPr>
              <w:jc w:val="left"/>
              <w:rPr>
                <w:rFonts w:hint="eastAsia" w:ascii="宋体" w:hAnsi="宋体" w:eastAsia="宋体" w:cs="宋体"/>
                <w:szCs w:val="21"/>
              </w:rPr>
            </w:pPr>
            <w:r>
              <w:rPr>
                <w:rFonts w:hint="eastAsia" w:ascii="宋体" w:hAnsi="宋体" w:eastAsia="宋体" w:cs="宋体"/>
                <w:kern w:val="0"/>
                <w:szCs w:val="21"/>
              </w:rPr>
              <w:t>投标人近三年（202</w:t>
            </w:r>
            <w:r>
              <w:rPr>
                <w:rFonts w:hint="eastAsia" w:ascii="宋体" w:hAnsi="宋体" w:cs="宋体"/>
                <w:kern w:val="0"/>
                <w:szCs w:val="21"/>
                <w:lang w:val="en-US" w:eastAsia="zh-CN"/>
              </w:rPr>
              <w:t>0</w:t>
            </w:r>
            <w:r>
              <w:rPr>
                <w:rFonts w:hint="eastAsia" w:ascii="宋体" w:hAnsi="宋体" w:eastAsia="宋体" w:cs="宋体"/>
                <w:kern w:val="0"/>
                <w:szCs w:val="21"/>
              </w:rPr>
              <w:t>年</w:t>
            </w:r>
            <w:r>
              <w:rPr>
                <w:rFonts w:hint="eastAsia" w:ascii="宋体" w:hAnsi="宋体" w:cs="宋体"/>
                <w:kern w:val="0"/>
                <w:szCs w:val="21"/>
                <w:lang w:val="en-US" w:eastAsia="zh-CN"/>
              </w:rPr>
              <w:t>6</w:t>
            </w:r>
            <w:r>
              <w:rPr>
                <w:rFonts w:hint="eastAsia" w:ascii="宋体" w:hAnsi="宋体" w:eastAsia="宋体" w:cs="宋体"/>
                <w:kern w:val="0"/>
                <w:szCs w:val="21"/>
              </w:rPr>
              <w:t>月至今）以来2个同类音视频系统业绩。每提供1个音视频产品的合同</w:t>
            </w:r>
            <w:r>
              <w:rPr>
                <w:rFonts w:hint="eastAsia" w:ascii="宋体" w:hAnsi="宋体" w:cs="宋体"/>
                <w:kern w:val="0"/>
                <w:szCs w:val="21"/>
                <w:lang w:eastAsia="zh-CN"/>
              </w:rPr>
              <w:t>，</w:t>
            </w:r>
            <w:r>
              <w:rPr>
                <w:rFonts w:hint="eastAsia" w:ascii="宋体" w:hAnsi="宋体" w:eastAsia="宋体" w:cs="宋体"/>
                <w:kern w:val="0"/>
                <w:szCs w:val="21"/>
              </w:rPr>
              <w:t>得1分，未提供的不得分。投标人需在投标文件中提供每个项目的合同</w:t>
            </w:r>
            <w:r>
              <w:rPr>
                <w:rFonts w:hint="eastAsia" w:ascii="宋体" w:hAnsi="宋体" w:cs="宋体"/>
                <w:kern w:val="0"/>
                <w:szCs w:val="21"/>
                <w:lang w:eastAsia="zh-CN"/>
              </w:rPr>
              <w:t>关键页</w:t>
            </w:r>
            <w:r>
              <w:rPr>
                <w:rFonts w:hint="eastAsia" w:ascii="宋体" w:hAnsi="宋体" w:eastAsia="宋体" w:cs="宋体"/>
                <w:kern w:val="0"/>
                <w:szCs w:val="21"/>
              </w:rPr>
              <w:t>和验收报告，否则不得分。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4</w:t>
            </w:r>
          </w:p>
        </w:tc>
        <w:tc>
          <w:tcPr>
            <w:tcW w:w="3552" w:type="dxa"/>
            <w:gridSpan w:val="5"/>
            <w:noWrap w:val="0"/>
            <w:vAlign w:val="center"/>
          </w:tcPr>
          <w:p>
            <w:pPr>
              <w:jc w:val="center"/>
              <w:rPr>
                <w:rFonts w:hint="eastAsia" w:ascii="宋体" w:hAnsi="宋体" w:eastAsia="宋体" w:cs="宋体"/>
                <w:b/>
                <w:szCs w:val="21"/>
              </w:rPr>
            </w:pPr>
            <w:r>
              <w:rPr>
                <w:rFonts w:hint="eastAsia" w:ascii="宋体" w:hAnsi="宋体" w:eastAsia="宋体" w:cs="宋体"/>
                <w:b/>
                <w:szCs w:val="21"/>
              </w:rPr>
              <w:t>诚信情况</w:t>
            </w:r>
          </w:p>
        </w:tc>
        <w:tc>
          <w:tcPr>
            <w:tcW w:w="4678" w:type="dxa"/>
            <w:noWrap w:val="0"/>
            <w:vAlign w:val="center"/>
          </w:tcPr>
          <w:p>
            <w:pPr>
              <w:pStyle w:val="10"/>
              <w:pBdr>
                <w:bottom w:val="none" w:color="auto" w:sz="0" w:space="0"/>
              </w:pBdr>
              <w:tabs>
                <w:tab w:val="clear" w:pos="4153"/>
                <w:tab w:val="clear" w:pos="8306"/>
              </w:tabs>
              <w:rPr>
                <w:rFonts w:hint="eastAsia" w:ascii="宋体" w:hAnsi="宋体" w:eastAsia="宋体" w:cs="宋体"/>
                <w:b/>
                <w:color w:val="FF0000"/>
                <w:kern w:val="2"/>
                <w:sz w:val="21"/>
                <w:szCs w:val="21"/>
              </w:rPr>
            </w:pPr>
            <w:r>
              <w:rPr>
                <w:rFonts w:hint="eastAsia" w:ascii="宋体" w:hAnsi="宋体" w:eastAsia="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noWrap w:val="0"/>
            <w:vAlign w:val="center"/>
          </w:tcPr>
          <w:p>
            <w:pPr>
              <w:jc w:val="center"/>
              <w:rPr>
                <w:rFonts w:hint="eastAsia" w:ascii="宋体" w:hAnsi="宋体" w:eastAsia="宋体" w:cs="宋体"/>
                <w:b/>
                <w:szCs w:val="21"/>
              </w:rPr>
            </w:pPr>
          </w:p>
        </w:tc>
        <w:tc>
          <w:tcPr>
            <w:tcW w:w="699"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1709" w:type="dxa"/>
            <w:gridSpan w:val="3"/>
            <w:noWrap w:val="0"/>
            <w:vAlign w:val="center"/>
          </w:tcPr>
          <w:p>
            <w:pPr>
              <w:jc w:val="center"/>
              <w:rPr>
                <w:rFonts w:hint="eastAsia" w:ascii="宋体" w:hAnsi="宋体" w:eastAsia="宋体" w:cs="宋体"/>
                <w:b/>
                <w:szCs w:val="21"/>
              </w:rPr>
            </w:pPr>
            <w:r>
              <w:rPr>
                <w:rFonts w:hint="eastAsia" w:ascii="宋体" w:hAnsi="宋体" w:eastAsia="宋体" w:cs="宋体"/>
                <w:b/>
                <w:szCs w:val="21"/>
              </w:rPr>
              <w:t>评分因素</w:t>
            </w:r>
          </w:p>
        </w:tc>
        <w:tc>
          <w:tcPr>
            <w:tcW w:w="1144"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权重</w:t>
            </w:r>
          </w:p>
        </w:tc>
        <w:tc>
          <w:tcPr>
            <w:tcW w:w="4678"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noWrap w:val="0"/>
            <w:vAlign w:val="center"/>
          </w:tcPr>
          <w:p>
            <w:pPr>
              <w:keepNext/>
              <w:keepLines/>
              <w:spacing w:before="340" w:after="330"/>
              <w:jc w:val="center"/>
              <w:outlineLvl w:val="0"/>
              <w:rPr>
                <w:rFonts w:hint="eastAsia" w:ascii="宋体" w:hAnsi="宋体" w:eastAsia="宋体" w:cs="宋体"/>
                <w:szCs w:val="21"/>
                <w:highlight w:val="yellow"/>
              </w:rPr>
            </w:pPr>
          </w:p>
        </w:tc>
        <w:tc>
          <w:tcPr>
            <w:tcW w:w="699"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709"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诚信评价</w:t>
            </w:r>
          </w:p>
          <w:p>
            <w:pPr>
              <w:jc w:val="center"/>
              <w:rPr>
                <w:rFonts w:hint="eastAsia" w:ascii="宋体" w:hAnsi="宋体" w:eastAsia="宋体" w:cs="宋体"/>
                <w:szCs w:val="21"/>
              </w:rPr>
            </w:pPr>
          </w:p>
        </w:tc>
        <w:tc>
          <w:tcPr>
            <w:tcW w:w="1144" w:type="dxa"/>
            <w:noWrap w:val="0"/>
            <w:vAlign w:val="center"/>
          </w:tcPr>
          <w:p>
            <w:pPr>
              <w:jc w:val="center"/>
              <w:rPr>
                <w:rFonts w:hint="eastAsia" w:ascii="宋体" w:hAnsi="宋体" w:eastAsia="宋体" w:cs="宋体"/>
                <w:szCs w:val="21"/>
              </w:rPr>
            </w:pPr>
            <w:r>
              <w:rPr>
                <w:rFonts w:hint="eastAsia" w:ascii="宋体" w:hAnsi="宋体" w:eastAsia="宋体" w:cs="宋体"/>
                <w:szCs w:val="21"/>
              </w:rPr>
              <w:t xml:space="preserve">5 </w:t>
            </w:r>
          </w:p>
        </w:tc>
        <w:tc>
          <w:tcPr>
            <w:tcW w:w="4678" w:type="dxa"/>
            <w:noWrap w:val="0"/>
            <w:vAlign w:val="top"/>
          </w:tcPr>
          <w:p>
            <w:pPr>
              <w:jc w:val="center"/>
              <w:rPr>
                <w:rFonts w:hint="eastAsia" w:ascii="宋体" w:hAnsi="宋体" w:eastAsia="宋体" w:cs="宋体"/>
                <w:szCs w:val="21"/>
              </w:rPr>
            </w:pPr>
            <w:r>
              <w:rPr>
                <w:rFonts w:hint="eastAsia" w:ascii="宋体" w:hAnsi="宋体" w:eastAsia="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3"/>
      </w:pPr>
      <w:r>
        <w:rPr>
          <w:rFonts w:hint="eastAsia"/>
        </w:rPr>
        <w:t>第二章  项目需求</w:t>
      </w:r>
    </w:p>
    <w:p>
      <w:pPr>
        <w:pStyle w:val="6"/>
        <w:spacing w:before="120" w:beforeLines="50" w:after="120" w:afterLines="50"/>
        <w:rPr>
          <w:rFonts w:cs="宋体"/>
          <w:szCs w:val="28"/>
        </w:rPr>
      </w:pPr>
      <w:bookmarkStart w:id="0" w:name="_Toc60560625"/>
      <w:bookmarkStart w:id="1" w:name="_Toc60631620"/>
      <w:bookmarkStart w:id="2" w:name="_Toc101074876"/>
      <w:bookmarkStart w:id="3" w:name="_Toc73521635"/>
      <w:bookmarkStart w:id="4" w:name="_Toc100052364"/>
      <w:bookmarkStart w:id="5" w:name="_Toc73521547"/>
      <w:bookmarkStart w:id="6" w:name="_Toc73517639"/>
      <w:bookmarkStart w:id="7" w:name="_Toc73518117"/>
      <w:r>
        <w:rPr>
          <w:rFonts w:hint="eastAsia" w:cs="宋体"/>
          <w:szCs w:val="28"/>
        </w:rPr>
        <w:t>一、项目概况</w:t>
      </w:r>
    </w:p>
    <w:bookmarkEnd w:id="0"/>
    <w:bookmarkEnd w:id="1"/>
    <w:bookmarkEnd w:id="2"/>
    <w:bookmarkEnd w:id="3"/>
    <w:bookmarkEnd w:id="4"/>
    <w:bookmarkEnd w:id="5"/>
    <w:bookmarkEnd w:id="6"/>
    <w:bookmarkEnd w:id="7"/>
    <w:p>
      <w:pPr>
        <w:rPr>
          <w:rFonts w:hint="eastAsia"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lang w:eastAsia="zh-CN"/>
        </w:rPr>
        <w:t>深圳市第一职业技术学校</w:t>
      </w:r>
      <w:r>
        <w:rPr>
          <w:rFonts w:hint="eastAsia" w:ascii="宋体" w:hAnsi="宋体" w:cs="宋体"/>
          <w:szCs w:val="21"/>
        </w:rPr>
        <w:t>综合楼1511会议室话筒及控制主机采购项目。</w:t>
      </w:r>
    </w:p>
    <w:p>
      <w:pPr>
        <w:pStyle w:val="6"/>
        <w:numPr>
          <w:ilvl w:val="0"/>
          <w:numId w:val="1"/>
        </w:numPr>
        <w:spacing w:before="120" w:beforeLines="50" w:after="120" w:afterLines="50"/>
        <w:rPr>
          <w:rFonts w:hint="eastAsia" w:cs="宋体"/>
          <w:szCs w:val="28"/>
        </w:rPr>
      </w:pPr>
      <w:r>
        <w:rPr>
          <w:rFonts w:hint="eastAsia" w:cs="宋体"/>
          <w:szCs w:val="28"/>
        </w:rPr>
        <w:t>货物清单</w:t>
      </w:r>
    </w:p>
    <w:tbl>
      <w:tblPr>
        <w:tblStyle w:val="12"/>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noWrap w:val="0"/>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序号</w:t>
            </w:r>
          </w:p>
        </w:tc>
        <w:tc>
          <w:tcPr>
            <w:tcW w:w="2265"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货物名称</w:t>
            </w:r>
          </w:p>
        </w:tc>
        <w:tc>
          <w:tcPr>
            <w:tcW w:w="1335"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1290"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214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noWrap w:val="0"/>
            <w:vAlign w:val="center"/>
          </w:tcPr>
          <w:p>
            <w:pPr>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p>
        </w:tc>
        <w:tc>
          <w:tcPr>
            <w:tcW w:w="2265"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会议系统主机</w:t>
            </w:r>
          </w:p>
        </w:tc>
        <w:tc>
          <w:tcPr>
            <w:tcW w:w="1335"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90"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台</w:t>
            </w:r>
          </w:p>
        </w:tc>
        <w:tc>
          <w:tcPr>
            <w:tcW w:w="2148"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noWrap w:val="0"/>
            <w:vAlign w:val="center"/>
          </w:tcPr>
          <w:p>
            <w:pPr>
              <w:widowControl/>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w:t>
            </w:r>
          </w:p>
        </w:tc>
        <w:tc>
          <w:tcPr>
            <w:tcW w:w="2265"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会议主席话筒</w:t>
            </w:r>
          </w:p>
        </w:tc>
        <w:tc>
          <w:tcPr>
            <w:tcW w:w="1335"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290"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台</w:t>
            </w:r>
          </w:p>
        </w:tc>
        <w:tc>
          <w:tcPr>
            <w:tcW w:w="2148" w:type="dxa"/>
            <w:noWrap w:val="0"/>
            <w:vAlign w:val="center"/>
          </w:tcPr>
          <w:p>
            <w:pPr>
              <w:widowControl/>
              <w:ind w:right="315"/>
              <w:jc w:val="center"/>
              <w:rPr>
                <w:rFonts w:hint="eastAsia" w:ascii="宋体" w:hAnsi="宋体" w:eastAsia="宋体" w:cs="宋体"/>
                <w:color w:val="000000"/>
                <w:kern w:val="0"/>
                <w:sz w:val="21"/>
                <w:szCs w:val="21"/>
              </w:rPr>
            </w:pPr>
            <w:r>
              <w:rPr>
                <w:rFonts w:hint="eastAsia" w:ascii="宋体" w:hAnsi="宋体" w:cs="宋体"/>
                <w:bCs/>
                <w:sz w:val="21"/>
                <w:szCs w:val="21"/>
                <w:lang w:val="en-US" w:eastAsia="zh-CN"/>
              </w:rPr>
              <w:t xml:space="preserve">   </w:t>
            </w:r>
            <w:r>
              <w:rPr>
                <w:rFonts w:hint="eastAsia" w:ascii="宋体" w:hAnsi="宋体" w:eastAsia="宋体" w:cs="宋体"/>
                <w:bCs/>
                <w:sz w:val="21"/>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noWrap w:val="0"/>
            <w:vAlign w:val="center"/>
          </w:tcPr>
          <w:p>
            <w:pPr>
              <w:widowControl/>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2265"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会议代表话筒</w:t>
            </w:r>
          </w:p>
        </w:tc>
        <w:tc>
          <w:tcPr>
            <w:tcW w:w="1335"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21</w:t>
            </w:r>
          </w:p>
        </w:tc>
        <w:tc>
          <w:tcPr>
            <w:tcW w:w="1290"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台</w:t>
            </w:r>
          </w:p>
        </w:tc>
        <w:tc>
          <w:tcPr>
            <w:tcW w:w="214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Cs/>
                <w:sz w:val="21"/>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noWrap w:val="0"/>
            <w:vAlign w:val="center"/>
          </w:tcPr>
          <w:p>
            <w:pPr>
              <w:widowControl/>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2265"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连接线</w:t>
            </w:r>
          </w:p>
        </w:tc>
        <w:tc>
          <w:tcPr>
            <w:tcW w:w="1335"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290" w:type="dxa"/>
            <w:noWrap w:val="0"/>
            <w:vAlign w:val="center"/>
          </w:tcPr>
          <w:p>
            <w:pPr>
              <w:widowControl/>
              <w:jc w:val="center"/>
              <w:rPr>
                <w:rFonts w:hint="eastAsia" w:ascii="宋体" w:hAnsi="宋体" w:eastAsia="宋体" w:cs="宋体"/>
                <w:bCs/>
                <w:sz w:val="21"/>
                <w:szCs w:val="21"/>
              </w:rPr>
            </w:pPr>
            <w:r>
              <w:rPr>
                <w:rFonts w:hint="eastAsia" w:ascii="宋体" w:hAnsi="宋体" w:eastAsia="宋体" w:cs="宋体"/>
                <w:bCs/>
                <w:sz w:val="21"/>
                <w:szCs w:val="21"/>
              </w:rPr>
              <w:t>套</w:t>
            </w:r>
          </w:p>
        </w:tc>
        <w:tc>
          <w:tcPr>
            <w:tcW w:w="2148"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bCs/>
                <w:sz w:val="21"/>
                <w:szCs w:val="21"/>
              </w:rPr>
              <w:t>拒绝进口</w:t>
            </w:r>
          </w:p>
        </w:tc>
      </w:tr>
    </w:tbl>
    <w:p>
      <w:pPr>
        <w:pStyle w:val="6"/>
        <w:spacing w:before="120" w:beforeLines="50" w:after="120" w:afterLines="50"/>
        <w:rPr>
          <w:rFonts w:cs="宋体"/>
          <w:szCs w:val="28"/>
        </w:rPr>
      </w:pPr>
      <w:r>
        <w:rPr>
          <w:rFonts w:hint="eastAsia" w:cs="宋体"/>
          <w:szCs w:val="28"/>
        </w:rPr>
        <w:t>三、具体技术要求</w:t>
      </w:r>
    </w:p>
    <w:p>
      <w:pPr>
        <w:rPr>
          <w:rFonts w:hint="eastAsia" w:ascii="宋体" w:hAnsi="宋体" w:cs="宋体"/>
          <w:b/>
          <w:szCs w:val="21"/>
        </w:rPr>
      </w:pPr>
      <w:r>
        <w:rPr>
          <w:rFonts w:hint="eastAsia" w:ascii="宋体" w:hAnsi="宋体" w:cs="宋体"/>
          <w:b/>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2"/>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6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76" w:type="dxa"/>
            <w:noWrap w:val="0"/>
            <w:vAlign w:val="center"/>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601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0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476"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会议系统主机</w:t>
            </w:r>
          </w:p>
        </w:tc>
        <w:tc>
          <w:tcPr>
            <w:tcW w:w="601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1.1主机装备不小于3.5"TFT触控显示屏，并兼备屏幕触控和实体按键的双重操作方式，提升管理控制效率及稳定性。</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1.2</w:t>
            </w:r>
            <w:r>
              <w:rPr>
                <w:rFonts w:hint="eastAsia" w:ascii="宋体" w:hAnsi="宋体" w:eastAsia="宋体" w:cs="宋体"/>
                <w:b w:val="0"/>
                <w:bCs w:val="0"/>
                <w:color w:val="FF0000"/>
                <w:sz w:val="21"/>
                <w:szCs w:val="21"/>
              </w:rPr>
              <w:t>★主机具备不少于8路会议单元输出接口，包含4路8芯和4路RJ45网络接口，主机最多可挂载60支会议单元；支持多级扩展连接，最大可连接5000支会议单元；(提供权威机构出具的检测报告并加盖厂家公章)。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1.3主机内置DSP音频处理，可最大程度抑制啸叫问题。</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1.4支持先进先出、后入后出、数量限制、计时模式、声控模式、主席电脑允许、自由讨论七种工作模式。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1.5发言人数可设置为1/2/3/4/5/6个，主席和VIP单元不受数量限制，自由讨论模式不受限制可全部打开</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1.6支持实时修改话筒身份，实现话筒身份在主席、VIP、代表中自由切换</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1.7</w:t>
            </w:r>
            <w:r>
              <w:rPr>
                <w:rFonts w:hint="eastAsia" w:ascii="宋体" w:hAnsi="宋体" w:eastAsia="宋体" w:cs="宋体"/>
                <w:b w:val="0"/>
                <w:bCs w:val="0"/>
                <w:color w:val="FF0000"/>
                <w:sz w:val="21"/>
                <w:szCs w:val="21"/>
              </w:rPr>
              <w:t>★具备双机热备份功能，当会议主机出现异常，会议备机可自动接管；(提供权威机构出具的检测报告并加盖厂家公章)。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1.8内置摄像跟踪功能，支持PELCO-D、PELCO-P、VISCA等控制协议，主机最多可同时控制4台摄像机实现发言自动跟踪功能。</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1.9具备三进一出AV视频矩阵，可直接控制多个高清摄像机实现画面的自动切换。</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1.10通过扩展网络连接盒可显示实时日期时钟，支持网络实时时间同步。</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1.11</w:t>
            </w:r>
            <w:r>
              <w:rPr>
                <w:rFonts w:hint="eastAsia" w:ascii="宋体" w:hAnsi="宋体" w:eastAsia="宋体" w:cs="宋体"/>
                <w:b w:val="0"/>
                <w:bCs w:val="0"/>
                <w:color w:val="FF0000"/>
                <w:sz w:val="21"/>
                <w:szCs w:val="21"/>
              </w:rPr>
              <w:t>★支持与会者服务请求功能，并能通过配有专用会议服务软件，最多可同时响应8个会议室中会议话筒的服务请求，也支持主机自带3.5寸显示屏同时处理话筒的服务申请；(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1.12频率响应：20Hz—25KHz。</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1.13信噪比＞96 dB(A)</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1.14通道隔离度＞86 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1.15动态范围＞98dB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1.16总谐波失真＜0.05%</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1.17音频输入：RCA×2 、XLR×1。</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1.18音频输出：XLR×1、RCA×4、6.35×1</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1.19控制接口：RS-232×2、RS-485×1。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1476"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会议主席话筒</w:t>
            </w:r>
          </w:p>
        </w:tc>
        <w:tc>
          <w:tcPr>
            <w:tcW w:w="601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1.1采用锌铝合金话筒杆，内置14mm纯金膜高保真拾音头，最大可内置2枚14mm纯金膜咪芯。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1.2双备份设计，可扩展手拉手会议与幻象供电双系统音频信号同时输出，可双重保证音频信号。</w:t>
            </w:r>
          </w:p>
          <w:p>
            <w:pP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1.3</w:t>
            </w:r>
            <w:r>
              <w:rPr>
                <w:rFonts w:hint="eastAsia" w:ascii="宋体" w:hAnsi="宋体" w:eastAsia="宋体" w:cs="宋体"/>
                <w:b w:val="0"/>
                <w:bCs w:val="0"/>
                <w:color w:val="FF0000"/>
                <w:sz w:val="21"/>
                <w:szCs w:val="21"/>
              </w:rPr>
              <w:t>★话筒具备磁性锁扣插拔结构，可自由更换不同性能的话筒杆来适应不同的会议场合；休会期间可拆卸话筒杆，方便设备维护；(提供权威机构出具的检测报告并加盖厂家公章)。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1.4全新触摸操控技术，具备3.5英寸的全彩色电容触摸屏幕，可提供定制化Logo界面。</w:t>
            </w:r>
          </w:p>
          <w:p>
            <w:pP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1.5</w:t>
            </w:r>
            <w:r>
              <w:rPr>
                <w:rFonts w:hint="eastAsia" w:ascii="宋体" w:hAnsi="宋体" w:eastAsia="宋体" w:cs="宋体"/>
                <w:b w:val="0"/>
                <w:bCs w:val="0"/>
                <w:color w:val="FF0000"/>
                <w:sz w:val="21"/>
                <w:szCs w:val="21"/>
              </w:rPr>
              <w:t>★会议单元具备双备份发言按键设计，可同时支持发言实体静音按键及触控屏超静音触摸按键发言；(提供权威机构出具的检测报告并加盖厂家公章)。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1.6高灵敏度咪芯设计,拾音距离最远可达80cm。</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1.7配合高清摄像机，可实现发言者自动跟踪及画面自动切换。1.8支持系统签到功能，可通过会议单元完成会议签到。</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1.9配合主机，可以实现先进先出、后入后出、限制发言、主席允许、自由讨论五种发言模式。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1.10单元带有耳机插孔,与会者可使用耳机收听他人发言；并有物理旋钮，可以控制耳机音量。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1.11自带TYPE-C升级接口，可以支持软件检测及升级。</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1.12话筒身份可根据需求自行设定，在代表、主席、VIP身份中自由切换，使用更灵活。</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1.13支持“环形手拉手”连接，可连接备份主机，让系统连接更方便，更可靠。</w:t>
            </w:r>
          </w:p>
          <w:p>
            <w:pP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1.14</w:t>
            </w:r>
            <w:r>
              <w:rPr>
                <w:rFonts w:hint="eastAsia" w:ascii="宋体" w:hAnsi="宋体" w:eastAsia="宋体" w:cs="宋体"/>
                <w:b w:val="0"/>
                <w:bCs w:val="0"/>
                <w:color w:val="FF0000"/>
                <w:sz w:val="21"/>
                <w:szCs w:val="21"/>
              </w:rPr>
              <w:t>★具备系统自我检测功能，通过软件可自动完成按键、表决、音频信号状态的自动检测，简化会前准备、测试工作，提高会议的稳定性；(提供权威机构出具的检测报告并加盖厂家公章)。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1.15频率响应：20Hz—20KHz。</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1.16信噪比＞92dB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1.17动态范围＞98dB。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1.18总谐波失真＜0.05%</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1.19最大声压级：136dB。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1.20灵敏度：-34dB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90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1476"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会议代表话筒</w:t>
            </w:r>
          </w:p>
        </w:tc>
        <w:tc>
          <w:tcPr>
            <w:tcW w:w="601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1.1采用锌铝合金话筒杆，内置14mm纯金膜高保真拾音头，最大可内置2枚14mm纯金膜咪芯</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1.2双备份设计，可扩展手拉手会议与幻象供电双系统音频信号同时输出，可双重保证音频信号。</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1.3</w:t>
            </w:r>
            <w:r>
              <w:rPr>
                <w:rFonts w:hint="eastAsia" w:ascii="宋体" w:hAnsi="宋体" w:eastAsia="宋体" w:cs="宋体"/>
                <w:b w:val="0"/>
                <w:bCs w:val="0"/>
                <w:color w:val="FF0000"/>
                <w:sz w:val="21"/>
                <w:szCs w:val="21"/>
              </w:rPr>
              <w:t>★话筒具备磁性锁扣插拔结构，可自由更换不同性能的话筒杆来适应不同的会议场合；休会期间可拆卸话筒杆，方便设备维护；(提供权威机构出具的检测报告并加盖厂家公章)。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1.4全新触摸操控技术，具备3.5英寸的全彩色电容触摸屏幕，可提供定制化Logo界面。</w:t>
            </w:r>
          </w:p>
          <w:p>
            <w:pP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1.5</w:t>
            </w:r>
            <w:r>
              <w:rPr>
                <w:rFonts w:hint="eastAsia" w:ascii="宋体" w:hAnsi="宋体" w:eastAsia="宋体" w:cs="宋体"/>
                <w:b w:val="0"/>
                <w:bCs w:val="0"/>
                <w:color w:val="FF0000"/>
                <w:sz w:val="21"/>
                <w:szCs w:val="21"/>
              </w:rPr>
              <w:t>★会议单元具备双备份发言按键设计，可同时支持发言实体静音按键及触控屏超静音触摸按键发言；(提供权威机构出具的检测报告并加盖厂家公章)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1.6高灵敏度咪芯设计,拾音距离最远可达80cm</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1.7配合高清摄像机，可实现发言者自动跟踪及画面自动切换。</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1.8支持系统签到功能，可通过会议单元完成会议签到</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1.9配合主机，可以实现先进先出、后入后出、限制发言、主席允许、自由讨论五种发言模式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1.10单元带有耳机插孔,与会者可使用耳机收听他人发言；并有物理旋钮，可以控制耳机音量</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1.11自带TYPE-C升级接口，可以支持软件检测及升级</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1.12话筒身份可根据需求自行设定，在代表、主席、VIP身份中自由切换，使用更灵活</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1.13支持“环形手拉手”连接，可连接备份主机，让系统连接更方便，更可靠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1.14</w:t>
            </w:r>
            <w:r>
              <w:rPr>
                <w:rFonts w:hint="eastAsia" w:ascii="宋体" w:hAnsi="宋体" w:eastAsia="宋体" w:cs="宋体"/>
                <w:b w:val="0"/>
                <w:bCs w:val="0"/>
                <w:color w:val="FF0000"/>
                <w:sz w:val="21"/>
                <w:szCs w:val="21"/>
              </w:rPr>
              <w:t>★具备系统自我检测功能，通过软件可自动完成按键、表决、音频信号状态的自动检测，简化会前准备、测试工作，提高会议的稳定性；(提供权威机构出具的检测报告并加盖厂家公章)。</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1.15频率响应：20Hz—20KHz</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1.16信噪比＞92dB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1.17动态范围＞98dB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1.18总谐波失真＜0.05%</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1.19最大声压级：136dB</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1.20灵敏度：-34dB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1476"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连接线</w:t>
            </w:r>
          </w:p>
        </w:tc>
        <w:tc>
          <w:tcPr>
            <w:tcW w:w="6016" w:type="dxa"/>
            <w:noWrap w:val="0"/>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1.1用于数字会议主机与发言单元之间的20米专用连接线.</w:t>
            </w:r>
          </w:p>
        </w:tc>
      </w:tr>
    </w:tbl>
    <w:p>
      <w:pPr>
        <w:pStyle w:val="9"/>
        <w:rPr>
          <w:rFonts w:hint="eastAsia" w:ascii="宋体" w:hAnsi="宋体" w:cs="宋体"/>
          <w:b/>
        </w:rPr>
      </w:pPr>
      <w:r>
        <w:rPr>
          <w:rFonts w:hint="eastAsia" w:ascii="宋体" w:hAnsi="宋体" w:cs="宋体"/>
          <w:b/>
        </w:rPr>
        <w:t>备注：带“</w:t>
      </w:r>
      <w:r>
        <w:rPr>
          <w:rFonts w:hint="eastAsia"/>
        </w:rPr>
        <w:t>★</w:t>
      </w:r>
      <w:r>
        <w:rPr>
          <w:rFonts w:hint="eastAsia" w:ascii="宋体" w:hAnsi="宋体" w:cs="宋体"/>
          <w:b/>
        </w:rPr>
        <w:t>”为必要条款</w:t>
      </w:r>
    </w:p>
    <w:p>
      <w:pPr>
        <w:pStyle w:val="6"/>
        <w:spacing w:before="120" w:beforeLines="50" w:after="120" w:afterLines="50"/>
        <w:rPr>
          <w:rFonts w:cs="宋体"/>
          <w:szCs w:val="28"/>
        </w:rPr>
      </w:pPr>
      <w:r>
        <w:rPr>
          <w:rFonts w:hint="eastAsia" w:cs="宋体"/>
          <w:szCs w:val="28"/>
        </w:rPr>
        <w:t>四、商务需求</w:t>
      </w:r>
    </w:p>
    <w:tbl>
      <w:tblPr>
        <w:tblStyle w:val="12"/>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noWrap w:val="0"/>
            <w:vAlign w:val="center"/>
          </w:tcPr>
          <w:p>
            <w:pPr>
              <w:jc w:val="center"/>
              <w:rPr>
                <w:rFonts w:hint="eastAsia" w:ascii="宋体" w:hAnsi="宋体" w:eastAsia="宋体" w:cs="宋体"/>
                <w:b/>
              </w:rPr>
            </w:pPr>
            <w:r>
              <w:rPr>
                <w:rFonts w:hint="eastAsia" w:ascii="宋体" w:hAnsi="宋体" w:eastAsia="宋体" w:cs="宋体"/>
                <w:b/>
              </w:rPr>
              <w:t>序号</w:t>
            </w:r>
          </w:p>
        </w:tc>
        <w:tc>
          <w:tcPr>
            <w:tcW w:w="1559" w:type="dxa"/>
            <w:noWrap w:val="0"/>
            <w:vAlign w:val="center"/>
          </w:tcPr>
          <w:p>
            <w:pPr>
              <w:jc w:val="center"/>
              <w:rPr>
                <w:rFonts w:hint="eastAsia" w:ascii="宋体" w:hAnsi="宋体" w:eastAsia="宋体" w:cs="宋体"/>
                <w:b/>
              </w:rPr>
            </w:pPr>
            <w:r>
              <w:rPr>
                <w:rFonts w:hint="eastAsia" w:ascii="宋体" w:hAnsi="宋体" w:eastAsia="宋体" w:cs="宋体"/>
                <w:b/>
              </w:rPr>
              <w:t>目录</w:t>
            </w:r>
          </w:p>
        </w:tc>
        <w:tc>
          <w:tcPr>
            <w:tcW w:w="6158" w:type="dxa"/>
            <w:noWrap w:val="0"/>
            <w:vAlign w:val="center"/>
          </w:tcPr>
          <w:p>
            <w:pPr>
              <w:jc w:val="center"/>
              <w:rPr>
                <w:rFonts w:hint="eastAsia" w:ascii="宋体" w:hAnsi="宋体" w:eastAsia="宋体" w:cs="宋体"/>
                <w:b/>
              </w:rPr>
            </w:pPr>
            <w:r>
              <w:rPr>
                <w:rFonts w:hint="eastAsia" w:ascii="宋体" w:hAnsi="宋体" w:eastAsia="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noWrap w:val="0"/>
            <w:vAlign w:val="center"/>
          </w:tcPr>
          <w:p>
            <w:pPr>
              <w:jc w:val="center"/>
              <w:rPr>
                <w:rFonts w:hint="eastAsia" w:ascii="宋体" w:hAnsi="宋体" w:eastAsia="宋体" w:cs="宋体"/>
                <w:b/>
              </w:rPr>
            </w:pPr>
            <w:r>
              <w:rPr>
                <w:rFonts w:hint="eastAsia" w:ascii="宋体" w:hAnsi="宋体" w:eastAsia="宋体" w:cs="宋体"/>
                <w:b/>
              </w:rPr>
              <w:t>1</w:t>
            </w:r>
          </w:p>
        </w:tc>
        <w:tc>
          <w:tcPr>
            <w:tcW w:w="1559" w:type="dxa"/>
            <w:noWrap w:val="0"/>
            <w:vAlign w:val="center"/>
          </w:tcPr>
          <w:p>
            <w:pPr>
              <w:jc w:val="center"/>
              <w:rPr>
                <w:rFonts w:hint="eastAsia" w:ascii="宋体" w:hAnsi="宋体" w:eastAsia="宋体" w:cs="宋体"/>
              </w:rPr>
            </w:pPr>
            <w:r>
              <w:rPr>
                <w:rFonts w:hint="eastAsia" w:ascii="宋体" w:hAnsi="宋体" w:eastAsia="宋体" w:cs="宋体"/>
              </w:rPr>
              <w:t>免费保修期</w:t>
            </w:r>
          </w:p>
        </w:tc>
        <w:tc>
          <w:tcPr>
            <w:tcW w:w="6158" w:type="dxa"/>
            <w:noWrap w:val="0"/>
            <w:vAlign w:val="top"/>
          </w:tcPr>
          <w:p>
            <w:pPr>
              <w:rPr>
                <w:rFonts w:hint="eastAsia" w:ascii="宋体" w:hAnsi="宋体" w:eastAsia="宋体" w:cs="宋体"/>
                <w:b/>
              </w:rPr>
            </w:pPr>
            <w:r>
              <w:rPr>
                <w:rFonts w:hint="eastAsia" w:ascii="宋体" w:hAnsi="宋体" w:eastAsia="宋体" w:cs="宋体"/>
                <w:bCs/>
                <w:szCs w:val="21"/>
              </w:rPr>
              <w:t>货物免费保修期</w:t>
            </w:r>
            <w:r>
              <w:rPr>
                <w:rFonts w:hint="eastAsia" w:ascii="宋体" w:hAnsi="宋体" w:eastAsia="宋体" w:cs="宋体"/>
                <w:b w:val="0"/>
                <w:bCs/>
                <w:szCs w:val="21"/>
                <w:highlight w:val="yellow"/>
                <w:u w:val="single"/>
              </w:rPr>
              <w:t xml:space="preserve"> 三 </w:t>
            </w:r>
            <w:r>
              <w:rPr>
                <w:rFonts w:hint="eastAsia" w:ascii="宋体" w:hAnsi="宋体" w:eastAsia="宋体" w:cs="宋体"/>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noWrap w:val="0"/>
            <w:vAlign w:val="center"/>
          </w:tcPr>
          <w:p>
            <w:pPr>
              <w:jc w:val="center"/>
              <w:rPr>
                <w:rFonts w:hint="eastAsia" w:ascii="宋体" w:hAnsi="宋体" w:eastAsia="宋体" w:cs="宋体"/>
                <w:b/>
              </w:rPr>
            </w:pPr>
            <w:r>
              <w:rPr>
                <w:rFonts w:hint="eastAsia" w:ascii="宋体" w:hAnsi="宋体" w:eastAsia="宋体" w:cs="宋体"/>
                <w:b/>
              </w:rPr>
              <w:t>2</w:t>
            </w:r>
          </w:p>
        </w:tc>
        <w:tc>
          <w:tcPr>
            <w:tcW w:w="1559" w:type="dxa"/>
            <w:noWrap w:val="0"/>
            <w:vAlign w:val="top"/>
          </w:tcPr>
          <w:p>
            <w:pPr>
              <w:jc w:val="center"/>
              <w:rPr>
                <w:rFonts w:hint="eastAsia" w:ascii="宋体" w:hAnsi="宋体" w:eastAsia="宋体" w:cs="宋体"/>
              </w:rPr>
            </w:pPr>
            <w:r>
              <w:rPr>
                <w:rFonts w:hint="eastAsia" w:ascii="宋体" w:hAnsi="宋体" w:eastAsia="宋体" w:cs="宋体"/>
              </w:rPr>
              <w:t>维修响应及故障解决时间</w:t>
            </w:r>
          </w:p>
        </w:tc>
        <w:tc>
          <w:tcPr>
            <w:tcW w:w="6158" w:type="dxa"/>
            <w:noWrap w:val="0"/>
            <w:vAlign w:val="top"/>
          </w:tcPr>
          <w:p>
            <w:pPr>
              <w:rPr>
                <w:rFonts w:hint="eastAsia" w:ascii="宋体" w:hAnsi="宋体" w:eastAsia="宋体" w:cs="宋体"/>
                <w:b/>
              </w:rPr>
            </w:pPr>
            <w:r>
              <w:rPr>
                <w:rFonts w:hint="eastAsia" w:ascii="宋体" w:hAnsi="宋体" w:eastAsia="宋体" w:cs="宋体"/>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noWrap w:val="0"/>
            <w:vAlign w:val="center"/>
          </w:tcPr>
          <w:p>
            <w:pPr>
              <w:jc w:val="center"/>
              <w:rPr>
                <w:rFonts w:hint="eastAsia" w:ascii="宋体" w:hAnsi="宋体" w:eastAsia="宋体" w:cs="宋体"/>
              </w:rPr>
            </w:pPr>
            <w:r>
              <w:rPr>
                <w:rFonts w:hint="eastAsia" w:ascii="宋体" w:hAnsi="宋体" w:eastAsia="宋体" w:cs="宋体"/>
              </w:rPr>
              <w:t>3</w:t>
            </w:r>
          </w:p>
        </w:tc>
        <w:tc>
          <w:tcPr>
            <w:tcW w:w="1559" w:type="dxa"/>
            <w:vMerge w:val="restart"/>
            <w:noWrap w:val="0"/>
            <w:vAlign w:val="center"/>
          </w:tcPr>
          <w:p>
            <w:pPr>
              <w:jc w:val="center"/>
              <w:rPr>
                <w:rFonts w:hint="eastAsia" w:ascii="宋体" w:hAnsi="宋体" w:eastAsia="宋体" w:cs="宋体"/>
              </w:rPr>
            </w:pPr>
            <w:r>
              <w:rPr>
                <w:rFonts w:hint="eastAsia" w:ascii="宋体" w:hAnsi="宋体" w:eastAsia="宋体" w:cs="宋体"/>
                <w:b/>
                <w:color w:val="FF0000"/>
                <w:kern w:val="0"/>
                <w:sz w:val="20"/>
                <w:szCs w:val="20"/>
              </w:rPr>
              <w:t>★</w:t>
            </w:r>
            <w:r>
              <w:rPr>
                <w:rFonts w:hint="eastAsia" w:ascii="宋体" w:hAnsi="宋体" w:eastAsia="宋体" w:cs="宋体"/>
              </w:rPr>
              <w:t>关于交货期</w:t>
            </w:r>
          </w:p>
        </w:tc>
        <w:tc>
          <w:tcPr>
            <w:tcW w:w="6158" w:type="dxa"/>
            <w:noWrap w:val="0"/>
            <w:vAlign w:val="top"/>
          </w:tcPr>
          <w:p>
            <w:pPr>
              <w:rPr>
                <w:rFonts w:hint="eastAsia" w:ascii="宋体" w:hAnsi="宋体" w:eastAsia="宋体" w:cs="宋体"/>
                <w:b/>
              </w:rPr>
            </w:pPr>
            <w:r>
              <w:rPr>
                <w:rFonts w:hint="eastAsia" w:ascii="宋体" w:hAnsi="宋体" w:eastAsia="宋体" w:cs="宋体"/>
                <w:bCs/>
                <w:szCs w:val="21"/>
              </w:rPr>
              <w:t>1.签订合同之日起</w:t>
            </w:r>
            <w:r>
              <w:rPr>
                <w:rFonts w:hint="eastAsia" w:ascii="宋体" w:hAnsi="宋体" w:eastAsia="宋体" w:cs="宋体"/>
                <w:bCs/>
                <w:szCs w:val="21"/>
                <w:u w:val="single"/>
              </w:rPr>
              <w:t xml:space="preserve"> 30 </w:t>
            </w:r>
            <w:r>
              <w:rPr>
                <w:rFonts w:hint="eastAsia" w:ascii="宋体" w:hAnsi="宋体" w:eastAsia="宋体" w:cs="宋体"/>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noWrap w:val="0"/>
            <w:vAlign w:val="center"/>
          </w:tcPr>
          <w:p>
            <w:pPr>
              <w:jc w:val="center"/>
              <w:rPr>
                <w:rFonts w:hint="eastAsia" w:ascii="宋体" w:hAnsi="宋体" w:eastAsia="宋体" w:cs="宋体"/>
              </w:rPr>
            </w:pPr>
          </w:p>
        </w:tc>
        <w:tc>
          <w:tcPr>
            <w:tcW w:w="1559" w:type="dxa"/>
            <w:vMerge w:val="continue"/>
            <w:noWrap w:val="0"/>
            <w:vAlign w:val="center"/>
          </w:tcPr>
          <w:p>
            <w:pPr>
              <w:jc w:val="center"/>
              <w:rPr>
                <w:rFonts w:hint="eastAsia" w:ascii="宋体" w:hAnsi="宋体" w:eastAsia="宋体" w:cs="宋体"/>
              </w:rPr>
            </w:pPr>
          </w:p>
        </w:tc>
        <w:tc>
          <w:tcPr>
            <w:tcW w:w="6158" w:type="dxa"/>
            <w:noWrap w:val="0"/>
            <w:vAlign w:val="top"/>
          </w:tcPr>
          <w:p>
            <w:pPr>
              <w:rPr>
                <w:rFonts w:hint="eastAsia" w:ascii="宋体" w:hAnsi="宋体" w:eastAsia="宋体" w:cs="宋体"/>
                <w:bCs/>
                <w:szCs w:val="21"/>
              </w:rPr>
            </w:pPr>
            <w:r>
              <w:rPr>
                <w:rFonts w:hint="eastAsia" w:ascii="宋体" w:hAnsi="宋体" w:eastAsia="宋体" w:cs="宋体"/>
                <w:bCs/>
                <w:szCs w:val="21"/>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noWrap w:val="0"/>
            <w:vAlign w:val="center"/>
          </w:tcPr>
          <w:p>
            <w:pPr>
              <w:jc w:val="center"/>
              <w:rPr>
                <w:rFonts w:hint="eastAsia" w:ascii="宋体" w:hAnsi="宋体" w:eastAsia="宋体" w:cs="宋体"/>
              </w:rPr>
            </w:pPr>
            <w:r>
              <w:rPr>
                <w:rFonts w:hint="eastAsia" w:ascii="宋体" w:hAnsi="宋体" w:eastAsia="宋体" w:cs="宋体"/>
              </w:rPr>
              <w:t>4</w:t>
            </w:r>
          </w:p>
        </w:tc>
        <w:tc>
          <w:tcPr>
            <w:tcW w:w="1559" w:type="dxa"/>
            <w:vMerge w:val="restart"/>
            <w:noWrap w:val="0"/>
            <w:vAlign w:val="center"/>
          </w:tcPr>
          <w:p>
            <w:pPr>
              <w:jc w:val="center"/>
              <w:rPr>
                <w:rFonts w:hint="eastAsia" w:ascii="宋体" w:hAnsi="宋体" w:eastAsia="宋体" w:cs="宋体"/>
              </w:rPr>
            </w:pPr>
            <w:r>
              <w:rPr>
                <w:rFonts w:hint="eastAsia" w:ascii="宋体" w:hAnsi="宋体" w:eastAsia="宋体" w:cs="宋体"/>
                <w:b/>
                <w:color w:val="FF0000"/>
                <w:kern w:val="0"/>
                <w:sz w:val="20"/>
                <w:szCs w:val="20"/>
              </w:rPr>
              <w:t>★</w:t>
            </w:r>
            <w:r>
              <w:rPr>
                <w:rFonts w:hint="eastAsia" w:ascii="宋体" w:hAnsi="宋体" w:eastAsia="宋体" w:cs="宋体"/>
              </w:rPr>
              <w:t>关于验收</w:t>
            </w:r>
          </w:p>
        </w:tc>
        <w:tc>
          <w:tcPr>
            <w:tcW w:w="6158" w:type="dxa"/>
            <w:noWrap w:val="0"/>
            <w:vAlign w:val="top"/>
          </w:tcPr>
          <w:p>
            <w:pPr>
              <w:spacing w:line="340" w:lineRule="exact"/>
              <w:rPr>
                <w:rFonts w:hint="eastAsia" w:ascii="宋体" w:hAnsi="宋体" w:eastAsia="宋体" w:cs="宋体"/>
                <w:bCs/>
                <w:szCs w:val="21"/>
              </w:rPr>
            </w:pPr>
            <w:r>
              <w:rPr>
                <w:rFonts w:hint="eastAsia" w:ascii="宋体" w:hAnsi="宋体" w:eastAsia="宋体" w:cs="宋体"/>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noWrap w:val="0"/>
            <w:vAlign w:val="center"/>
          </w:tcPr>
          <w:p>
            <w:pPr>
              <w:jc w:val="center"/>
              <w:rPr>
                <w:rFonts w:hint="eastAsia" w:ascii="宋体" w:hAnsi="宋体" w:eastAsia="宋体" w:cs="宋体"/>
                <w:b/>
              </w:rPr>
            </w:pPr>
          </w:p>
        </w:tc>
        <w:tc>
          <w:tcPr>
            <w:tcW w:w="1559" w:type="dxa"/>
            <w:vMerge w:val="continue"/>
            <w:noWrap w:val="0"/>
            <w:vAlign w:val="top"/>
          </w:tcPr>
          <w:p>
            <w:pPr>
              <w:rPr>
                <w:rFonts w:hint="eastAsia" w:ascii="宋体" w:hAnsi="宋体" w:eastAsia="宋体" w:cs="宋体"/>
                <w:b/>
              </w:rPr>
            </w:pPr>
          </w:p>
        </w:tc>
        <w:tc>
          <w:tcPr>
            <w:tcW w:w="6158" w:type="dxa"/>
            <w:noWrap w:val="0"/>
            <w:vAlign w:val="top"/>
          </w:tcPr>
          <w:p>
            <w:pPr>
              <w:spacing w:line="340" w:lineRule="exact"/>
              <w:rPr>
                <w:rFonts w:hint="eastAsia" w:ascii="宋体" w:hAnsi="宋体" w:eastAsia="宋体" w:cs="宋体"/>
                <w:bCs/>
                <w:szCs w:val="21"/>
              </w:rPr>
            </w:pPr>
            <w:r>
              <w:rPr>
                <w:rFonts w:hint="eastAsia" w:ascii="宋体" w:hAnsi="宋体" w:eastAsia="宋体" w:cs="宋体"/>
                <w:bCs/>
                <w:szCs w:val="21"/>
              </w:rPr>
              <w:t>2.当满足以下条件时，采购人才向中标人签发货物验收报告：</w:t>
            </w:r>
          </w:p>
          <w:p>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a、中标人已按照合同规定提供了全部产品及完整的技术资料。</w:t>
            </w:r>
          </w:p>
          <w:p>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b、货物符合招标文件技术规格书的要求，性能满足要求。</w:t>
            </w:r>
          </w:p>
          <w:p>
            <w:pPr>
              <w:tabs>
                <w:tab w:val="left" w:pos="1260"/>
              </w:tabs>
              <w:spacing w:line="340" w:lineRule="exact"/>
              <w:rPr>
                <w:rFonts w:hint="eastAsia" w:ascii="宋体" w:hAnsi="宋体" w:eastAsia="宋体" w:cs="宋体"/>
                <w:bCs/>
                <w:szCs w:val="21"/>
              </w:rPr>
            </w:pPr>
            <w:r>
              <w:rPr>
                <w:rFonts w:hint="eastAsia" w:ascii="宋体" w:hAnsi="宋体" w:eastAsia="宋体" w:cs="宋体"/>
                <w:bCs/>
                <w:szCs w:val="21"/>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noWrap w:val="0"/>
            <w:vAlign w:val="center"/>
          </w:tcPr>
          <w:p>
            <w:pPr>
              <w:jc w:val="center"/>
              <w:rPr>
                <w:rFonts w:hint="eastAsia" w:ascii="宋体" w:hAnsi="宋体" w:eastAsia="宋体" w:cs="宋体"/>
                <w:b/>
                <w:szCs w:val="21"/>
              </w:rPr>
            </w:pPr>
            <w:r>
              <w:rPr>
                <w:rFonts w:hint="eastAsia" w:ascii="宋体" w:hAnsi="宋体" w:eastAsia="宋体" w:cs="宋体"/>
                <w:b/>
                <w:szCs w:val="21"/>
              </w:rPr>
              <w:t>5</w:t>
            </w:r>
          </w:p>
        </w:tc>
        <w:tc>
          <w:tcPr>
            <w:tcW w:w="1559" w:type="dxa"/>
            <w:noWrap w:val="0"/>
            <w:vAlign w:val="center"/>
          </w:tcPr>
          <w:p>
            <w:pPr>
              <w:jc w:val="center"/>
              <w:rPr>
                <w:rFonts w:hint="eastAsia" w:ascii="宋体" w:hAnsi="宋体" w:eastAsia="宋体" w:cs="宋体"/>
                <w:szCs w:val="21"/>
              </w:rPr>
            </w:pPr>
            <w:r>
              <w:rPr>
                <w:rFonts w:hint="eastAsia" w:ascii="宋体" w:hAnsi="宋体" w:eastAsia="宋体" w:cs="宋体"/>
                <w:szCs w:val="21"/>
              </w:rPr>
              <w:t>付款方式</w:t>
            </w:r>
          </w:p>
        </w:tc>
        <w:tc>
          <w:tcPr>
            <w:tcW w:w="6158" w:type="dxa"/>
            <w:noWrap w:val="0"/>
            <w:vAlign w:val="center"/>
          </w:tcPr>
          <w:p>
            <w:pPr>
              <w:rPr>
                <w:rFonts w:hint="eastAsia" w:ascii="宋体" w:hAnsi="宋体" w:eastAsia="宋体" w:cs="宋体"/>
                <w:b/>
                <w:szCs w:val="21"/>
              </w:rPr>
            </w:pPr>
            <w:r>
              <w:rPr>
                <w:rFonts w:hint="eastAsia" w:ascii="宋体" w:hAnsi="宋体" w:eastAsia="宋体" w:cs="宋体"/>
                <w:szCs w:val="21"/>
              </w:rPr>
              <w:t>按合同约定交货、安装、调试及试运行，并经甲方组织的验收合格后，甲方在收到乙方付款申请、履约保证金及付款所需要的材料后</w:t>
            </w:r>
            <w:r>
              <w:rPr>
                <w:rFonts w:hint="eastAsia" w:ascii="宋体" w:hAnsi="宋体" w:eastAsia="宋体" w:cs="宋体"/>
                <w:szCs w:val="21"/>
                <w:highlight w:val="yellow"/>
              </w:rPr>
              <w:t>30</w:t>
            </w:r>
            <w:r>
              <w:rPr>
                <w:rFonts w:hint="eastAsia" w:ascii="宋体" w:hAnsi="宋体" w:eastAsia="宋体" w:cs="宋体"/>
                <w:szCs w:val="21"/>
              </w:rPr>
              <w:t>个工作日内，甲方向乙方一次性付清合同款项。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noWrap w:val="0"/>
            <w:vAlign w:val="center"/>
          </w:tcPr>
          <w:p>
            <w:pPr>
              <w:jc w:val="center"/>
              <w:rPr>
                <w:rFonts w:hint="eastAsia" w:ascii="宋体" w:hAnsi="宋体" w:eastAsia="宋体" w:cs="宋体"/>
                <w:b/>
                <w:kern w:val="0"/>
                <w:szCs w:val="21"/>
                <w:highlight w:val="yellow"/>
              </w:rPr>
            </w:pPr>
            <w:r>
              <w:rPr>
                <w:rFonts w:hint="eastAsia" w:ascii="宋体" w:hAnsi="宋体" w:eastAsia="宋体" w:cs="宋体"/>
                <w:kern w:val="0"/>
                <w:szCs w:val="21"/>
              </w:rPr>
              <w:t>6</w:t>
            </w:r>
          </w:p>
        </w:tc>
        <w:tc>
          <w:tcPr>
            <w:tcW w:w="1559" w:type="dxa"/>
            <w:noWrap w:val="0"/>
            <w:vAlign w:val="center"/>
          </w:tcPr>
          <w:p>
            <w:pPr>
              <w:jc w:val="center"/>
              <w:rPr>
                <w:rFonts w:hint="eastAsia" w:ascii="宋体" w:hAnsi="宋体" w:eastAsia="宋体" w:cs="宋体"/>
                <w:kern w:val="0"/>
                <w:szCs w:val="21"/>
              </w:rPr>
            </w:pPr>
            <w:r>
              <w:rPr>
                <w:rFonts w:hint="eastAsia" w:ascii="宋体" w:hAnsi="宋体" w:eastAsia="宋体" w:cs="宋体"/>
                <w:color w:val="FF0000"/>
                <w:kern w:val="0"/>
                <w:sz w:val="20"/>
                <w:szCs w:val="20"/>
              </w:rPr>
              <w:t>★</w:t>
            </w:r>
            <w:r>
              <w:rPr>
                <w:rFonts w:hint="eastAsia" w:ascii="宋体" w:hAnsi="宋体" w:eastAsia="宋体" w:cs="宋体"/>
                <w:kern w:val="0"/>
                <w:szCs w:val="21"/>
              </w:rPr>
              <w:t>诚信履约</w:t>
            </w:r>
          </w:p>
        </w:tc>
        <w:tc>
          <w:tcPr>
            <w:tcW w:w="6158" w:type="dxa"/>
            <w:noWrap w:val="0"/>
            <w:vAlign w:val="center"/>
          </w:tcPr>
          <w:p>
            <w:pPr>
              <w:rPr>
                <w:rFonts w:hint="eastAsia" w:ascii="宋体" w:hAnsi="宋体" w:eastAsia="宋体" w:cs="宋体"/>
                <w:szCs w:val="21"/>
              </w:rPr>
            </w:pPr>
            <w:r>
              <w:rPr>
                <w:rFonts w:hint="eastAsia" w:ascii="宋体" w:hAnsi="宋体" w:eastAsia="宋体" w:cs="宋体"/>
                <w:szCs w:val="21"/>
              </w:rPr>
              <w:t>投标人承诺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bl>
    <w:p>
      <w:pPr>
        <w:pStyle w:val="9"/>
        <w:rPr>
          <w:rFonts w:hint="eastAsia" w:ascii="宋体" w:hAnsi="宋体" w:cs="宋体"/>
          <w:b/>
        </w:rPr>
      </w:pPr>
    </w:p>
    <w:p>
      <w:pPr>
        <w:pStyle w:val="9"/>
        <w:rPr>
          <w:rFonts w:hint="eastAsia" w:ascii="宋体" w:hAnsi="宋体" w:cs="宋体"/>
          <w:b/>
        </w:rPr>
      </w:pPr>
    </w:p>
    <w:p>
      <w:pPr>
        <w:pStyle w:val="3"/>
      </w:pPr>
      <w:r>
        <w:rPr>
          <w:rFonts w:hint="eastAsia"/>
        </w:rPr>
        <w:t>第三章  投标文件格式</w:t>
      </w:r>
    </w:p>
    <w:p>
      <w:pPr>
        <w:rPr>
          <w:rStyle w:val="17"/>
          <w:rFonts w:ascii="宋体" w:hAnsi="宋体" w:eastAsia="宋体" w:cs="宋体"/>
          <w:sz w:val="28"/>
          <w:szCs w:val="28"/>
        </w:rPr>
      </w:pPr>
      <w:r>
        <w:rPr>
          <w:rStyle w:val="17"/>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hint="eastAsia" w:ascii="宋体" w:hAnsi="宋体" w:cs="宋体"/>
          <w:sz w:val="24"/>
        </w:rPr>
      </w:pPr>
      <w:r>
        <w:rPr>
          <w:rFonts w:hint="eastAsia" w:ascii="宋体" w:hAnsi="宋体" w:cs="宋体"/>
          <w:sz w:val="24"/>
        </w:rPr>
        <w:t>2、法定代表人证明书</w:t>
      </w:r>
    </w:p>
    <w:p>
      <w:pPr>
        <w:rPr>
          <w:rFonts w:hint="eastAsia" w:ascii="宋体" w:hAnsi="宋体" w:cs="宋体"/>
          <w:sz w:val="24"/>
        </w:rPr>
      </w:pPr>
      <w:r>
        <w:rPr>
          <w:rFonts w:hint="eastAsia" w:ascii="宋体" w:hAnsi="宋体" w:cs="宋体"/>
          <w:sz w:val="24"/>
        </w:rPr>
        <w:t>3、投标文件签署授权委托书</w:t>
      </w:r>
    </w:p>
    <w:p>
      <w:pPr>
        <w:rPr>
          <w:rFonts w:hint="eastAsia" w:ascii="宋体" w:hAnsi="宋体" w:cs="宋体"/>
          <w:sz w:val="24"/>
        </w:rPr>
      </w:pPr>
      <w:r>
        <w:rPr>
          <w:rFonts w:hint="eastAsia" w:ascii="宋体" w:hAnsi="宋体" w:cs="宋体"/>
          <w:sz w:val="24"/>
        </w:rPr>
        <w:t>4、投标承诺函</w:t>
      </w:r>
    </w:p>
    <w:p>
      <w:pPr>
        <w:rPr>
          <w:rFonts w:hint="eastAsia" w:ascii="宋体" w:hAnsi="宋体" w:cs="宋体"/>
          <w:sz w:val="24"/>
        </w:rPr>
      </w:pPr>
      <w:r>
        <w:rPr>
          <w:rFonts w:hint="eastAsia" w:ascii="宋体" w:hAnsi="宋体" w:cs="宋体"/>
          <w:sz w:val="24"/>
        </w:rPr>
        <w:t>5、投标人情况介绍</w:t>
      </w:r>
    </w:p>
    <w:p>
      <w:pPr>
        <w:rPr>
          <w:rFonts w:hint="eastAsia" w:ascii="宋体" w:hAnsi="宋体" w:cs="宋体"/>
          <w:sz w:val="24"/>
        </w:rPr>
      </w:pPr>
      <w:r>
        <w:rPr>
          <w:rFonts w:hint="eastAsia" w:ascii="宋体" w:hAnsi="宋体" w:cs="宋体"/>
          <w:sz w:val="24"/>
        </w:rPr>
        <w:t>6、分项报价清单表</w:t>
      </w:r>
    </w:p>
    <w:p>
      <w:pPr>
        <w:rPr>
          <w:rFonts w:hint="eastAsia" w:ascii="宋体" w:hAnsi="宋体" w:cs="宋体"/>
          <w:sz w:val="24"/>
        </w:rPr>
      </w:pPr>
      <w:r>
        <w:rPr>
          <w:rFonts w:hint="eastAsia" w:ascii="宋体" w:hAnsi="宋体" w:cs="宋体"/>
          <w:sz w:val="24"/>
        </w:rPr>
        <w:t>7、货物说明一览表</w:t>
      </w:r>
    </w:p>
    <w:p>
      <w:pPr>
        <w:rPr>
          <w:rFonts w:hint="eastAsia" w:ascii="宋体" w:hAnsi="宋体" w:cs="宋体"/>
          <w:sz w:val="24"/>
        </w:rPr>
      </w:pPr>
      <w:r>
        <w:rPr>
          <w:rFonts w:hint="eastAsia" w:ascii="宋体" w:hAnsi="宋体" w:cs="宋体"/>
          <w:sz w:val="24"/>
        </w:rPr>
        <w:t>8、技术规格偏离表</w:t>
      </w:r>
    </w:p>
    <w:p>
      <w:pPr>
        <w:rPr>
          <w:rFonts w:hint="eastAsia" w:ascii="宋体" w:hAnsi="宋体" w:cs="宋体"/>
          <w:sz w:val="24"/>
        </w:rPr>
      </w:pPr>
      <w:r>
        <w:rPr>
          <w:rFonts w:hint="eastAsia" w:ascii="宋体" w:hAnsi="宋体" w:cs="宋体"/>
          <w:sz w:val="24"/>
        </w:rPr>
        <w:t>9、商务需求偏离表</w:t>
      </w:r>
    </w:p>
    <w:p>
      <w:pPr>
        <w:rPr>
          <w:rFonts w:hint="eastAsia" w:ascii="宋体" w:hAnsi="宋体" w:cs="宋体"/>
          <w:sz w:val="24"/>
        </w:rPr>
      </w:pPr>
      <w:r>
        <w:rPr>
          <w:rFonts w:hint="eastAsia" w:ascii="宋体" w:hAnsi="宋体" w:cs="宋体"/>
          <w:sz w:val="24"/>
        </w:rPr>
        <w:t>10、技术保障措施</w:t>
      </w:r>
    </w:p>
    <w:p>
      <w:pPr>
        <w:rPr>
          <w:rFonts w:hint="eastAsia" w:ascii="宋体" w:hAnsi="宋体" w:cs="宋体"/>
          <w:sz w:val="24"/>
        </w:rPr>
      </w:pPr>
      <w:r>
        <w:rPr>
          <w:rFonts w:hint="eastAsia" w:ascii="宋体" w:hAnsi="宋体" w:cs="宋体"/>
          <w:sz w:val="24"/>
        </w:rPr>
        <w:t>11、实施安全保障措施</w:t>
      </w:r>
    </w:p>
    <w:p>
      <w:pPr>
        <w:rPr>
          <w:rFonts w:hint="eastAsia" w:ascii="宋体" w:hAnsi="宋体" w:cs="宋体"/>
          <w:sz w:val="24"/>
        </w:rPr>
      </w:pPr>
      <w:r>
        <w:rPr>
          <w:rFonts w:hint="eastAsia" w:ascii="宋体" w:hAnsi="宋体" w:cs="宋体"/>
          <w:sz w:val="24"/>
        </w:rPr>
        <w:t>12、项目实施方案</w:t>
      </w:r>
    </w:p>
    <w:p>
      <w:pPr>
        <w:rPr>
          <w:rFonts w:hint="eastAsia" w:ascii="宋体" w:hAnsi="宋体" w:cs="宋体"/>
          <w:sz w:val="24"/>
        </w:rPr>
      </w:pPr>
      <w:r>
        <w:rPr>
          <w:rFonts w:hint="eastAsia" w:ascii="宋体" w:hAnsi="宋体" w:cs="宋体"/>
          <w:sz w:val="24"/>
        </w:rPr>
        <w:t>13</w:t>
      </w:r>
      <w:r>
        <w:rPr>
          <w:rFonts w:hint="eastAsia" w:ascii="宋体" w:hAnsi="宋体" w:cs="宋体"/>
          <w:sz w:val="24"/>
        </w:rPr>
        <w:t>、售后服务方案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工期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hint="eastAsia" w:ascii="宋体" w:hAnsi="宋体" w:cs="宋体"/>
          <w:snapToGrid w:val="0"/>
          <w:kern w:val="0"/>
          <w:szCs w:val="22"/>
        </w:rPr>
      </w:pPr>
      <w:r>
        <w:rPr>
          <w:rFonts w:hint="eastAsia" w:ascii="宋体" w:hAnsi="宋体" w:cs="宋体"/>
          <w:snapToGrid w:val="0"/>
          <w:kern w:val="0"/>
          <w:szCs w:val="22"/>
        </w:rPr>
        <w:t xml:space="preserve">                         投标单位公章：</w:t>
      </w:r>
    </w:p>
    <w:p>
      <w:pPr>
        <w:pStyle w:val="9"/>
      </w:pPr>
    </w:p>
    <w:p>
      <w:pPr>
        <w:pStyle w:val="4"/>
        <w:numPr>
          <w:ilvl w:val="0"/>
          <w:numId w:val="2"/>
        </w:numPr>
        <w:jc w:val="center"/>
        <w:rPr>
          <w:rFonts w:cs="宋体"/>
          <w:b/>
          <w:bCs w:val="0"/>
          <w:kern w:val="0"/>
          <w:szCs w:val="28"/>
        </w:rPr>
      </w:pPr>
      <w:r>
        <w:rPr>
          <w:rFonts w:hint="eastAsia" w:cs="宋体"/>
          <w:b/>
          <w:bCs w:val="0"/>
          <w:kern w:val="0"/>
          <w:szCs w:val="28"/>
        </w:rPr>
        <w:t>评标指引表</w:t>
      </w:r>
    </w:p>
    <w:tbl>
      <w:tblPr>
        <w:tblStyle w:val="1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
          <w:bCs w:val="0"/>
          <w:kern w:val="0"/>
          <w:szCs w:val="28"/>
        </w:rPr>
      </w:pPr>
      <w:r>
        <w:rPr>
          <w:rFonts w:hint="eastAsia" w:cs="宋体"/>
          <w:b/>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bCs w:val="0"/>
          <w:sz w:val="28"/>
          <w:szCs w:val="28"/>
        </w:rPr>
      </w:pPr>
      <w:r>
        <w:rPr>
          <w:rFonts w:hint="eastAsia" w:ascii="宋体" w:hAnsi="宋体" w:cs="宋体"/>
          <w:b/>
          <w:bCs w:val="0"/>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bCs w:val="0"/>
          <w:sz w:val="28"/>
          <w:szCs w:val="28"/>
        </w:rPr>
      </w:pPr>
      <w:r>
        <w:rPr>
          <w:rFonts w:hint="eastAsia" w:ascii="宋体" w:hAnsi="宋体" w:cs="宋体"/>
          <w:b/>
          <w:bCs w:val="0"/>
          <w:sz w:val="28"/>
          <w:szCs w:val="28"/>
        </w:rPr>
        <w:t>四、投标承诺函</w:t>
      </w:r>
    </w:p>
    <w:p>
      <w:pPr>
        <w:pStyle w:val="4"/>
        <w:numPr>
          <w:ilvl w:val="0"/>
          <w:numId w:val="0"/>
        </w:numPr>
        <w:ind w:firstLine="3373" w:firstLineChars="1200"/>
        <w:jc w:val="both"/>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（一）投标函</w:t>
      </w:r>
    </w:p>
    <w:p>
      <w:pPr>
        <w:spacing w:line="36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lang w:eastAsia="zh-CN"/>
        </w:rPr>
        <w:t>深圳市第一职业技术学校</w:t>
      </w:r>
      <w:r>
        <w:rPr>
          <w:rFonts w:hint="eastAsia" w:ascii="宋体" w:hAnsi="宋体" w:eastAsia="宋体" w:cs="宋体"/>
          <w:color w:val="auto"/>
          <w:sz w:val="22"/>
          <w:szCs w:val="22"/>
          <w:highlight w:val="none"/>
          <w:u w:val="single"/>
          <w:lang w:val="en-US" w:eastAsia="zh-CN"/>
        </w:rPr>
        <w:t xml:space="preserve"> </w:t>
      </w:r>
    </w:p>
    <w:p>
      <w:pPr>
        <w:numPr>
          <w:ilvl w:val="0"/>
          <w:numId w:val="3"/>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根据已收到贵方的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eastAsia="宋体" w:cs="宋体"/>
          <w:color w:val="auto"/>
          <w:sz w:val="22"/>
          <w:szCs w:val="22"/>
          <w:highlight w:val="none"/>
        </w:rPr>
        <w:t>。</w:t>
      </w:r>
    </w:p>
    <w:p>
      <w:pPr>
        <w:numPr>
          <w:ilvl w:val="0"/>
          <w:numId w:val="0"/>
        </w:numPr>
        <w:spacing w:after="120" w:afterLines="50"/>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3、在本项目投标过程中不弄虚作假，不隐瞒真实情况，不围标串标，不恶意质疑投诉。我公司已清楚违反上述要求的后果。</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4、在本项目招标过程中，评标委员会若对投标人进行现场勘察或实地考察或检验有关证明材料的原件，我公司将随时做好接受检查的准备。</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、我方承诺所投标（响应）的货物、工程或服务，不存在侵犯知识产权的情况；已知悉并同意中标（成交）结果信息公示（公开）的内容。</w:t>
      </w:r>
    </w:p>
    <w:p>
      <w:pPr>
        <w:spacing w:after="120" w:afterLines="50"/>
        <w:ind w:firstLine="411" w:firstLineChars="196"/>
        <w:rPr>
          <w:rFonts w:ascii="宋体" w:hAnsi="宋体" w:cs="宋体"/>
          <w:szCs w:val="21"/>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                       单位地址：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法定代表人或其委托代理人：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邮政编码：            电话：            传真：            </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年     月    日                                </w:t>
      </w:r>
    </w:p>
    <w:p>
      <w:pPr>
        <w:numPr>
          <w:ilvl w:val="0"/>
          <w:numId w:val="0"/>
        </w:numPr>
        <w:spacing w:after="120" w:afterLines="50"/>
        <w:ind w:firstLine="1968" w:firstLineChars="700"/>
        <w:rPr>
          <w:rFonts w:hint="eastAsia" w:ascii="宋体" w:hAnsi="宋体" w:eastAsia="宋体" w:cs="宋体"/>
          <w:b/>
          <w:bCs/>
          <w:color w:val="auto"/>
          <w:sz w:val="28"/>
          <w:szCs w:val="28"/>
          <w:highlight w:val="none"/>
          <w:lang w:eastAsia="zh-CN"/>
        </w:rPr>
      </w:pPr>
    </w:p>
    <w:p>
      <w:pPr>
        <w:numPr>
          <w:ilvl w:val="0"/>
          <w:numId w:val="0"/>
        </w:numPr>
        <w:spacing w:after="120" w:afterLines="50"/>
        <w:ind w:firstLine="1968" w:firstLineChars="700"/>
        <w:rPr>
          <w:rFonts w:hint="eastAsia" w:ascii="宋体" w:hAnsi="宋体" w:eastAsia="宋体" w:cs="宋体"/>
          <w:b/>
          <w:bCs/>
          <w:color w:val="auto"/>
          <w:sz w:val="28"/>
          <w:szCs w:val="28"/>
          <w:highlight w:val="none"/>
          <w:lang w:eastAsia="zh-CN"/>
        </w:rPr>
      </w:pPr>
    </w:p>
    <w:p>
      <w:pPr>
        <w:numPr>
          <w:ilvl w:val="0"/>
          <w:numId w:val="0"/>
        </w:numPr>
        <w:spacing w:after="120" w:afterLines="50"/>
        <w:ind w:firstLine="1968" w:firstLineChars="7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政府采购投标及履约承诺函</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致：深圳市第一职业技术学校</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1.我单位参与本项目所投标（响应）的货物、工程或服务，不存在侵犯知识产权的情况；已知悉并同意中标（成交）结果信息公示（公开）的内容。</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2.我单位参与本项目投标前三年内，在经营活动中没有重大违法记录。</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3.我单位参与本项目政府采购活动时不存在被有关部门禁止参与政府采购活动且在有效期内的情况。</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4.我单位具备《中华人民共和国政府采购法》第二十二条第一款规定的六项条件。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5.我单位未被列入失信被执行人、重大税收违法案件当事人名单、政府采购严重违法失信行为记录名单。</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9.我单位承诺中标后项目不转包，未经采购人同意不进行分包。</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11.我单位保证，若所投货物涉及《财政部生态环境部关于印发节能产品政府采购品目清单的通知》（财库〔2019〕19号）列明的政府采购强制产品，则所投该产品符合节能产品的认证要求。</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以上承诺，如有违反，愿依照国家相关法律法规处理，并承担由此给采购人带来的损失。</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p>
    <w:p>
      <w:pPr>
        <w:numPr>
          <w:ilvl w:val="0"/>
          <w:numId w:val="0"/>
        </w:numPr>
        <w:spacing w:after="120" w:afterLines="50"/>
        <w:ind w:firstLine="440" w:firstLineChars="200"/>
        <w:rPr>
          <w:rFonts w:hint="eastAsia" w:ascii="宋体" w:hAnsi="宋体" w:eastAsia="宋体" w:cs="宋体"/>
          <w:color w:val="auto"/>
          <w:sz w:val="22"/>
          <w:szCs w:val="22"/>
          <w:highlight w:val="none"/>
        </w:rPr>
      </w:pPr>
    </w:p>
    <w:p>
      <w:pPr>
        <w:keepNext/>
        <w:keepLines/>
        <w:spacing w:before="260" w:after="260"/>
        <w:jc w:val="center"/>
        <w:outlineLvl w:val="2"/>
        <w:rPr>
          <w:rFonts w:hint="eastAsia" w:ascii="宋体" w:hAnsi="宋体" w:eastAsia="宋体" w:cs="宋体"/>
          <w:b/>
          <w:bCs w:val="0"/>
          <w:sz w:val="28"/>
          <w:szCs w:val="28"/>
        </w:rPr>
      </w:pPr>
      <w:r>
        <w:rPr>
          <w:rFonts w:hint="eastAsia" w:ascii="宋体" w:hAnsi="宋体" w:eastAsia="宋体" w:cs="宋体"/>
          <w:b/>
          <w:bCs w:val="0"/>
          <w:sz w:val="28"/>
          <w:szCs w:val="28"/>
        </w:rPr>
        <w:t>五、投标人情况介绍</w:t>
      </w:r>
    </w:p>
    <w:p>
      <w:pPr>
        <w:numPr>
          <w:ilvl w:val="0"/>
          <w:numId w:val="0"/>
        </w:numPr>
        <w:spacing w:after="120" w:afterLine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（一）投标人资格要求的证明文件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（1）营业执照（或单位法人登记证等）复印件；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（2）具有相关经营范围并合法经营的证明文件</w:t>
      </w:r>
    </w:p>
    <w:p>
      <w:pPr>
        <w:numPr>
          <w:ilvl w:val="0"/>
          <w:numId w:val="0"/>
        </w:numPr>
        <w:spacing w:after="120" w:after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2"/>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注：需递交上述项目的证明材料（中标通知书或合同关键页</w:t>
      </w:r>
      <w:r>
        <w:rPr>
          <w:rFonts w:hint="eastAsia" w:ascii="宋体" w:hAnsi="宋体"/>
          <w:color w:val="auto"/>
          <w:kern w:val="0"/>
          <w:sz w:val="22"/>
          <w:szCs w:val="22"/>
          <w:highlight w:val="none"/>
          <w:shd w:val="clear" w:color="auto" w:fill="FFFFFF"/>
          <w:lang w:eastAsia="zh-CN"/>
        </w:rPr>
        <w:t>、履约验收报告</w:t>
      </w:r>
      <w:r>
        <w:rPr>
          <w:rFonts w:hint="eastAsia" w:ascii="宋体" w:hAnsi="宋体"/>
          <w:color w:val="auto"/>
          <w:kern w:val="0"/>
          <w:sz w:val="22"/>
          <w:szCs w:val="22"/>
          <w:highlight w:val="none"/>
          <w:shd w:val="clear" w:color="auto" w:fill="FFFFFF"/>
        </w:rPr>
        <w:t>）</w:t>
      </w:r>
      <w:r>
        <w:rPr>
          <w:rFonts w:hint="eastAsia" w:ascii="宋体" w:hAnsi="宋体"/>
          <w:color w:val="auto"/>
          <w:kern w:val="0"/>
          <w:sz w:val="22"/>
          <w:szCs w:val="22"/>
          <w:highlight w:val="none"/>
          <w:shd w:val="clear" w:color="auto" w:fill="FFFFFF"/>
          <w:lang w:eastAsia="zh-CN"/>
        </w:rPr>
        <w:t>复印</w:t>
      </w:r>
      <w:r>
        <w:rPr>
          <w:rFonts w:hint="eastAsia" w:ascii="宋体" w:hAnsi="宋体"/>
          <w:color w:val="auto"/>
          <w:kern w:val="0"/>
          <w:sz w:val="22"/>
          <w:szCs w:val="22"/>
          <w:highlight w:val="none"/>
          <w:shd w:val="clear" w:color="auto" w:fill="FFFFFF"/>
        </w:rPr>
        <w:t>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hint="eastAsia" w:ascii="宋体" w:hAnsi="宋体" w:eastAsia="宋体" w:cs="宋体"/>
          <w:b/>
          <w:bCs w:val="0"/>
          <w:sz w:val="28"/>
          <w:szCs w:val="28"/>
        </w:rPr>
      </w:pPr>
      <w:bookmarkStart w:id="8" w:name="_GoBack"/>
      <w:bookmarkEnd w:id="8"/>
      <w:r>
        <w:rPr>
          <w:rFonts w:hint="eastAsia" w:ascii="宋体" w:hAnsi="宋体" w:eastAsia="宋体" w:cs="宋体"/>
          <w:b/>
          <w:bCs w:val="0"/>
          <w:sz w:val="28"/>
          <w:szCs w:val="28"/>
        </w:rPr>
        <w:t>六、分项报价清单</w:t>
      </w:r>
    </w:p>
    <w:p>
      <w:pPr>
        <w:keepNext/>
        <w:keepLines/>
        <w:spacing w:before="260" w:after="260"/>
        <w:jc w:val="center"/>
        <w:outlineLvl w:val="2"/>
        <w:rPr>
          <w:rFonts w:hint="eastAsia" w:ascii="宋体" w:hAnsi="宋体" w:eastAsia="宋体" w:cs="宋体"/>
          <w:b/>
          <w:bCs w:val="0"/>
          <w:sz w:val="28"/>
          <w:szCs w:val="28"/>
        </w:rPr>
      </w:pPr>
      <w:r>
        <w:rPr>
          <w:rFonts w:hint="eastAsia" w:ascii="宋体" w:hAnsi="宋体" w:eastAsia="宋体" w:cs="宋体"/>
          <w:b/>
          <w:bCs w:val="0"/>
          <w:sz w:val="28"/>
          <w:szCs w:val="28"/>
        </w:rPr>
        <w:t>项目报价表</w:t>
      </w:r>
    </w:p>
    <w:p>
      <w:pPr>
        <w:rPr>
          <w:rFonts w:ascii="宋体" w:hAnsi="宋体" w:cs="宋体"/>
          <w:b/>
          <w:sz w:val="24"/>
        </w:rPr>
      </w:pPr>
    </w:p>
    <w:tbl>
      <w:tblPr>
        <w:tblStyle w:val="12"/>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 w:val="0"/>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eastAsia="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eastAsia="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eastAsia="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eastAsia="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eastAsia="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注：1.所有价格应按“招标文件”中规定的货币单位填写；</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 xml:space="preserve">    2.投标总价应为以上各分项价格之和；</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3.本表格式不得修改；</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6.开标一览表的投标总价必须与项目报价表的投标总价一致。</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7.“原产地”是指该产品的实际生产加工地，而非品牌总公司所在地。</w:t>
      </w:r>
    </w:p>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p>
    <w:p>
      <w:pPr>
        <w:pStyle w:val="4"/>
        <w:jc w:val="cente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七、货物说明一览表</w:t>
      </w:r>
    </w:p>
    <w:p>
      <w:pPr>
        <w:rPr>
          <w:rFonts w:ascii="宋体" w:hAnsi="宋体" w:cs="宋体"/>
          <w:sz w:val="24"/>
        </w:rPr>
      </w:pPr>
    </w:p>
    <w:p>
      <w:pPr>
        <w:rPr>
          <w:rFonts w:hint="eastAsia"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2"/>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八、技术规格偏离表</w:t>
      </w:r>
    </w:p>
    <w:p>
      <w:pPr>
        <w:rPr>
          <w:rFonts w:ascii="宋体" w:hAnsi="宋体" w:cs="宋体"/>
          <w:sz w:val="24"/>
        </w:rPr>
      </w:pPr>
    </w:p>
    <w:p>
      <w:pPr>
        <w:rPr>
          <w:rFonts w:hint="eastAsia"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2"/>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序号</w:t>
            </w:r>
          </w:p>
        </w:tc>
        <w:tc>
          <w:tcPr>
            <w:tcW w:w="10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目录</w:t>
            </w:r>
          </w:p>
        </w:tc>
        <w:tc>
          <w:tcPr>
            <w:tcW w:w="19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招标商务条款</w:t>
            </w:r>
          </w:p>
        </w:tc>
        <w:tc>
          <w:tcPr>
            <w:tcW w:w="198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lang w:eastAsia="zh-CN"/>
              </w:rPr>
              <w:t>响应</w:t>
            </w:r>
            <w:r>
              <w:rPr>
                <w:rFonts w:hint="eastAsia" w:ascii="宋体" w:hAnsi="宋体" w:eastAsia="宋体" w:cs="宋体"/>
                <w:color w:val="auto"/>
                <w:kern w:val="0"/>
                <w:sz w:val="22"/>
                <w:szCs w:val="22"/>
                <w:highlight w:val="none"/>
                <w:shd w:val="clear" w:color="auto" w:fill="FFFFFF"/>
              </w:rPr>
              <w:t>商务条款</w:t>
            </w:r>
          </w:p>
        </w:tc>
        <w:tc>
          <w:tcPr>
            <w:tcW w:w="1440"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偏离情况</w:t>
            </w:r>
          </w:p>
        </w:tc>
        <w:tc>
          <w:tcPr>
            <w:tcW w:w="1164" w:type="dxa"/>
          </w:tcPr>
          <w:p>
            <w:pPr>
              <w:widowControl/>
              <w:shd w:val="clear" w:color="auto" w:fill="FFFFFF"/>
              <w:spacing w:line="360" w:lineRule="atLeast"/>
              <w:jc w:val="left"/>
              <w:rPr>
                <w:rFonts w:hint="eastAsia" w:ascii="宋体" w:hAnsi="宋体" w:eastAsia="宋体" w:cs="宋体"/>
                <w:color w:val="auto"/>
                <w:kern w:val="0"/>
                <w:sz w:val="22"/>
                <w:szCs w:val="22"/>
                <w:highlight w:val="none"/>
                <w:shd w:val="clear" w:color="auto" w:fill="FFFFFF"/>
              </w:rPr>
            </w:pPr>
            <w:r>
              <w:rPr>
                <w:rFonts w:hint="eastAsia" w:ascii="宋体" w:hAnsi="宋体" w:eastAsia="宋体" w:cs="宋体"/>
                <w:color w:val="auto"/>
                <w:kern w:val="0"/>
                <w:sz w:val="22"/>
                <w:szCs w:val="22"/>
                <w:highlight w:val="none"/>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eastAsia"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color w:val="auto"/>
          <w:szCs w:val="21"/>
          <w:highlight w:val="none"/>
        </w:rPr>
      </w:pPr>
      <w:r>
        <w:rPr>
          <w:rFonts w:hint="eastAsia" w:ascii="宋体" w:hAnsi="宋体"/>
          <w:color w:val="auto"/>
          <w:kern w:val="0"/>
          <w:szCs w:val="21"/>
          <w:highlight w:val="none"/>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color w:val="auto"/>
          <w:szCs w:val="21"/>
          <w:highlight w:val="none"/>
        </w:rPr>
      </w:pPr>
      <w:r>
        <w:rPr>
          <w:rFonts w:hint="eastAsia" w:ascii="宋体" w:hAnsi="宋体"/>
          <w:color w:val="auto"/>
          <w:kern w:val="0"/>
          <w:sz w:val="22"/>
          <w:szCs w:val="22"/>
          <w:highlight w:val="none"/>
          <w:shd w:val="clear" w:color="auto" w:fill="FFFFFF"/>
        </w:rPr>
        <w:t> </w:t>
      </w:r>
    </w:p>
    <w:p>
      <w:pPr>
        <w:rPr>
          <w:rFonts w:ascii="宋体" w:hAnsi="宋体" w:cs="宋体"/>
        </w:rPr>
      </w:pPr>
    </w:p>
    <w:p>
      <w:pPr>
        <w:pStyle w:val="4"/>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十一、实施安全保障措施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十二、项目实施方案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pStyle w:val="4"/>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十三、售后服务方案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9"/>
        <w:rPr>
          <w:rFonts w:hint="eastAsia" w:ascii="宋体" w:hAnsi="宋体" w:cs="宋体"/>
          <w:b/>
        </w:rPr>
      </w:pPr>
    </w:p>
    <w:p>
      <w:pPr>
        <w:pStyle w:val="5"/>
        <w:numPr>
          <w:ilvl w:val="0"/>
          <w:numId w:val="0"/>
        </w:numPr>
      </w:pPr>
    </w:p>
    <w:p>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000000"/>
    <w:rsid w:val="411F02FE"/>
    <w:rsid w:val="4E273257"/>
    <w:rsid w:val="52B3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firstLineChars="200"/>
    </w:pPr>
  </w:style>
  <w:style w:type="paragraph" w:styleId="8">
    <w:name w:val="Body Text Indent"/>
    <w:basedOn w:val="1"/>
    <w:next w:val="9"/>
    <w:qFormat/>
    <w:uiPriority w:val="0"/>
    <w:pPr>
      <w:spacing w:line="360" w:lineRule="auto"/>
      <w:ind w:firstLine="420" w:firstLineChars="200"/>
    </w:pPr>
  </w:style>
  <w:style w:type="paragraph" w:styleId="9">
    <w:name w:val="Body Text First Indent 2"/>
    <w:basedOn w:val="8"/>
    <w:unhideWhenUsed/>
    <w:qFormat/>
    <w:uiPriority w:val="99"/>
    <w:pPr>
      <w:spacing w:after="120"/>
      <w:ind w:left="420" w:leftChars="200"/>
    </w:pPr>
    <w:rPr>
      <w:rFonts w:ascii="Calibri" w:hAnsi="Calibri"/>
      <w:sz w:val="21"/>
      <w:szCs w:val="22"/>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rPr>
      <w:sz w:val="24"/>
    </w:rPr>
  </w:style>
  <w:style w:type="character" w:styleId="14">
    <w:name w:val="Strong"/>
    <w:basedOn w:val="13"/>
    <w:qFormat/>
    <w:uiPriority w:val="22"/>
    <w:rPr>
      <w:b/>
      <w:bCs/>
    </w:rPr>
  </w:style>
  <w:style w:type="character" w:styleId="15">
    <w:name w:val="Hyperlink"/>
    <w:unhideWhenUsed/>
    <w:uiPriority w:val="99"/>
    <w:rPr>
      <w:color w:val="0000FF"/>
      <w:u w:val="single"/>
    </w:rPr>
  </w:style>
  <w:style w:type="character" w:styleId="16">
    <w:name w:val="annotation reference"/>
    <w:unhideWhenUsed/>
    <w:qFormat/>
    <w:uiPriority w:val="0"/>
    <w:rPr>
      <w:sz w:val="21"/>
      <w:szCs w:val="21"/>
    </w:rPr>
  </w:style>
  <w:style w:type="character" w:customStyle="1" w:styleId="17">
    <w:name w:val="标题 3 Char"/>
    <w:qFormat/>
    <w:uiPriority w:val="0"/>
    <w:rPr>
      <w:rFonts w:ascii="黑体" w:eastAsia="黑体"/>
      <w:bCs/>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9566</Words>
  <Characters>10084</Characters>
  <Lines>0</Lines>
  <Paragraphs>0</Paragraphs>
  <TotalTime>6</TotalTime>
  <ScaleCrop>false</ScaleCrop>
  <LinksUpToDate>false</LinksUpToDate>
  <CharactersWithSpaces>10909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dcterms:modified xsi:type="dcterms:W3CDTF">2023-06-30T03:20:10Z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5A18DF62CE7D4CA1AA7BB8FF7C8F94E3_12</vt:lpwstr>
  </property>
</Properties>
</file>